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Default="00424FCE" w:rsidP="005D1AC8">
      <w:pPr>
        <w:pStyle w:val="14"/>
        <w:ind w:left="568" w:hanging="568"/>
      </w:pPr>
      <w:bookmarkStart w:id="2" w:name="_Toc85461137"/>
      <w:bookmarkStart w:id="3" w:name="_Toc85643861"/>
      <w:bookmarkStart w:id="4" w:name="_Toc68683314"/>
      <w:bookmarkStart w:id="5" w:name="_Toc98899676"/>
      <w:bookmarkStart w:id="6" w:name="_Toc98899839"/>
      <w:bookmarkStart w:id="7" w:name="_Toc212619424"/>
      <w:r>
        <w:rPr>
          <w:rFonts w:hint="eastAsia"/>
        </w:rPr>
        <w:t>一、115年度中央政府總預算舉借債務數創近10年度新高，</w:t>
      </w:r>
      <w:r w:rsidR="001520EE" w:rsidRPr="001520EE">
        <w:rPr>
          <w:rFonts w:hint="eastAsia"/>
        </w:rPr>
        <w:t>連同特別預算債務舉借之合計數，亦高於近10年度平均值</w:t>
      </w:r>
      <w:r>
        <w:rPr>
          <w:rFonts w:hint="eastAsia"/>
        </w:rPr>
        <w:t>，</w:t>
      </w:r>
      <w:r w:rsidRPr="002E38C8">
        <w:rPr>
          <w:rFonts w:hint="eastAsia"/>
        </w:rPr>
        <w:t>允宜</w:t>
      </w:r>
      <w:r>
        <w:rPr>
          <w:rFonts w:hint="eastAsia"/>
        </w:rPr>
        <w:t>落實</w:t>
      </w:r>
      <w:r w:rsidRPr="002E38C8">
        <w:rPr>
          <w:rFonts w:hint="eastAsia"/>
        </w:rPr>
        <w:t>開源節流</w:t>
      </w:r>
      <w:r>
        <w:rPr>
          <w:rFonts w:hint="eastAsia"/>
        </w:rPr>
        <w:t>措施，妥</w:t>
      </w:r>
      <w:r w:rsidRPr="002E38C8">
        <w:rPr>
          <w:rFonts w:hint="eastAsia"/>
        </w:rPr>
        <w:t>控債務規模</w:t>
      </w:r>
      <w:bookmarkEnd w:id="7"/>
    </w:p>
    <w:p w:rsidR="00424FCE" w:rsidRDefault="00424FCE" w:rsidP="005D1AC8">
      <w:pPr>
        <w:ind w:left="567" w:firstLine="567"/>
      </w:pPr>
      <w:r>
        <w:rPr>
          <w:rFonts w:hint="eastAsia"/>
          <w:color w:val="000000"/>
        </w:rPr>
        <w:t>115年度中央政府總預算案列示，該年度總預算債務舉借預算數為2,992億</w:t>
      </w:r>
      <w:r w:rsidR="00B04D46">
        <w:rPr>
          <w:rFonts w:hint="eastAsia"/>
          <w:color w:val="000000"/>
        </w:rPr>
        <w:t>元</w:t>
      </w:r>
      <w:r>
        <w:rPr>
          <w:rFonts w:hint="eastAsia"/>
          <w:color w:val="000000"/>
        </w:rPr>
        <w:t>，創近10年度新高</w:t>
      </w:r>
      <w:r w:rsidR="001520EE">
        <w:rPr>
          <w:rFonts w:hint="eastAsia"/>
          <w:color w:val="000000"/>
        </w:rPr>
        <w:t>，</w:t>
      </w:r>
      <w:r w:rsidR="001520EE" w:rsidRPr="001520EE">
        <w:rPr>
          <w:rFonts w:hint="eastAsia"/>
          <w:color w:val="000000"/>
        </w:rPr>
        <w:t>且同期間中央政府1年以上公共債務未償餘額呈上升趨勢</w:t>
      </w:r>
      <w:r>
        <w:rPr>
          <w:rFonts w:hint="eastAsia"/>
        </w:rPr>
        <w:t>。經查：</w:t>
      </w:r>
    </w:p>
    <w:p w:rsidR="00424FCE" w:rsidRDefault="00424FCE" w:rsidP="005D1AC8">
      <w:pPr>
        <w:pStyle w:val="a4"/>
        <w:ind w:left="851" w:hanging="284"/>
        <w:rPr>
          <w:b/>
        </w:rPr>
      </w:pPr>
      <w:r>
        <w:rPr>
          <w:rFonts w:hint="eastAsia"/>
          <w:b/>
        </w:rPr>
        <w:t>(一)</w:t>
      </w:r>
      <w:r w:rsidRPr="007B28DC">
        <w:rPr>
          <w:rFonts w:hint="eastAsia"/>
          <w:b/>
        </w:rPr>
        <w:t>近</w:t>
      </w:r>
      <w:r w:rsidR="00363F14">
        <w:rPr>
          <w:rFonts w:hint="eastAsia"/>
          <w:b/>
        </w:rPr>
        <w:t>8</w:t>
      </w:r>
      <w:r w:rsidRPr="007B28DC">
        <w:rPr>
          <w:rFonts w:hint="eastAsia"/>
          <w:b/>
        </w:rPr>
        <w:t>年</w:t>
      </w:r>
      <w:r w:rsidR="00363F14">
        <w:rPr>
          <w:rFonts w:hint="eastAsia"/>
          <w:b/>
        </w:rPr>
        <w:t>度</w:t>
      </w:r>
      <w:r w:rsidRPr="007B28DC">
        <w:rPr>
          <w:rFonts w:hint="eastAsia"/>
          <w:b/>
        </w:rPr>
        <w:t>中央政府總決算雖產生賸餘，惟加計特別決算後多為短絀，115年度預計短絀數則</w:t>
      </w:r>
      <w:r w:rsidR="003779B6">
        <w:rPr>
          <w:rFonts w:hint="eastAsia"/>
          <w:b/>
        </w:rPr>
        <w:t>近4</w:t>
      </w:r>
      <w:r w:rsidRPr="007B28DC">
        <w:rPr>
          <w:rFonts w:hint="eastAsia"/>
          <w:b/>
        </w:rPr>
        <w:t>,</w:t>
      </w:r>
      <w:r w:rsidR="003779B6">
        <w:rPr>
          <w:rFonts w:hint="eastAsia"/>
          <w:b/>
        </w:rPr>
        <w:t>000</w:t>
      </w:r>
      <w:r w:rsidRPr="007B28DC">
        <w:rPr>
          <w:rFonts w:hint="eastAsia"/>
          <w:b/>
        </w:rPr>
        <w:t>億元</w:t>
      </w:r>
    </w:p>
    <w:p w:rsidR="00424FCE" w:rsidRDefault="003779B6" w:rsidP="005D1AC8">
      <w:pPr>
        <w:pStyle w:val="2"/>
        <w:ind w:left="850" w:firstLine="567"/>
      </w:pPr>
      <w:r w:rsidRPr="003A00B5">
        <w:rPr>
          <w:rFonts w:hint="eastAsia"/>
        </w:rPr>
        <w:lastRenderedPageBreak/>
        <w:t>從</w:t>
      </w:r>
      <w:r>
        <w:rPr>
          <w:rFonts w:hint="eastAsia"/>
        </w:rPr>
        <w:t>近</w:t>
      </w:r>
      <w:r w:rsidR="00363F14">
        <w:rPr>
          <w:rFonts w:hint="eastAsia"/>
        </w:rPr>
        <w:t>8</w:t>
      </w:r>
      <w:r>
        <w:rPr>
          <w:rFonts w:hint="eastAsia"/>
        </w:rPr>
        <w:t>年度(106</w:t>
      </w:r>
      <w:r w:rsidRPr="003A00B5">
        <w:rPr>
          <w:rFonts w:hint="eastAsia"/>
        </w:rPr>
        <w:t>至11</w:t>
      </w:r>
      <w:r w:rsidR="00363F14">
        <w:rPr>
          <w:rFonts w:hint="eastAsia"/>
        </w:rPr>
        <w:t>3</w:t>
      </w:r>
      <w:r w:rsidRPr="003A00B5">
        <w:rPr>
          <w:rFonts w:hint="eastAsia"/>
        </w:rPr>
        <w:t>年度</w:t>
      </w:r>
      <w:r>
        <w:rPr>
          <w:rFonts w:hint="eastAsia"/>
        </w:rPr>
        <w:t>，以下同)中央政府總</w:t>
      </w:r>
      <w:r w:rsidR="00D43CC5">
        <w:rPr>
          <w:rFonts w:hint="eastAsia"/>
        </w:rPr>
        <w:t>決</w:t>
      </w:r>
      <w:r>
        <w:rPr>
          <w:rFonts w:hint="eastAsia"/>
        </w:rPr>
        <w:t>算及特別</w:t>
      </w:r>
      <w:r w:rsidR="00D43CC5">
        <w:rPr>
          <w:rFonts w:hint="eastAsia"/>
        </w:rPr>
        <w:t>決</w:t>
      </w:r>
      <w:r>
        <w:rPr>
          <w:rFonts w:hint="eastAsia"/>
        </w:rPr>
        <w:t>算</w:t>
      </w:r>
      <w:r w:rsidRPr="003A00B5">
        <w:rPr>
          <w:rFonts w:hint="eastAsia"/>
        </w:rPr>
        <w:t>歲入歲出</w:t>
      </w:r>
      <w:r>
        <w:rPr>
          <w:rFonts w:hint="eastAsia"/>
        </w:rPr>
        <w:t>餘絀</w:t>
      </w:r>
      <w:r w:rsidRPr="003A00B5">
        <w:rPr>
          <w:rFonts w:hint="eastAsia"/>
        </w:rPr>
        <w:t>以觀</w:t>
      </w:r>
      <w:r w:rsidR="00424FCE">
        <w:rPr>
          <w:rFonts w:hint="eastAsia"/>
        </w:rPr>
        <w:t>(詳表1)，</w:t>
      </w:r>
      <w:r>
        <w:rPr>
          <w:rFonts w:hint="eastAsia"/>
        </w:rPr>
        <w:t>總</w:t>
      </w:r>
      <w:r w:rsidR="00D43CC5">
        <w:rPr>
          <w:rFonts w:hint="eastAsia"/>
        </w:rPr>
        <w:t>決</w:t>
      </w:r>
      <w:r>
        <w:rPr>
          <w:rFonts w:hint="eastAsia"/>
        </w:rPr>
        <w:t>算部分，106至113年度歲入歲出</w:t>
      </w:r>
      <w:r w:rsidR="00D43CC5">
        <w:rPr>
          <w:rFonts w:hint="eastAsia"/>
        </w:rPr>
        <w:t>相抵後</w:t>
      </w:r>
      <w:r>
        <w:rPr>
          <w:rFonts w:hint="eastAsia"/>
        </w:rPr>
        <w:t>均呈賸餘，且概呈</w:t>
      </w:r>
      <w:r w:rsidRPr="003A00B5">
        <w:rPr>
          <w:rFonts w:hint="eastAsia"/>
        </w:rPr>
        <w:t>上升</w:t>
      </w:r>
      <w:r>
        <w:rPr>
          <w:rFonts w:hint="eastAsia"/>
        </w:rPr>
        <w:t>趨勢</w:t>
      </w:r>
      <w:r w:rsidRPr="003A00B5">
        <w:rPr>
          <w:rFonts w:hint="eastAsia"/>
        </w:rPr>
        <w:t>，11</w:t>
      </w:r>
      <w:r>
        <w:rPr>
          <w:rFonts w:hint="eastAsia"/>
        </w:rPr>
        <w:t>3</w:t>
      </w:r>
      <w:r w:rsidRPr="003A00B5">
        <w:rPr>
          <w:rFonts w:hint="eastAsia"/>
        </w:rPr>
        <w:t>年度賸餘</w:t>
      </w:r>
      <w:r>
        <w:rPr>
          <w:rFonts w:hint="eastAsia"/>
        </w:rPr>
        <w:t>數</w:t>
      </w:r>
      <w:r w:rsidRPr="003A00B5">
        <w:rPr>
          <w:rFonts w:hint="eastAsia"/>
        </w:rPr>
        <w:t>達</w:t>
      </w:r>
      <w:r>
        <w:rPr>
          <w:rFonts w:hint="eastAsia"/>
        </w:rPr>
        <w:t>3,597.48</w:t>
      </w:r>
      <w:r w:rsidRPr="003A00B5">
        <w:rPr>
          <w:rFonts w:hint="eastAsia"/>
        </w:rPr>
        <w:t>億元</w:t>
      </w:r>
      <w:r>
        <w:rPr>
          <w:rFonts w:hint="eastAsia"/>
        </w:rPr>
        <w:t>。另114年度歲入</w:t>
      </w:r>
      <w:r w:rsidR="00B04D46">
        <w:rPr>
          <w:rFonts w:hint="eastAsia"/>
        </w:rPr>
        <w:t>預算數</w:t>
      </w:r>
      <w:r>
        <w:rPr>
          <w:rFonts w:hint="eastAsia"/>
        </w:rPr>
        <w:t>較113年度</w:t>
      </w:r>
      <w:r w:rsidR="00B04D46">
        <w:rPr>
          <w:rFonts w:hint="eastAsia"/>
        </w:rPr>
        <w:t>決算數</w:t>
      </w:r>
      <w:r>
        <w:rPr>
          <w:rFonts w:hint="eastAsia"/>
        </w:rPr>
        <w:t>增加208.76億元，惟歲出</w:t>
      </w:r>
      <w:r w:rsidR="00B04D46">
        <w:rPr>
          <w:rFonts w:hint="eastAsia"/>
        </w:rPr>
        <w:t>預算數</w:t>
      </w:r>
      <w:r>
        <w:rPr>
          <w:rFonts w:hint="eastAsia"/>
        </w:rPr>
        <w:t>持續增加並突破3兆元，致歲入歲出</w:t>
      </w:r>
      <w:r w:rsidR="00B04D46">
        <w:rPr>
          <w:rFonts w:hint="eastAsia"/>
        </w:rPr>
        <w:t>預計</w:t>
      </w:r>
      <w:r>
        <w:rPr>
          <w:rFonts w:hint="eastAsia"/>
        </w:rPr>
        <w:t>賸餘減少為1,578.99億元；115年度</w:t>
      </w:r>
      <w:r w:rsidR="00B04D46">
        <w:rPr>
          <w:rFonts w:hint="eastAsia"/>
        </w:rPr>
        <w:t>預算案</w:t>
      </w:r>
      <w:r>
        <w:rPr>
          <w:rFonts w:hint="eastAsia"/>
        </w:rPr>
        <w:t>則依新制財政收支劃分法修正中央地方分成比率，致中央稅課收入及歲入大幅減少，歲入歲出相抵後，由賸餘轉為短絀1,727.21億元</w:t>
      </w:r>
      <w:r w:rsidR="00D43CC5">
        <w:rPr>
          <w:rFonts w:hint="eastAsia"/>
        </w:rPr>
        <w:t>，加計特別預算後，合計短絀數近4,000億元</w:t>
      </w:r>
      <w:r>
        <w:rPr>
          <w:rFonts w:hint="eastAsia"/>
        </w:rPr>
        <w:t>。同期間特別</w:t>
      </w:r>
      <w:r w:rsidR="00D43CC5">
        <w:rPr>
          <w:rFonts w:hint="eastAsia"/>
        </w:rPr>
        <w:t>決</w:t>
      </w:r>
      <w:r>
        <w:rPr>
          <w:rFonts w:hint="eastAsia"/>
        </w:rPr>
        <w:t>算因無大額歲入，致歲入歲出</w:t>
      </w:r>
      <w:r w:rsidR="00363F14">
        <w:rPr>
          <w:rFonts w:hint="eastAsia"/>
        </w:rPr>
        <w:t>相抵後</w:t>
      </w:r>
      <w:r>
        <w:rPr>
          <w:rFonts w:hint="eastAsia"/>
        </w:rPr>
        <w:t>均呈短絀</w:t>
      </w:r>
      <w:r w:rsidR="00B04D46">
        <w:rPr>
          <w:rFonts w:hint="eastAsia"/>
        </w:rPr>
        <w:t>；</w:t>
      </w:r>
      <w:r w:rsidR="00DF1B0B">
        <w:rPr>
          <w:rFonts w:hint="eastAsia"/>
        </w:rPr>
        <w:t>整體而言，10年間計產生賸餘、短絀各4個、6個年度，合計短絀金額逾1.1兆元。</w:t>
      </w:r>
    </w:p>
    <w:p w:rsidR="00DF1B0B" w:rsidRDefault="00424FCE" w:rsidP="007B28DC">
      <w:pPr>
        <w:pStyle w:val="2"/>
        <w:ind w:leftChars="0" w:left="1490" w:hangingChars="525" w:hanging="1490"/>
        <w:jc w:val="left"/>
        <w:rPr>
          <w:b/>
          <w:color w:val="000000"/>
        </w:rPr>
      </w:pPr>
      <w:r>
        <w:rPr>
          <w:rFonts w:hint="eastAsia"/>
          <w:b/>
          <w:color w:val="000000"/>
        </w:rPr>
        <w:t xml:space="preserve">      </w:t>
      </w:r>
      <w:r w:rsidRPr="00F87458">
        <w:rPr>
          <w:rFonts w:hint="eastAsia"/>
          <w:b/>
          <w:color w:val="000000"/>
        </w:rPr>
        <w:t xml:space="preserve">表1 </w:t>
      </w:r>
      <w:r>
        <w:rPr>
          <w:rFonts w:hint="eastAsia"/>
          <w:b/>
          <w:color w:val="000000"/>
        </w:rPr>
        <w:t>中央政府106至115年度總預算</w:t>
      </w:r>
      <w:r w:rsidR="006B7402">
        <w:rPr>
          <w:rFonts w:hint="eastAsia"/>
          <w:b/>
          <w:color w:val="000000"/>
        </w:rPr>
        <w:t>及特別預算</w:t>
      </w:r>
      <w:r>
        <w:rPr>
          <w:rFonts w:hint="eastAsia"/>
          <w:b/>
          <w:color w:val="000000"/>
        </w:rPr>
        <w:t>餘絀概況表</w:t>
      </w:r>
    </w:p>
    <w:p w:rsidR="00424FCE" w:rsidRPr="00F87458" w:rsidRDefault="00424FCE" w:rsidP="00DF1B0B">
      <w:pPr>
        <w:pStyle w:val="2"/>
        <w:spacing w:line="320" w:lineRule="exact"/>
        <w:ind w:leftChars="0" w:left="1490" w:hangingChars="525" w:hanging="1490"/>
        <w:jc w:val="right"/>
        <w:rPr>
          <w:color w:val="000000"/>
          <w:sz w:val="24"/>
          <w:szCs w:val="24"/>
        </w:rPr>
      </w:pPr>
      <w:r>
        <w:rPr>
          <w:rFonts w:hint="eastAsia"/>
          <w:b/>
          <w:color w:val="000000"/>
        </w:rPr>
        <w:t xml:space="preserve">                </w:t>
      </w:r>
      <w:r w:rsidR="003779B6">
        <w:rPr>
          <w:rFonts w:hint="eastAsia"/>
          <w:b/>
          <w:color w:val="000000"/>
        </w:rPr>
        <w:t xml:space="preserve">             </w:t>
      </w:r>
      <w:r>
        <w:rPr>
          <w:rFonts w:hint="eastAsia"/>
          <w:b/>
          <w:color w:val="000000"/>
        </w:rPr>
        <w:t xml:space="preserve"> </w:t>
      </w:r>
      <w:r>
        <w:rPr>
          <w:rFonts w:hint="eastAsia"/>
          <w:color w:val="000000"/>
          <w:spacing w:val="-4"/>
          <w:sz w:val="24"/>
          <w:szCs w:val="24"/>
        </w:rPr>
        <w:t>單位：新臺</w:t>
      </w:r>
      <w:r w:rsidRPr="00F87458">
        <w:rPr>
          <w:rFonts w:hint="eastAsia"/>
          <w:color w:val="000000"/>
          <w:spacing w:val="-4"/>
          <w:sz w:val="24"/>
          <w:szCs w:val="24"/>
        </w:rPr>
        <w:t>幣</w:t>
      </w:r>
      <w:r>
        <w:rPr>
          <w:rFonts w:hint="eastAsia"/>
          <w:color w:val="000000"/>
          <w:spacing w:val="-4"/>
          <w:sz w:val="24"/>
          <w:szCs w:val="24"/>
        </w:rPr>
        <w:t>億元</w:t>
      </w:r>
    </w:p>
    <w:tbl>
      <w:tblPr>
        <w:tblW w:w="4470" w:type="pct"/>
        <w:tblInd w:w="87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3"/>
        <w:gridCol w:w="1913"/>
        <w:gridCol w:w="1914"/>
        <w:gridCol w:w="1914"/>
      </w:tblGrid>
      <w:tr w:rsidR="00424FCE" w:rsidRPr="003A00B5" w:rsidTr="000C57F4">
        <w:trPr>
          <w:trHeight w:val="340"/>
          <w:tblHeader/>
        </w:trPr>
        <w:tc>
          <w:tcPr>
            <w:tcW w:w="1250" w:type="pct"/>
            <w:shd w:val="clear" w:color="auto" w:fill="auto"/>
            <w:vAlign w:val="center"/>
          </w:tcPr>
          <w:p w:rsidR="00424FCE" w:rsidRPr="00435E9B" w:rsidRDefault="00424FCE" w:rsidP="0026518B">
            <w:pPr>
              <w:pStyle w:val="142"/>
              <w:ind w:left="567" w:hanging="567"/>
              <w:jc w:val="center"/>
              <w:rPr>
                <w:b/>
              </w:rPr>
            </w:pPr>
            <w:r w:rsidRPr="00435E9B">
              <w:rPr>
                <w:rFonts w:hint="eastAsia"/>
                <w:b/>
              </w:rPr>
              <w:t>年度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3779B6" w:rsidRDefault="00424FCE" w:rsidP="0026518B">
            <w:pPr>
              <w:pStyle w:val="142"/>
              <w:ind w:left="567" w:hanging="567"/>
              <w:jc w:val="center"/>
              <w:rPr>
                <w:b/>
                <w:szCs w:val="24"/>
              </w:rPr>
            </w:pPr>
            <w:r w:rsidRPr="003779B6">
              <w:rPr>
                <w:rFonts w:hint="eastAsia"/>
                <w:b/>
                <w:szCs w:val="24"/>
              </w:rPr>
              <w:t>總預算</w:t>
            </w:r>
            <w:r w:rsidR="003779B6" w:rsidRPr="003779B6">
              <w:rPr>
                <w:rFonts w:hint="eastAsia"/>
                <w:b/>
                <w:szCs w:val="24"/>
              </w:rPr>
              <w:t>餘絀</w:t>
            </w:r>
          </w:p>
        </w:tc>
        <w:tc>
          <w:tcPr>
            <w:tcW w:w="1250" w:type="pct"/>
            <w:vAlign w:val="center"/>
          </w:tcPr>
          <w:p w:rsidR="00424FCE" w:rsidRPr="003779B6" w:rsidRDefault="00424FCE" w:rsidP="007B28DC">
            <w:pPr>
              <w:pStyle w:val="142"/>
              <w:ind w:left="567" w:hanging="567"/>
              <w:jc w:val="center"/>
              <w:rPr>
                <w:b/>
                <w:szCs w:val="24"/>
              </w:rPr>
            </w:pPr>
            <w:r w:rsidRPr="003779B6">
              <w:rPr>
                <w:rFonts w:hint="eastAsia"/>
                <w:b/>
                <w:szCs w:val="24"/>
              </w:rPr>
              <w:t>特別預算</w:t>
            </w:r>
            <w:r w:rsidR="003779B6" w:rsidRPr="003779B6">
              <w:rPr>
                <w:b/>
                <w:color w:val="000000"/>
                <w:szCs w:val="24"/>
              </w:rPr>
              <w:t>餘絀</w:t>
            </w:r>
          </w:p>
        </w:tc>
        <w:tc>
          <w:tcPr>
            <w:tcW w:w="1250" w:type="pct"/>
            <w:vAlign w:val="center"/>
          </w:tcPr>
          <w:p w:rsidR="00424FCE" w:rsidRPr="003779B6" w:rsidRDefault="00424FCE" w:rsidP="007B28DC">
            <w:pPr>
              <w:pStyle w:val="142"/>
              <w:ind w:left="567" w:hanging="567"/>
              <w:jc w:val="center"/>
              <w:rPr>
                <w:b/>
                <w:szCs w:val="24"/>
              </w:rPr>
            </w:pPr>
            <w:r w:rsidRPr="003779B6">
              <w:rPr>
                <w:rFonts w:hint="eastAsia"/>
                <w:b/>
                <w:szCs w:val="24"/>
              </w:rPr>
              <w:t>合計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center"/>
            </w:pPr>
            <w:r w:rsidRPr="004534C5">
              <w:rPr>
                <w:rFonts w:hint="eastAsia"/>
              </w:rPr>
              <w:t>106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 w:rsidRPr="004534C5">
              <w:rPr>
                <w:rFonts w:hint="eastAsia"/>
              </w:rPr>
              <w:t>2</w:t>
            </w:r>
            <w:r w:rsidRPr="004534C5">
              <w:t>5.18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bCs/>
                <w:color w:val="000000"/>
                <w:szCs w:val="24"/>
              </w:rPr>
              <w:t xml:space="preserve">-160.79 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-135.61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center"/>
            </w:pPr>
            <w:r w:rsidRPr="004534C5">
              <w:rPr>
                <w:rFonts w:hint="eastAsia"/>
              </w:rPr>
              <w:t>107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 w:rsidRPr="004534C5">
              <w:rPr>
                <w:rFonts w:hint="eastAsia"/>
              </w:rPr>
              <w:t>1</w:t>
            </w:r>
            <w:r w:rsidRPr="004534C5">
              <w:t>,109.27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bCs/>
                <w:color w:val="000000"/>
                <w:szCs w:val="24"/>
              </w:rPr>
              <w:t xml:space="preserve">-941.49 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167.7</w:t>
            </w:r>
            <w:r w:rsidR="006B7402">
              <w:rPr>
                <w:rFonts w:hint="eastAsia"/>
                <w:color w:val="000000"/>
              </w:rPr>
              <w:t>9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center"/>
            </w:pPr>
            <w:r w:rsidRPr="004534C5">
              <w:rPr>
                <w:rFonts w:hint="eastAsia"/>
              </w:rPr>
              <w:t>108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 w:rsidRPr="004534C5">
              <w:rPr>
                <w:rFonts w:hint="eastAsia"/>
              </w:rPr>
              <w:t>1</w:t>
            </w:r>
            <w:r w:rsidRPr="004534C5">
              <w:t>,207.23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bCs/>
                <w:color w:val="000000"/>
                <w:szCs w:val="24"/>
              </w:rPr>
              <w:t>-1,047.43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159.80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center"/>
            </w:pPr>
            <w:r w:rsidRPr="004534C5">
              <w:rPr>
                <w:rFonts w:hint="eastAsia"/>
              </w:rPr>
              <w:t>109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 w:rsidRPr="004534C5">
              <w:rPr>
                <w:rFonts w:hint="eastAsia"/>
              </w:rPr>
              <w:t>1</w:t>
            </w:r>
            <w:r w:rsidRPr="004534C5">
              <w:t>,302.</w:t>
            </w:r>
            <w:r>
              <w:rPr>
                <w:rFonts w:hint="eastAsia"/>
              </w:rPr>
              <w:t>53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bCs/>
                <w:color w:val="000000"/>
                <w:szCs w:val="24"/>
              </w:rPr>
              <w:t>-4,058.00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-2,755.4</w:t>
            </w:r>
            <w:r w:rsidR="006B7402">
              <w:rPr>
                <w:rFonts w:hint="eastAsia"/>
                <w:color w:val="000000"/>
              </w:rPr>
              <w:t>6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center"/>
            </w:pPr>
            <w:r w:rsidRPr="004534C5">
              <w:rPr>
                <w:rFonts w:hint="eastAsia"/>
              </w:rPr>
              <w:t>110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 w:rsidRPr="004534C5">
              <w:rPr>
                <w:rFonts w:hint="eastAsia"/>
              </w:rPr>
              <w:t>2</w:t>
            </w:r>
            <w:r w:rsidRPr="004534C5">
              <w:t>,9</w:t>
            </w:r>
            <w:r w:rsidRPr="004534C5">
              <w:rPr>
                <w:rFonts w:hint="eastAsia"/>
              </w:rPr>
              <w:t>7</w:t>
            </w:r>
            <w:r w:rsidRPr="004534C5">
              <w:t>8.85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bCs/>
                <w:color w:val="000000"/>
                <w:szCs w:val="24"/>
              </w:rPr>
              <w:t>-4,401.00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-1,422.1</w:t>
            </w:r>
            <w:r w:rsidR="006B7402">
              <w:rPr>
                <w:rFonts w:hint="eastAsia"/>
                <w:color w:val="000000"/>
              </w:rPr>
              <w:t>4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center"/>
            </w:pPr>
            <w:r w:rsidRPr="004534C5">
              <w:rPr>
                <w:rFonts w:hint="eastAsia"/>
              </w:rPr>
              <w:t>111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 w:rsidRPr="004534C5">
              <w:rPr>
                <w:rFonts w:hint="eastAsia"/>
              </w:rPr>
              <w:t>4</w:t>
            </w:r>
            <w:r>
              <w:t>,992.9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bCs/>
                <w:color w:val="000000"/>
                <w:szCs w:val="24"/>
              </w:rPr>
              <w:t>-4,296.96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695.9</w:t>
            </w:r>
            <w:r w:rsidR="006B7402">
              <w:rPr>
                <w:rFonts w:hint="eastAsia"/>
                <w:color w:val="000000"/>
              </w:rPr>
              <w:t>7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center"/>
            </w:pPr>
            <w:r w:rsidRPr="004534C5">
              <w:rPr>
                <w:rFonts w:hint="eastAsia"/>
              </w:rPr>
              <w:t>112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 w:rsidRPr="004534C5">
              <w:rPr>
                <w:rFonts w:hint="eastAsia"/>
              </w:rPr>
              <w:t>2</w:t>
            </w:r>
            <w:r w:rsidRPr="004534C5">
              <w:t>,7</w:t>
            </w:r>
            <w:r>
              <w:rPr>
                <w:rFonts w:hint="eastAsia"/>
              </w:rPr>
              <w:t>96.2</w:t>
            </w:r>
            <w:r w:rsidR="006B7402"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bCs/>
                <w:color w:val="000000"/>
                <w:szCs w:val="24"/>
              </w:rPr>
              <w:t>-5,022.96</w:t>
            </w:r>
          </w:p>
        </w:tc>
        <w:tc>
          <w:tcPr>
            <w:tcW w:w="1250" w:type="pct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-2,226.7</w:t>
            </w:r>
            <w:r w:rsidR="006B7402">
              <w:rPr>
                <w:rFonts w:hint="eastAsia"/>
                <w:color w:val="000000"/>
              </w:rPr>
              <w:t>2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</w:rPr>
              <w:t>3,597.48</w:t>
            </w:r>
          </w:p>
        </w:tc>
        <w:tc>
          <w:tcPr>
            <w:tcW w:w="1250" w:type="pct"/>
            <w:vAlign w:val="center"/>
          </w:tcPr>
          <w:p w:rsidR="00424FCE" w:rsidRDefault="00424FCE" w:rsidP="007B28DC">
            <w:pPr>
              <w:pStyle w:val="142"/>
              <w:ind w:left="568" w:hanging="568"/>
              <w:jc w:val="right"/>
            </w:pPr>
            <w:r>
              <w:rPr>
                <w:bCs/>
                <w:color w:val="000000"/>
                <w:szCs w:val="24"/>
              </w:rPr>
              <w:t>-2,606.30</w:t>
            </w:r>
          </w:p>
        </w:tc>
        <w:tc>
          <w:tcPr>
            <w:tcW w:w="1250" w:type="pct"/>
            <w:vAlign w:val="center"/>
          </w:tcPr>
          <w:p w:rsidR="00424FCE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991.1</w:t>
            </w:r>
            <w:r w:rsidR="006B7402">
              <w:rPr>
                <w:rFonts w:hint="eastAsia"/>
                <w:color w:val="000000"/>
              </w:rPr>
              <w:t>9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</w:rPr>
              <w:t>1,578</w:t>
            </w:r>
            <w:r>
              <w:t>.</w:t>
            </w:r>
            <w:r>
              <w:rPr>
                <w:rFonts w:hint="eastAsia"/>
              </w:rPr>
              <w:t>99</w:t>
            </w:r>
          </w:p>
        </w:tc>
        <w:tc>
          <w:tcPr>
            <w:tcW w:w="1250" w:type="pct"/>
            <w:vAlign w:val="center"/>
          </w:tcPr>
          <w:p w:rsidR="00424FCE" w:rsidRDefault="00424FCE" w:rsidP="007B28DC">
            <w:pPr>
              <w:pStyle w:val="142"/>
              <w:ind w:left="568" w:hanging="568"/>
              <w:jc w:val="right"/>
            </w:pPr>
            <w:r>
              <w:rPr>
                <w:bCs/>
                <w:color w:val="000000"/>
                <w:szCs w:val="24"/>
              </w:rPr>
              <w:t>-</w:t>
            </w:r>
            <w:r w:rsidR="006B7402">
              <w:rPr>
                <w:rFonts w:hint="eastAsia"/>
                <w:bCs/>
                <w:color w:val="000000"/>
                <w:szCs w:val="24"/>
              </w:rPr>
              <w:t>4</w:t>
            </w:r>
            <w:r>
              <w:rPr>
                <w:bCs/>
                <w:color w:val="000000"/>
                <w:szCs w:val="24"/>
              </w:rPr>
              <w:t>,</w:t>
            </w:r>
            <w:r w:rsidR="006B7402">
              <w:rPr>
                <w:rFonts w:hint="eastAsia"/>
                <w:bCs/>
                <w:color w:val="000000"/>
                <w:szCs w:val="24"/>
              </w:rPr>
              <w:t>982</w:t>
            </w:r>
            <w:r>
              <w:rPr>
                <w:bCs/>
                <w:color w:val="000000"/>
                <w:szCs w:val="24"/>
              </w:rPr>
              <w:t>.</w:t>
            </w:r>
            <w:r w:rsidR="006B7402">
              <w:rPr>
                <w:rFonts w:hint="eastAsia"/>
                <w:bCs/>
                <w:color w:val="000000"/>
                <w:szCs w:val="24"/>
              </w:rPr>
              <w:t>64</w:t>
            </w:r>
          </w:p>
        </w:tc>
        <w:tc>
          <w:tcPr>
            <w:tcW w:w="1250" w:type="pct"/>
            <w:vAlign w:val="center"/>
          </w:tcPr>
          <w:p w:rsidR="00424FCE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-</w:t>
            </w:r>
            <w:r w:rsidR="006B7402">
              <w:rPr>
                <w:rFonts w:hint="eastAsia"/>
                <w:color w:val="000000"/>
              </w:rPr>
              <w:t>3,403</w:t>
            </w:r>
            <w:r>
              <w:rPr>
                <w:rFonts w:hint="eastAsia"/>
                <w:color w:val="000000"/>
              </w:rPr>
              <w:t>.</w:t>
            </w:r>
            <w:r w:rsidR="006B7402">
              <w:rPr>
                <w:rFonts w:hint="eastAsia"/>
                <w:color w:val="000000"/>
              </w:rPr>
              <w:t>65</w:t>
            </w:r>
          </w:p>
        </w:tc>
      </w:tr>
      <w:tr w:rsidR="00424FCE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424FCE" w:rsidRDefault="00424FCE" w:rsidP="007B28DC">
            <w:pPr>
              <w:pStyle w:val="142"/>
              <w:ind w:left="568" w:hanging="568"/>
              <w:jc w:val="center"/>
            </w:pPr>
            <w:r>
              <w:rPr>
                <w:rFonts w:hint="eastAsia"/>
              </w:rPr>
              <w:t>1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424FCE" w:rsidRPr="004534C5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</w:rPr>
              <w:t>-1,727.21</w:t>
            </w:r>
          </w:p>
        </w:tc>
        <w:tc>
          <w:tcPr>
            <w:tcW w:w="1250" w:type="pct"/>
            <w:vAlign w:val="center"/>
          </w:tcPr>
          <w:p w:rsidR="00424FCE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</w:rPr>
              <w:t>-</w:t>
            </w:r>
            <w:r w:rsidR="006B7402">
              <w:rPr>
                <w:rFonts w:hint="eastAsia"/>
              </w:rPr>
              <w:t>2</w:t>
            </w:r>
            <w:r>
              <w:rPr>
                <w:rFonts w:hint="eastAsia"/>
              </w:rPr>
              <w:t>,</w:t>
            </w:r>
            <w:r w:rsidR="006B7402">
              <w:rPr>
                <w:rFonts w:hint="eastAsia"/>
              </w:rPr>
              <w:t>249.94</w:t>
            </w:r>
          </w:p>
        </w:tc>
        <w:tc>
          <w:tcPr>
            <w:tcW w:w="1250" w:type="pct"/>
            <w:vAlign w:val="center"/>
          </w:tcPr>
          <w:p w:rsidR="00424FCE" w:rsidRDefault="00424FCE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  <w:color w:val="000000"/>
              </w:rPr>
              <w:t>-</w:t>
            </w:r>
            <w:r w:rsidR="006B7402"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,</w:t>
            </w:r>
            <w:r w:rsidR="006B7402">
              <w:rPr>
                <w:rFonts w:hint="eastAsia"/>
                <w:color w:val="000000"/>
              </w:rPr>
              <w:t>977</w:t>
            </w:r>
            <w:r>
              <w:rPr>
                <w:rFonts w:hint="eastAsia"/>
                <w:color w:val="000000"/>
              </w:rPr>
              <w:t>.</w:t>
            </w:r>
            <w:r w:rsidR="006B7402">
              <w:rPr>
                <w:rFonts w:hint="eastAsia"/>
                <w:color w:val="000000"/>
              </w:rPr>
              <w:t>15</w:t>
            </w:r>
          </w:p>
        </w:tc>
      </w:tr>
      <w:tr w:rsidR="00DF1B0B" w:rsidRPr="003A00B5" w:rsidTr="000C57F4">
        <w:trPr>
          <w:trHeight w:val="340"/>
        </w:trPr>
        <w:tc>
          <w:tcPr>
            <w:tcW w:w="1250" w:type="pct"/>
            <w:shd w:val="clear" w:color="auto" w:fill="auto"/>
            <w:vAlign w:val="center"/>
          </w:tcPr>
          <w:p w:rsidR="00DF1B0B" w:rsidRDefault="00DF1B0B" w:rsidP="007B28DC">
            <w:pPr>
              <w:pStyle w:val="142"/>
              <w:ind w:left="568" w:hanging="568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DF1B0B" w:rsidRDefault="00DF1B0B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</w:rPr>
              <w:t>17,861.48</w:t>
            </w:r>
          </w:p>
        </w:tc>
        <w:tc>
          <w:tcPr>
            <w:tcW w:w="1250" w:type="pct"/>
            <w:vAlign w:val="center"/>
          </w:tcPr>
          <w:p w:rsidR="00DF1B0B" w:rsidRDefault="00DF1B0B" w:rsidP="007B28DC">
            <w:pPr>
              <w:pStyle w:val="142"/>
              <w:ind w:left="568" w:hanging="568"/>
              <w:jc w:val="right"/>
            </w:pPr>
            <w:r>
              <w:rPr>
                <w:rFonts w:hint="eastAsia"/>
              </w:rPr>
              <w:t>-29,767.51</w:t>
            </w:r>
          </w:p>
        </w:tc>
        <w:tc>
          <w:tcPr>
            <w:tcW w:w="1250" w:type="pct"/>
            <w:vAlign w:val="center"/>
          </w:tcPr>
          <w:p w:rsidR="00DF1B0B" w:rsidRDefault="00DF1B0B" w:rsidP="007B28DC">
            <w:pPr>
              <w:pStyle w:val="142"/>
              <w:ind w:left="568" w:hanging="568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-11,90</w:t>
            </w:r>
            <w:r w:rsidR="009B64E8">
              <w:rPr>
                <w:rFonts w:hint="eastAsia"/>
                <w:color w:val="000000"/>
              </w:rPr>
              <w:t>6.03</w:t>
            </w:r>
          </w:p>
        </w:tc>
      </w:tr>
    </w:tbl>
    <w:p w:rsidR="00424FCE" w:rsidRDefault="00424FCE" w:rsidP="006B7402">
      <w:pPr>
        <w:pStyle w:val="142"/>
        <w:ind w:left="2289" w:hangingChars="940" w:hanging="2289"/>
      </w:pPr>
      <w:r>
        <w:rPr>
          <w:rFonts w:hint="eastAsia"/>
        </w:rPr>
        <w:t xml:space="preserve">       說　　明：</w:t>
      </w:r>
      <w:r w:rsidR="006B7402">
        <w:rPr>
          <w:rFonts w:hint="eastAsia"/>
        </w:rPr>
        <w:t>1.總預算：</w:t>
      </w:r>
      <w:r>
        <w:rPr>
          <w:rFonts w:hint="eastAsia"/>
        </w:rPr>
        <w:t>106至113年度為審定決算數，1</w:t>
      </w:r>
      <w:r>
        <w:t>1</w:t>
      </w:r>
      <w:r w:rsidR="006B7402">
        <w:rPr>
          <w:rFonts w:hint="eastAsia"/>
        </w:rPr>
        <w:t>4</w:t>
      </w:r>
      <w:r>
        <w:rPr>
          <w:rFonts w:hint="eastAsia"/>
        </w:rPr>
        <w:t>年度為法定預算數(含追加預算)，115年度為預算案數。</w:t>
      </w:r>
    </w:p>
    <w:p w:rsidR="006B7402" w:rsidRDefault="006B7402" w:rsidP="006B7402">
      <w:pPr>
        <w:pStyle w:val="142"/>
        <w:wordWrap w:val="0"/>
        <w:ind w:left="2289" w:hangingChars="940" w:hanging="2289"/>
        <w:jc w:val="both"/>
      </w:pPr>
      <w:r>
        <w:rPr>
          <w:rFonts w:hint="eastAsia"/>
        </w:rPr>
        <w:t xml:space="preserve">                 2.特別預算：</w:t>
      </w:r>
      <w:r w:rsidRPr="006B7402">
        <w:rPr>
          <w:rFonts w:hint="eastAsia"/>
        </w:rPr>
        <w:t>108年度以前為審定決算數。前瞻基礎建設</w:t>
      </w:r>
      <w:r>
        <w:rPr>
          <w:rFonts w:hint="eastAsia"/>
        </w:rPr>
        <w:t>計畫</w:t>
      </w:r>
      <w:r w:rsidRPr="006B7402">
        <w:rPr>
          <w:rFonts w:hint="eastAsia"/>
        </w:rPr>
        <w:t>第2</w:t>
      </w:r>
      <w:r>
        <w:rPr>
          <w:rFonts w:hint="eastAsia"/>
        </w:rPr>
        <w:t>至4</w:t>
      </w:r>
      <w:r w:rsidRPr="006B7402">
        <w:rPr>
          <w:rFonts w:hint="eastAsia"/>
        </w:rPr>
        <w:t>期(108</w:t>
      </w:r>
      <w:r>
        <w:rPr>
          <w:rFonts w:hint="eastAsia"/>
        </w:rPr>
        <w:t>至</w:t>
      </w:r>
      <w:r w:rsidRPr="006B7402">
        <w:rPr>
          <w:rFonts w:hint="eastAsia"/>
        </w:rPr>
        <w:t>1</w:t>
      </w:r>
      <w:r>
        <w:rPr>
          <w:rFonts w:hint="eastAsia"/>
        </w:rPr>
        <w:t>13</w:t>
      </w:r>
      <w:r w:rsidRPr="006B7402">
        <w:rPr>
          <w:rFonts w:hint="eastAsia"/>
        </w:rPr>
        <w:t>年度)</w:t>
      </w:r>
      <w:r>
        <w:rPr>
          <w:rFonts w:hint="eastAsia"/>
        </w:rPr>
        <w:t>、</w:t>
      </w:r>
      <w:r w:rsidRPr="006B7402">
        <w:rPr>
          <w:rFonts w:hint="eastAsia"/>
        </w:rPr>
        <w:t>嚴重特殊傳染性肺炎防治及紓困振興 (109</w:t>
      </w:r>
      <w:r>
        <w:rPr>
          <w:rFonts w:hint="eastAsia"/>
        </w:rPr>
        <w:t>至</w:t>
      </w:r>
      <w:r w:rsidRPr="006B7402">
        <w:rPr>
          <w:rFonts w:hint="eastAsia"/>
        </w:rPr>
        <w:t>112年度)為審定決算數。新式戰機採購(109</w:t>
      </w:r>
      <w:r>
        <w:rPr>
          <w:rFonts w:hint="eastAsia"/>
        </w:rPr>
        <w:t>至</w:t>
      </w:r>
      <w:r w:rsidRPr="006B7402">
        <w:rPr>
          <w:rFonts w:hint="eastAsia"/>
        </w:rPr>
        <w:t>115年度)、海空戰力提升計畫採購(111</w:t>
      </w:r>
      <w:r>
        <w:rPr>
          <w:rFonts w:hint="eastAsia"/>
        </w:rPr>
        <w:t>至</w:t>
      </w:r>
      <w:r w:rsidRPr="006B7402">
        <w:rPr>
          <w:rFonts w:hint="eastAsia"/>
        </w:rPr>
        <w:t>11</w:t>
      </w:r>
      <w:r>
        <w:rPr>
          <w:rFonts w:hint="eastAsia"/>
        </w:rPr>
        <w:t>5</w:t>
      </w:r>
      <w:r w:rsidRPr="006B7402">
        <w:rPr>
          <w:rFonts w:hint="eastAsia"/>
        </w:rPr>
        <w:t>年度)、疫後強化經濟與社會韌性及全民共享經濟成果(112</w:t>
      </w:r>
      <w:r>
        <w:rPr>
          <w:rFonts w:hint="eastAsia"/>
        </w:rPr>
        <w:t>至</w:t>
      </w:r>
      <w:r w:rsidRPr="006B7402">
        <w:rPr>
          <w:rFonts w:hint="eastAsia"/>
        </w:rPr>
        <w:t>114年度)</w:t>
      </w:r>
      <w:r>
        <w:rPr>
          <w:rFonts w:hint="eastAsia"/>
        </w:rPr>
        <w:t>、</w:t>
      </w:r>
      <w:r w:rsidRPr="006B7402">
        <w:rPr>
          <w:rFonts w:hint="eastAsia"/>
        </w:rPr>
        <w:t>前瞻基礎建設</w:t>
      </w:r>
      <w:r>
        <w:rPr>
          <w:rFonts w:hint="eastAsia"/>
        </w:rPr>
        <w:t>計畫</w:t>
      </w:r>
      <w:r w:rsidRPr="006B7402">
        <w:rPr>
          <w:rFonts w:hint="eastAsia"/>
        </w:rPr>
        <w:t>第5期(114年度)</w:t>
      </w:r>
      <w:r>
        <w:rPr>
          <w:rFonts w:hint="eastAsia"/>
        </w:rPr>
        <w:t>及</w:t>
      </w:r>
      <w:r w:rsidRPr="006B7402">
        <w:rPr>
          <w:rFonts w:hint="eastAsia"/>
        </w:rPr>
        <w:t>丹娜絲颱風及七</w:t>
      </w:r>
      <w:r w:rsidRPr="006B7402">
        <w:rPr>
          <w:rFonts w:hint="eastAsia"/>
        </w:rPr>
        <w:lastRenderedPageBreak/>
        <w:t>二八豪雨災後復原重建(114</w:t>
      </w:r>
      <w:r>
        <w:rPr>
          <w:rFonts w:hint="eastAsia"/>
        </w:rPr>
        <w:t>至</w:t>
      </w:r>
      <w:r w:rsidRPr="006B7402">
        <w:rPr>
          <w:rFonts w:hint="eastAsia"/>
        </w:rPr>
        <w:t>116年度)等特別預算皆為法定預算數。因應國際情勢強化經濟社會及民生國安韌性(114</w:t>
      </w:r>
      <w:r>
        <w:rPr>
          <w:rFonts w:hint="eastAsia"/>
        </w:rPr>
        <w:t>至</w:t>
      </w:r>
      <w:r w:rsidRPr="006B7402">
        <w:rPr>
          <w:rFonts w:hint="eastAsia"/>
        </w:rPr>
        <w:t>116年度)為預算案數</w:t>
      </w:r>
      <w:r>
        <w:rPr>
          <w:rFonts w:hint="eastAsia"/>
        </w:rPr>
        <w:t>。</w:t>
      </w:r>
    </w:p>
    <w:p w:rsidR="006B7402" w:rsidRPr="006B7402" w:rsidRDefault="006B7402" w:rsidP="006B7402">
      <w:pPr>
        <w:pStyle w:val="142"/>
        <w:ind w:left="2289" w:hangingChars="940" w:hanging="2289"/>
        <w:jc w:val="both"/>
      </w:pPr>
      <w:r>
        <w:rPr>
          <w:rFonts w:hint="eastAsia"/>
        </w:rPr>
        <w:t xml:space="preserve">                 3.合計欄尾差係四捨五入</w:t>
      </w:r>
      <w:r w:rsidR="00D43CC5">
        <w:rPr>
          <w:rFonts w:hint="eastAsia"/>
        </w:rPr>
        <w:t>加總</w:t>
      </w:r>
      <w:r>
        <w:rPr>
          <w:rFonts w:hint="eastAsia"/>
        </w:rPr>
        <w:t>所致。</w:t>
      </w:r>
    </w:p>
    <w:p w:rsidR="00424FCE" w:rsidRDefault="00424FCE" w:rsidP="006B7402">
      <w:pPr>
        <w:pStyle w:val="142"/>
        <w:ind w:leftChars="300" w:left="2128" w:hangingChars="525" w:hanging="1278"/>
      </w:pPr>
      <w:r w:rsidRPr="00F87458">
        <w:rPr>
          <w:rFonts w:hint="eastAsia"/>
        </w:rPr>
        <w:t>資料來源：財政部</w:t>
      </w:r>
      <w:r>
        <w:rPr>
          <w:rFonts w:hint="eastAsia"/>
        </w:rPr>
        <w:t>國庫署</w:t>
      </w:r>
      <w:r w:rsidRPr="00F87458">
        <w:rPr>
          <w:rFonts w:hint="eastAsia"/>
        </w:rPr>
        <w:t>。</w:t>
      </w:r>
    </w:p>
    <w:p w:rsidR="00424FCE" w:rsidRDefault="00424FCE" w:rsidP="00D43CC5">
      <w:pPr>
        <w:pStyle w:val="a4"/>
        <w:ind w:left="851" w:hanging="284"/>
        <w:rPr>
          <w:b/>
        </w:rPr>
      </w:pPr>
      <w:r>
        <w:rPr>
          <w:rFonts w:hint="eastAsia"/>
          <w:b/>
        </w:rPr>
        <w:t>(二)</w:t>
      </w:r>
      <w:r w:rsidR="00D43CC5" w:rsidRPr="00D43CC5">
        <w:rPr>
          <w:rFonts w:hint="eastAsia"/>
          <w:b/>
        </w:rPr>
        <w:t>115年度中央政府總預算舉借債務數</w:t>
      </w:r>
      <w:r w:rsidR="00E8228B">
        <w:rPr>
          <w:rFonts w:hint="eastAsia"/>
          <w:b/>
        </w:rPr>
        <w:t>創</w:t>
      </w:r>
      <w:r w:rsidR="00D43CC5" w:rsidRPr="00D43CC5">
        <w:rPr>
          <w:rFonts w:hint="eastAsia"/>
          <w:b/>
        </w:rPr>
        <w:t>近10年度</w:t>
      </w:r>
      <w:r w:rsidR="00E8228B">
        <w:rPr>
          <w:rFonts w:hint="eastAsia"/>
          <w:b/>
        </w:rPr>
        <w:t>新高，連同特別預算</w:t>
      </w:r>
      <w:r w:rsidR="00E8228B" w:rsidRPr="00D43CC5">
        <w:rPr>
          <w:rFonts w:hint="eastAsia"/>
          <w:b/>
        </w:rPr>
        <w:t>債務</w:t>
      </w:r>
      <w:r w:rsidR="00E8228B">
        <w:rPr>
          <w:rFonts w:hint="eastAsia"/>
          <w:b/>
        </w:rPr>
        <w:t>舉借之合計數，亦高於近10年度</w:t>
      </w:r>
      <w:r w:rsidR="00DB5E5F">
        <w:rPr>
          <w:rFonts w:hint="eastAsia"/>
          <w:b/>
        </w:rPr>
        <w:t>平均值</w:t>
      </w:r>
    </w:p>
    <w:p w:rsidR="00424FCE" w:rsidRDefault="00E7133B" w:rsidP="00437714">
      <w:pPr>
        <w:pStyle w:val="2"/>
        <w:ind w:left="850" w:firstLine="567"/>
      </w:pPr>
      <w:r>
        <w:rPr>
          <w:rFonts w:hint="eastAsia"/>
        </w:rPr>
        <w:t>彙整近10年度</w:t>
      </w:r>
      <w:r w:rsidR="00A03BB1">
        <w:rPr>
          <w:rFonts w:hint="eastAsia"/>
        </w:rPr>
        <w:t>(106至115年度，以下同)</w:t>
      </w:r>
      <w:r w:rsidRPr="00E7133B">
        <w:rPr>
          <w:rFonts w:hint="eastAsia"/>
        </w:rPr>
        <w:t>中央政府總預算及特別預算舉借債務</w:t>
      </w:r>
      <w:bookmarkStart w:id="8" w:name="_Hlk209016610"/>
      <w:r w:rsidR="00437714">
        <w:rPr>
          <w:rFonts w:hint="eastAsia"/>
        </w:rPr>
        <w:t>預算</w:t>
      </w:r>
      <w:r w:rsidRPr="00E7133B">
        <w:rPr>
          <w:rFonts w:hint="eastAsia"/>
        </w:rPr>
        <w:t>數</w:t>
      </w:r>
      <w:bookmarkEnd w:id="8"/>
      <w:r w:rsidR="00424FCE" w:rsidRPr="002201CC">
        <w:rPr>
          <w:rFonts w:hint="eastAsia"/>
        </w:rPr>
        <w:t>資料</w:t>
      </w:r>
      <w:r w:rsidR="00437714">
        <w:rPr>
          <w:rFonts w:hint="eastAsia"/>
        </w:rPr>
        <w:t>(詳表2)</w:t>
      </w:r>
      <w:r w:rsidR="00424FCE" w:rsidRPr="002201CC">
        <w:rPr>
          <w:rFonts w:hint="eastAsia"/>
        </w:rPr>
        <w:t>，</w:t>
      </w:r>
      <w:r w:rsidR="00A03BB1">
        <w:rPr>
          <w:rFonts w:hint="eastAsia"/>
        </w:rPr>
        <w:t>115年度</w:t>
      </w:r>
      <w:r w:rsidR="00A03BB1" w:rsidRPr="00E7133B">
        <w:rPr>
          <w:rFonts w:hint="eastAsia"/>
        </w:rPr>
        <w:t>中央政府總預算舉借債務</w:t>
      </w:r>
      <w:r w:rsidR="00A03BB1">
        <w:rPr>
          <w:rFonts w:hint="eastAsia"/>
        </w:rPr>
        <w:t>數為2,992億元，創近10年度新高</w:t>
      </w:r>
      <w:r w:rsidR="00820FCD">
        <w:rPr>
          <w:rFonts w:hint="eastAsia"/>
        </w:rPr>
        <w:t>，而</w:t>
      </w:r>
      <w:r w:rsidR="00A03BB1">
        <w:rPr>
          <w:rFonts w:hint="eastAsia"/>
        </w:rPr>
        <w:t>同期間</w:t>
      </w:r>
      <w:r w:rsidR="00437714">
        <w:rPr>
          <w:rFonts w:hint="eastAsia"/>
        </w:rPr>
        <w:t>總預算、特別預算舉</w:t>
      </w:r>
      <w:r w:rsidR="00B04D46">
        <w:rPr>
          <w:rFonts w:hint="eastAsia"/>
        </w:rPr>
        <w:t>債務</w:t>
      </w:r>
      <w:r w:rsidR="00A03BB1">
        <w:rPr>
          <w:rFonts w:hint="eastAsia"/>
        </w:rPr>
        <w:t>合計數</w:t>
      </w:r>
      <w:r w:rsidR="00E8228B">
        <w:rPr>
          <w:rFonts w:hint="eastAsia"/>
        </w:rPr>
        <w:t>則</w:t>
      </w:r>
      <w:r w:rsidR="00A03BB1">
        <w:rPr>
          <w:rFonts w:hint="eastAsia"/>
        </w:rPr>
        <w:t>介於1,796至6,287億元間，其中</w:t>
      </w:r>
      <w:r w:rsidR="00437714">
        <w:rPr>
          <w:rFonts w:hint="eastAsia"/>
        </w:rPr>
        <w:t>115年度</w:t>
      </w:r>
      <w:r w:rsidR="00A03BB1">
        <w:rPr>
          <w:rFonts w:hint="eastAsia"/>
        </w:rPr>
        <w:t>合計數為</w:t>
      </w:r>
      <w:r w:rsidR="00437714">
        <w:rPr>
          <w:rFonts w:hint="eastAsia"/>
        </w:rPr>
        <w:t>4,000億元，</w:t>
      </w:r>
      <w:r w:rsidR="00A03BB1">
        <w:rPr>
          <w:rFonts w:hint="eastAsia"/>
        </w:rPr>
        <w:t>除</w:t>
      </w:r>
      <w:r w:rsidR="00437714">
        <w:rPr>
          <w:rFonts w:hint="eastAsia"/>
        </w:rPr>
        <w:t>高於近10年度平均值</w:t>
      </w:r>
      <w:r w:rsidR="00E8228B">
        <w:rPr>
          <w:rFonts w:hint="eastAsia"/>
        </w:rPr>
        <w:t>之</w:t>
      </w:r>
      <w:r w:rsidR="00437714">
        <w:rPr>
          <w:rFonts w:hint="eastAsia"/>
        </w:rPr>
        <w:t>3,503億元</w:t>
      </w:r>
      <w:r w:rsidR="00A03BB1">
        <w:rPr>
          <w:rFonts w:hint="eastAsia"/>
        </w:rPr>
        <w:t>外，亦僅次於</w:t>
      </w:r>
      <w:r w:rsidR="00820FCD">
        <w:rPr>
          <w:rFonts w:hint="eastAsia"/>
        </w:rPr>
        <w:t>109至111年度</w:t>
      </w:r>
      <w:r w:rsidR="00437714">
        <w:rPr>
          <w:rFonts w:hint="eastAsia"/>
        </w:rPr>
        <w:t>因應</w:t>
      </w:r>
      <w:r w:rsidR="00437714" w:rsidRPr="00437714">
        <w:rPr>
          <w:rFonts w:hint="eastAsia"/>
        </w:rPr>
        <w:t>嚴重特殊傳染性肺炎</w:t>
      </w:r>
      <w:r w:rsidR="00A03BB1">
        <w:rPr>
          <w:rFonts w:hint="eastAsia"/>
        </w:rPr>
        <w:t>(Covid-19)</w:t>
      </w:r>
      <w:r w:rsidR="00820FCD">
        <w:rPr>
          <w:rFonts w:hint="eastAsia"/>
        </w:rPr>
        <w:t>期間</w:t>
      </w:r>
      <w:r w:rsidR="00437714">
        <w:rPr>
          <w:rFonts w:hint="eastAsia"/>
        </w:rPr>
        <w:t>之</w:t>
      </w:r>
      <w:r w:rsidR="00437714" w:rsidRPr="00437714">
        <w:rPr>
          <w:rFonts w:hint="eastAsia"/>
        </w:rPr>
        <w:t>舉借債務</w:t>
      </w:r>
      <w:r w:rsidR="00437714">
        <w:rPr>
          <w:rFonts w:hint="eastAsia"/>
        </w:rPr>
        <w:t>數</w:t>
      </w:r>
      <w:r w:rsidR="00A03BB1">
        <w:rPr>
          <w:rFonts w:hint="eastAsia"/>
        </w:rPr>
        <w:t>，在近10年度中排名第4。</w:t>
      </w:r>
    </w:p>
    <w:p w:rsidR="00E8228B" w:rsidRDefault="00820FCD" w:rsidP="00437714">
      <w:pPr>
        <w:pStyle w:val="2"/>
        <w:ind w:left="850" w:firstLine="567"/>
      </w:pPr>
      <w:r>
        <w:rPr>
          <w:rFonts w:hint="eastAsia"/>
        </w:rPr>
        <w:t>另</w:t>
      </w:r>
      <w:r w:rsidR="00E8228B">
        <w:rPr>
          <w:rFonts w:hint="eastAsia"/>
        </w:rPr>
        <w:t>揆近8年度中央政府1年以上公共債務未償餘額審定決算數據，自106年度之5兆3,530億元，</w:t>
      </w:r>
      <w:r w:rsidR="00302295">
        <w:rPr>
          <w:rFonts w:hint="eastAsia"/>
        </w:rPr>
        <w:t>上升至</w:t>
      </w:r>
      <w:r w:rsidR="00E8228B">
        <w:rPr>
          <w:rFonts w:hint="eastAsia"/>
        </w:rPr>
        <w:t>113年度之6</w:t>
      </w:r>
      <w:r w:rsidR="00302295">
        <w:rPr>
          <w:rFonts w:hint="eastAsia"/>
        </w:rPr>
        <w:t>兆1,490億元，增加7,960億元(增幅14.9%)；114</w:t>
      </w:r>
      <w:r w:rsidR="00B04D46">
        <w:rPr>
          <w:rFonts w:hint="eastAsia"/>
        </w:rPr>
        <w:t>法定預算數</w:t>
      </w:r>
      <w:r w:rsidR="00302295">
        <w:rPr>
          <w:rFonts w:hint="eastAsia"/>
        </w:rPr>
        <w:t>及115年度</w:t>
      </w:r>
      <w:r>
        <w:rPr>
          <w:rFonts w:hint="eastAsia"/>
        </w:rPr>
        <w:t>預算案數</w:t>
      </w:r>
      <w:r w:rsidR="00302295">
        <w:rPr>
          <w:rFonts w:hint="eastAsia"/>
        </w:rPr>
        <w:t>再增為6兆</w:t>
      </w:r>
      <w:r>
        <w:rPr>
          <w:rFonts w:hint="eastAsia"/>
        </w:rPr>
        <w:t>5</w:t>
      </w:r>
      <w:r w:rsidR="00302295">
        <w:rPr>
          <w:rFonts w:hint="eastAsia"/>
        </w:rPr>
        <w:t>,8</w:t>
      </w:r>
      <w:r>
        <w:rPr>
          <w:rFonts w:hint="eastAsia"/>
        </w:rPr>
        <w:t>24</w:t>
      </w:r>
      <w:r w:rsidR="00302295">
        <w:rPr>
          <w:rFonts w:hint="eastAsia"/>
        </w:rPr>
        <w:t>億元及6兆</w:t>
      </w:r>
      <w:r>
        <w:rPr>
          <w:rFonts w:hint="eastAsia"/>
        </w:rPr>
        <w:t>8</w:t>
      </w:r>
      <w:r w:rsidR="00302295">
        <w:rPr>
          <w:rFonts w:hint="eastAsia"/>
        </w:rPr>
        <w:t>,</w:t>
      </w:r>
      <w:r>
        <w:rPr>
          <w:rFonts w:hint="eastAsia"/>
        </w:rPr>
        <w:t>559</w:t>
      </w:r>
      <w:r w:rsidR="00302295">
        <w:rPr>
          <w:rFonts w:hint="eastAsia"/>
        </w:rPr>
        <w:t>億元，債務未償餘額呈上升趨勢</w:t>
      </w:r>
      <w:r w:rsidR="00E8228B">
        <w:rPr>
          <w:rFonts w:hint="eastAsia"/>
          <w:color w:val="000000"/>
        </w:rPr>
        <w:t>。</w:t>
      </w:r>
    </w:p>
    <w:p w:rsidR="00424FCE" w:rsidRDefault="00424FCE" w:rsidP="005D1AC8">
      <w:pPr>
        <w:ind w:leftChars="0" w:left="1490" w:hangingChars="525" w:hanging="1490"/>
        <w:jc w:val="left"/>
        <w:rPr>
          <w:b/>
        </w:rPr>
      </w:pPr>
      <w:r>
        <w:rPr>
          <w:rFonts w:hint="eastAsia"/>
          <w:b/>
        </w:rPr>
        <w:t xml:space="preserve">      </w:t>
      </w:r>
      <w:r w:rsidRPr="0060232F">
        <w:rPr>
          <w:rFonts w:hint="eastAsia"/>
          <w:b/>
        </w:rPr>
        <w:t>表</w:t>
      </w:r>
      <w:r>
        <w:rPr>
          <w:rFonts w:hint="eastAsia"/>
          <w:b/>
        </w:rPr>
        <w:t xml:space="preserve">2 </w:t>
      </w:r>
      <w:r w:rsidR="00DB5E5F">
        <w:rPr>
          <w:rFonts w:hint="eastAsia"/>
          <w:b/>
        </w:rPr>
        <w:t>106至115年度</w:t>
      </w:r>
      <w:r w:rsidR="00DB5E5F" w:rsidRPr="00DB5E5F">
        <w:rPr>
          <w:rFonts w:hint="eastAsia"/>
          <w:b/>
        </w:rPr>
        <w:t>中央政府總預算及特別預算舉借債務</w:t>
      </w:r>
      <w:r w:rsidR="00437714" w:rsidRPr="00437714">
        <w:rPr>
          <w:rFonts w:hint="eastAsia"/>
          <w:b/>
        </w:rPr>
        <w:t>預算數</w:t>
      </w:r>
      <w:r w:rsidRPr="00DE6D14">
        <w:rPr>
          <w:rFonts w:hint="eastAsia"/>
          <w:b/>
        </w:rPr>
        <w:t>概況表</w:t>
      </w:r>
      <w:r>
        <w:rPr>
          <w:rFonts w:hint="eastAsia"/>
          <w:b/>
        </w:rPr>
        <w:t xml:space="preserve">   </w:t>
      </w:r>
      <w:r w:rsidR="00437714">
        <w:rPr>
          <w:rFonts w:hint="eastAsia"/>
          <w:b/>
        </w:rPr>
        <w:t xml:space="preserve">     </w:t>
      </w:r>
      <w:r>
        <w:rPr>
          <w:rFonts w:hint="eastAsia"/>
          <w:b/>
        </w:rPr>
        <w:t xml:space="preserve">      </w:t>
      </w:r>
      <w:r w:rsidR="00DB5E5F">
        <w:rPr>
          <w:rFonts w:hint="eastAsia"/>
          <w:b/>
        </w:rPr>
        <w:t xml:space="preserve">             </w:t>
      </w:r>
      <w:r>
        <w:rPr>
          <w:rFonts w:hint="eastAsia"/>
          <w:b/>
        </w:rPr>
        <w:t xml:space="preserve">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新臺幣億元</w:t>
      </w:r>
    </w:p>
    <w:tbl>
      <w:tblPr>
        <w:tblW w:w="7654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212"/>
        <w:gridCol w:w="2183"/>
        <w:gridCol w:w="1842"/>
      </w:tblGrid>
      <w:tr w:rsidR="00424FCE" w:rsidRPr="00257F10" w:rsidTr="00437714">
        <w:trPr>
          <w:trHeight w:val="340"/>
          <w:tblHeader/>
        </w:trPr>
        <w:tc>
          <w:tcPr>
            <w:tcW w:w="1417" w:type="dxa"/>
            <w:shd w:val="clear" w:color="auto" w:fill="auto"/>
            <w:noWrap/>
            <w:vAlign w:val="center"/>
          </w:tcPr>
          <w:p w:rsidR="00424FCE" w:rsidRPr="003D5DD1" w:rsidRDefault="00424FCE" w:rsidP="00FA34F1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424FCE" w:rsidRPr="005D1AC8" w:rsidRDefault="00DB5E5F" w:rsidP="005D1AC8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總預算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424FCE" w:rsidRPr="005D1AC8" w:rsidRDefault="00DB5E5F" w:rsidP="005D1AC8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特別預算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24FCE" w:rsidRPr="005D1AC8" w:rsidRDefault="00DB5E5F" w:rsidP="005D1AC8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合計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Pr="00257F10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106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2,069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161</w:t>
            </w:r>
          </w:p>
        </w:tc>
        <w:tc>
          <w:tcPr>
            <w:tcW w:w="1842" w:type="dxa"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2,230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Pr="00257F10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107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1,269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1,014</w:t>
            </w:r>
          </w:p>
        </w:tc>
        <w:tc>
          <w:tcPr>
            <w:tcW w:w="1842" w:type="dxa"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2,283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Pr="0060232F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108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891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1,047</w:t>
            </w:r>
          </w:p>
        </w:tc>
        <w:tc>
          <w:tcPr>
            <w:tcW w:w="1842" w:type="dxa"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1,938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109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556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3,882</w:t>
            </w:r>
          </w:p>
        </w:tc>
        <w:tc>
          <w:tcPr>
            <w:tcW w:w="1842" w:type="dxa"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4,438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110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1,675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4,612</w:t>
            </w:r>
          </w:p>
        </w:tc>
        <w:tc>
          <w:tcPr>
            <w:tcW w:w="1842" w:type="dxa"/>
            <w:vAlign w:val="center"/>
          </w:tcPr>
          <w:p w:rsidR="00DB5E5F" w:rsidRPr="005D1AC8" w:rsidRDefault="00DB5E5F" w:rsidP="00DB5E5F">
            <w:pPr>
              <w:pStyle w:val="142"/>
              <w:ind w:left="560" w:firstLine="560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6,287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440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4,196</w:t>
            </w:r>
          </w:p>
        </w:tc>
        <w:tc>
          <w:tcPr>
            <w:tcW w:w="1842" w:type="dxa"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4,636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1,732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2,126</w:t>
            </w:r>
          </w:p>
        </w:tc>
        <w:tc>
          <w:tcPr>
            <w:tcW w:w="1842" w:type="dxa"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3,858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113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1,571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1,997</w:t>
            </w:r>
          </w:p>
        </w:tc>
        <w:tc>
          <w:tcPr>
            <w:tcW w:w="1842" w:type="dxa"/>
            <w:vAlign w:val="center"/>
          </w:tcPr>
          <w:p w:rsidR="00DB5E5F" w:rsidRPr="005D1AC8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3,568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14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Default="00437714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1,796</w:t>
            </w:r>
          </w:p>
        </w:tc>
        <w:tc>
          <w:tcPr>
            <w:tcW w:w="1842" w:type="dxa"/>
            <w:vAlign w:val="center"/>
          </w:tcPr>
          <w:p w:rsidR="00DB5E5F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1,796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115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2,992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1,008</w:t>
            </w:r>
          </w:p>
        </w:tc>
        <w:tc>
          <w:tcPr>
            <w:tcW w:w="1842" w:type="dxa"/>
            <w:vAlign w:val="center"/>
          </w:tcPr>
          <w:p w:rsidR="00DB5E5F" w:rsidRDefault="00DB5E5F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4,000</w:t>
            </w:r>
          </w:p>
        </w:tc>
      </w:tr>
      <w:tr w:rsidR="00DB5E5F" w:rsidRPr="00257F10" w:rsidTr="00DB5E5F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DB5E5F" w:rsidRDefault="00DB5E5F" w:rsidP="00DB5E5F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lastRenderedPageBreak/>
              <w:t>平均值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DB5E5F" w:rsidRDefault="00437714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1,320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DB5E5F" w:rsidRDefault="00437714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2,184</w:t>
            </w:r>
          </w:p>
        </w:tc>
        <w:tc>
          <w:tcPr>
            <w:tcW w:w="1842" w:type="dxa"/>
            <w:vAlign w:val="center"/>
          </w:tcPr>
          <w:p w:rsidR="00DB5E5F" w:rsidRDefault="00437714" w:rsidP="00DB5E5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3,503</w:t>
            </w:r>
          </w:p>
        </w:tc>
      </w:tr>
    </w:tbl>
    <w:p w:rsidR="00424FCE" w:rsidRDefault="00424FCE" w:rsidP="005D1AC8">
      <w:pPr>
        <w:pStyle w:val="142"/>
        <w:ind w:left="2496" w:hangingChars="1025" w:hanging="2496"/>
      </w:pPr>
      <w:r>
        <w:rPr>
          <w:rFonts w:hint="eastAsia"/>
        </w:rPr>
        <w:t xml:space="preserve">       資料來源：</w:t>
      </w:r>
      <w:r w:rsidR="00437714">
        <w:rPr>
          <w:rFonts w:hint="eastAsia"/>
        </w:rPr>
        <w:t>整理自106至115年度中央政府總預算案總說明及主要附表</w:t>
      </w:r>
      <w:r>
        <w:rPr>
          <w:rFonts w:hint="eastAsia"/>
        </w:rPr>
        <w:t>。</w:t>
      </w:r>
    </w:p>
    <w:p w:rsidR="00424FCE" w:rsidRDefault="00424FCE" w:rsidP="00BF0014">
      <w:pPr>
        <w:ind w:left="567" w:firstLine="567"/>
      </w:pPr>
      <w:r>
        <w:rPr>
          <w:rFonts w:hint="eastAsia"/>
        </w:rPr>
        <w:t>綜上，</w:t>
      </w:r>
      <w:r w:rsidR="00302295">
        <w:rPr>
          <w:rFonts w:hint="eastAsia"/>
        </w:rPr>
        <w:t>115年度中央政府總預算</w:t>
      </w:r>
      <w:r w:rsidR="00B04D46">
        <w:rPr>
          <w:rFonts w:hint="eastAsia"/>
        </w:rPr>
        <w:t>案</w:t>
      </w:r>
      <w:r w:rsidR="00302295">
        <w:rPr>
          <w:rFonts w:hint="eastAsia"/>
        </w:rPr>
        <w:t>舉借債務數創近10年度新高</w:t>
      </w:r>
      <w:r w:rsidR="00302295" w:rsidRPr="00302295">
        <w:rPr>
          <w:rFonts w:hint="eastAsia"/>
        </w:rPr>
        <w:t>，連同特別預算債務舉借之合計數，亦高於近10年度平均值</w:t>
      </w:r>
      <w:r w:rsidR="00302295">
        <w:rPr>
          <w:rFonts w:hint="eastAsia"/>
        </w:rPr>
        <w:t>，且中央政府1年以上公共債務未償餘額呈上升趨勢</w:t>
      </w:r>
      <w:r w:rsidR="00820FCD">
        <w:rPr>
          <w:rFonts w:hint="eastAsia"/>
        </w:rPr>
        <w:t>，115年度預算案數達6兆8,559億元</w:t>
      </w:r>
      <w:r w:rsidR="00302295">
        <w:rPr>
          <w:rFonts w:hint="eastAsia"/>
        </w:rPr>
        <w:t>。是以，相關機關</w:t>
      </w:r>
      <w:r w:rsidR="00302295" w:rsidRPr="002E38C8">
        <w:rPr>
          <w:rFonts w:hint="eastAsia"/>
        </w:rPr>
        <w:t>允宜</w:t>
      </w:r>
      <w:r w:rsidR="00302295">
        <w:rPr>
          <w:rFonts w:hint="eastAsia"/>
        </w:rPr>
        <w:t>落實</w:t>
      </w:r>
      <w:r w:rsidR="00302295" w:rsidRPr="002E38C8">
        <w:rPr>
          <w:rFonts w:hint="eastAsia"/>
        </w:rPr>
        <w:t>開源節流</w:t>
      </w:r>
      <w:r w:rsidR="00302295">
        <w:rPr>
          <w:rFonts w:hint="eastAsia"/>
        </w:rPr>
        <w:t>措施，並妥</w:t>
      </w:r>
      <w:r w:rsidR="00302295" w:rsidRPr="002E38C8">
        <w:rPr>
          <w:rFonts w:hint="eastAsia"/>
        </w:rPr>
        <w:t>控債務規模</w:t>
      </w:r>
      <w:r w:rsidRPr="006C41E3">
        <w:rPr>
          <w:rFonts w:hint="eastAsia"/>
        </w:rPr>
        <w:t>，以維財政健全</w:t>
      </w:r>
      <w:r>
        <w:rPr>
          <w:rFonts w:hint="eastAsia"/>
        </w:rPr>
        <w:t>。</w:t>
      </w:r>
    </w:p>
    <w:bookmarkEnd w:id="2"/>
    <w:bookmarkEnd w:id="3"/>
    <w:bookmarkEnd w:id="0"/>
    <w:bookmarkEnd w:id="4"/>
    <w:bookmarkEnd w:id="5"/>
    <w:bookmarkEnd w:id="6"/>
    <w:sectPr w:rsidR="00424FCE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DB4DC4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DC4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68A350F7-8AD2-4EFB-B474-C9003B22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B94EC-09EE-4408-A103-8FBA73EB9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453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