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424FCE" w:rsidRDefault="00424FCE" w:rsidP="002D67C3">
      <w:pPr>
        <w:pStyle w:val="14"/>
        <w:ind w:left="507" w:hangingChars="180" w:hanging="507"/>
        <w:rPr>
          <w:spacing w:val="-1"/>
        </w:rPr>
      </w:pPr>
      <w:bookmarkStart w:id="2" w:name="_Toc85461137"/>
      <w:bookmarkStart w:id="3" w:name="_Toc85643861"/>
      <w:bookmarkStart w:id="4" w:name="_Toc68683314"/>
      <w:bookmarkStart w:id="5" w:name="_Toc98899676"/>
      <w:bookmarkStart w:id="6" w:name="_Toc98899839"/>
      <w:bookmarkStart w:id="7" w:name="_Toc212619425"/>
      <w:r>
        <w:rPr>
          <w:rFonts w:hint="eastAsia"/>
          <w:spacing w:val="-1"/>
        </w:rPr>
        <w:t>二、截至114年8月底止，</w:t>
      </w:r>
      <w:r w:rsidRPr="004F3A2E">
        <w:rPr>
          <w:rFonts w:hint="eastAsia"/>
          <w:spacing w:val="-1"/>
        </w:rPr>
        <w:t>財政部</w:t>
      </w:r>
      <w:r>
        <w:rPr>
          <w:rFonts w:hint="eastAsia"/>
          <w:spacing w:val="-1"/>
        </w:rPr>
        <w:t>所屬</w:t>
      </w:r>
      <w:r w:rsidRPr="004F3A2E">
        <w:rPr>
          <w:rFonts w:hint="eastAsia"/>
          <w:spacing w:val="-1"/>
        </w:rPr>
        <w:t>國營事業董</w:t>
      </w:r>
      <w:r>
        <w:rPr>
          <w:rFonts w:hint="eastAsia"/>
          <w:spacing w:val="-1"/>
        </w:rPr>
        <w:t>、監事之任一</w:t>
      </w:r>
      <w:r w:rsidRPr="004E7901">
        <w:rPr>
          <w:rFonts w:hAnsi="標楷體" w:hint="eastAsia"/>
        </w:rPr>
        <w:t>性別比率</w:t>
      </w:r>
      <w:r>
        <w:rPr>
          <w:rFonts w:hAnsi="標楷體" w:hint="eastAsia"/>
        </w:rPr>
        <w:t>尚</w:t>
      </w:r>
      <w:r w:rsidRPr="004E7901">
        <w:rPr>
          <w:rFonts w:hAnsi="標楷體" w:hint="eastAsia"/>
        </w:rPr>
        <w:t>未達三分之一</w:t>
      </w:r>
      <w:r>
        <w:rPr>
          <w:rFonts w:hAnsi="標楷體" w:hint="eastAsia"/>
        </w:rPr>
        <w:t>目標值</w:t>
      </w:r>
      <w:r w:rsidRPr="004E7901">
        <w:rPr>
          <w:rFonts w:hAnsi="標楷體" w:hint="eastAsia"/>
        </w:rPr>
        <w:t>，允宜</w:t>
      </w:r>
      <w:r>
        <w:rPr>
          <w:rFonts w:hAnsi="標楷體" w:hint="eastAsia"/>
        </w:rPr>
        <w:t>持續改進</w:t>
      </w:r>
      <w:r w:rsidRPr="00EA2536">
        <w:rPr>
          <w:rFonts w:hAnsi="標楷體" w:hint="eastAsia"/>
        </w:rPr>
        <w:t>，以落實性別平等政策之推動</w:t>
      </w:r>
      <w:bookmarkEnd w:id="7"/>
    </w:p>
    <w:p w:rsidR="00424FCE" w:rsidRDefault="00424FCE" w:rsidP="00FF18B3">
      <w:pPr>
        <w:ind w:left="567" w:firstLine="567"/>
        <w:rPr>
          <w:spacing w:val="-1"/>
        </w:rPr>
      </w:pPr>
      <w:r>
        <w:rPr>
          <w:rFonts w:hint="eastAsia"/>
        </w:rPr>
        <w:t>財政部</w:t>
      </w:r>
      <w:r>
        <w:rPr>
          <w:rFonts w:hint="eastAsia"/>
          <w:color w:val="000000"/>
        </w:rPr>
        <w:t>115</w:t>
      </w:r>
      <w:r w:rsidRPr="0064432C">
        <w:rPr>
          <w:rFonts w:hint="eastAsia"/>
          <w:color w:val="000000"/>
        </w:rPr>
        <w:t>年度預算案</w:t>
      </w:r>
      <w:r>
        <w:rPr>
          <w:rFonts w:hint="eastAsia"/>
          <w:color w:val="000000"/>
        </w:rPr>
        <w:t>於「一般行政」項下編列「</w:t>
      </w:r>
      <w:r w:rsidRPr="00BC6FCE">
        <w:rPr>
          <w:rFonts w:hint="eastAsia"/>
          <w:color w:val="000000"/>
        </w:rPr>
        <w:t>性別平等專案小組外聘委員出席費及性別影響評估檢視表審查等</w:t>
      </w:r>
      <w:r>
        <w:rPr>
          <w:rFonts w:hint="eastAsia"/>
          <w:color w:val="000000"/>
        </w:rPr>
        <w:t>」經費5</w:t>
      </w:r>
      <w:r w:rsidRPr="002C1904">
        <w:rPr>
          <w:rFonts w:hint="eastAsia"/>
        </w:rPr>
        <w:t>萬</w:t>
      </w:r>
      <w:r>
        <w:rPr>
          <w:rFonts w:hint="eastAsia"/>
        </w:rPr>
        <w:t>3</w:t>
      </w:r>
      <w:r w:rsidRPr="002C1904">
        <w:rPr>
          <w:rFonts w:hint="eastAsia"/>
        </w:rPr>
        <w:t>千元</w:t>
      </w:r>
      <w:r>
        <w:rPr>
          <w:rFonts w:hint="eastAsia"/>
        </w:rPr>
        <w:t>及「</w:t>
      </w:r>
      <w:r w:rsidRPr="005B7143">
        <w:rPr>
          <w:rFonts w:hint="eastAsia"/>
        </w:rPr>
        <w:t>性別平等教育訓練</w:t>
      </w:r>
      <w:r>
        <w:rPr>
          <w:rFonts w:hint="eastAsia"/>
        </w:rPr>
        <w:t>」相關經費2萬元，合計7萬3千元</w:t>
      </w:r>
      <w:r w:rsidRPr="00D93803">
        <w:rPr>
          <w:rFonts w:hint="eastAsia"/>
        </w:rPr>
        <w:t>。</w:t>
      </w:r>
      <w:r>
        <w:rPr>
          <w:rFonts w:hint="eastAsia"/>
        </w:rPr>
        <w:t>經查</w:t>
      </w:r>
      <w:r w:rsidRPr="00D93803">
        <w:rPr>
          <w:rFonts w:hint="eastAsia"/>
        </w:rPr>
        <w:t>：</w:t>
      </w:r>
    </w:p>
    <w:p w:rsidR="00424FCE" w:rsidRDefault="00424FCE" w:rsidP="002D67C3">
      <w:pPr>
        <w:pStyle w:val="a4"/>
        <w:ind w:left="849" w:hanging="282"/>
        <w:rPr>
          <w:b/>
          <w:spacing w:val="-1"/>
        </w:rPr>
      </w:pPr>
      <w:r>
        <w:rPr>
          <w:rFonts w:hint="eastAsia"/>
          <w:b/>
          <w:spacing w:val="-1"/>
        </w:rPr>
        <w:t>(一</w:t>
      </w:r>
      <w:r>
        <w:rPr>
          <w:b/>
          <w:spacing w:val="-1"/>
        </w:rPr>
        <w:t>)</w:t>
      </w:r>
      <w:r>
        <w:rPr>
          <w:rFonts w:hint="eastAsia"/>
          <w:b/>
          <w:spacing w:val="-1"/>
        </w:rPr>
        <w:t>財政部為促進公部門決策參與之性別平等，訂定性別平等計</w:t>
      </w:r>
      <w:r>
        <w:rPr>
          <w:rFonts w:hint="eastAsia"/>
          <w:b/>
          <w:spacing w:val="-1"/>
        </w:rPr>
        <w:lastRenderedPageBreak/>
        <w:t>畫，並以經管國營事業董、監事</w:t>
      </w:r>
      <w:r w:rsidRPr="00FF18B3">
        <w:rPr>
          <w:rFonts w:hint="eastAsia"/>
          <w:b/>
          <w:spacing w:val="-1"/>
        </w:rPr>
        <w:t>任一性別比率</w:t>
      </w:r>
      <w:r>
        <w:rPr>
          <w:rFonts w:hint="eastAsia"/>
          <w:b/>
          <w:spacing w:val="-1"/>
        </w:rPr>
        <w:t>達於三分之一為目標</w:t>
      </w:r>
    </w:p>
    <w:p w:rsidR="00424FCE" w:rsidRDefault="00424FCE" w:rsidP="00FF18B3">
      <w:pPr>
        <w:pStyle w:val="2"/>
        <w:ind w:left="850" w:firstLine="567"/>
        <w:rPr>
          <w:rFonts w:hAnsi="標楷體" w:cs="微軟正黑體"/>
        </w:rPr>
      </w:pPr>
      <w:r>
        <w:rPr>
          <w:rFonts w:hint="eastAsia"/>
        </w:rPr>
        <w:t>2015年聯合國通過2030永續發展議程，提出17項永續發展核心</w:t>
      </w:r>
      <w:r w:rsidRPr="008A11A7">
        <w:rPr>
          <w:rFonts w:hAnsi="標楷體" w:hint="eastAsia"/>
        </w:rPr>
        <w:t>目標，其中「性別平等」</w:t>
      </w:r>
      <w:r w:rsidR="00B04D46">
        <w:rPr>
          <w:rFonts w:hAnsi="標楷體" w:hint="eastAsia"/>
        </w:rPr>
        <w:t>係</w:t>
      </w:r>
      <w:r w:rsidRPr="008A11A7">
        <w:rPr>
          <w:rFonts w:hAnsi="標楷體" w:hint="eastAsia"/>
        </w:rPr>
        <w:t>確保婦女有公平機會參與各個階層之決策領導</w:t>
      </w:r>
      <w:r w:rsidR="00B04D46">
        <w:rPr>
          <w:rFonts w:hAnsi="標楷體" w:hint="eastAsia"/>
        </w:rPr>
        <w:t>；</w:t>
      </w:r>
      <w:r>
        <w:rPr>
          <w:rFonts w:hAnsi="標楷體" w:hint="eastAsia"/>
        </w:rPr>
        <w:t>嗣</w:t>
      </w:r>
      <w:r w:rsidRPr="008A11A7">
        <w:rPr>
          <w:rFonts w:hAnsi="標楷體" w:hint="eastAsia"/>
        </w:rPr>
        <w:t>我國於107年訂定臺灣永續發展指標，將「實現性別平等及所有女性之賦權」及</w:t>
      </w:r>
      <w:r w:rsidRPr="008A11A7">
        <w:rPr>
          <w:rFonts w:hAnsi="標楷體" w:cs="MS Gothic" w:hint="eastAsia"/>
        </w:rPr>
        <w:t>「</w:t>
      </w:r>
      <w:r w:rsidRPr="008A11A7">
        <w:rPr>
          <w:rFonts w:hAnsi="標楷體" w:cs="微軟正黑體" w:hint="eastAsia"/>
        </w:rPr>
        <w:t>增加上市櫃</w:t>
      </w:r>
      <w:r>
        <w:rPr>
          <w:rFonts w:hAnsi="標楷體" w:cs="微軟正黑體" w:hint="eastAsia"/>
        </w:rPr>
        <w:t>公司女性經理人之比率，並輔導鼓勵女性擔任企業代表人」列為核心目標及細項指標之一。揆財政部訂定「財政部性別平等推動計畫(111至114年)」，</w:t>
      </w:r>
      <w:r w:rsidRPr="00BC6FCE">
        <w:rPr>
          <w:rFonts w:hAnsi="標楷體" w:cs="微軟正黑體" w:hint="eastAsia"/>
        </w:rPr>
        <w:t>並就行政院層級性別議題一、「促進公私部門決策參與之性別平等」</w:t>
      </w:r>
      <w:r>
        <w:rPr>
          <w:rFonts w:hAnsi="標楷體" w:cs="微軟正黑體" w:hint="eastAsia"/>
        </w:rPr>
        <w:t>，</w:t>
      </w:r>
      <w:r w:rsidRPr="00BC6FCE">
        <w:rPr>
          <w:rFonts w:hAnsi="標楷體" w:cs="微軟正黑體" w:hint="eastAsia"/>
        </w:rPr>
        <w:t>訂定國營事業董、監事任一性別比率達三分之一為目標</w:t>
      </w:r>
      <w:r>
        <w:rPr>
          <w:rFonts w:hAnsi="標楷體" w:cs="微軟正黑體" w:hint="eastAsia"/>
        </w:rPr>
        <w:t>，包含該部所屬之臺灣金融控股有限公司(下稱</w:t>
      </w:r>
      <w:r w:rsidRPr="00DB61B0">
        <w:rPr>
          <w:rFonts w:hAnsi="標楷體" w:hint="eastAsia"/>
          <w:color w:val="000000"/>
          <w:szCs w:val="24"/>
        </w:rPr>
        <w:t>臺灣</w:t>
      </w:r>
      <w:r w:rsidRPr="00DB61B0">
        <w:rPr>
          <w:rFonts w:hAnsi="標楷體"/>
          <w:color w:val="000000"/>
          <w:szCs w:val="24"/>
        </w:rPr>
        <w:t>金控</w:t>
      </w:r>
      <w:r w:rsidRPr="00DB61B0">
        <w:rPr>
          <w:rFonts w:hAnsi="標楷體" w:hint="eastAsia"/>
          <w:color w:val="000000"/>
          <w:szCs w:val="24"/>
        </w:rPr>
        <w:t>)</w:t>
      </w:r>
      <w:r>
        <w:rPr>
          <w:rFonts w:hAnsi="標楷體" w:cs="微軟正黑體" w:hint="eastAsia"/>
        </w:rPr>
        <w:t>、臺灣土地銀行股份有限公司(下稱</w:t>
      </w:r>
      <w:r w:rsidRPr="00DB61B0">
        <w:rPr>
          <w:rFonts w:hAnsi="標楷體" w:hint="eastAsia"/>
          <w:color w:val="000000"/>
          <w:szCs w:val="24"/>
        </w:rPr>
        <w:t>土銀)</w:t>
      </w:r>
      <w:r>
        <w:rPr>
          <w:rFonts w:hAnsi="標楷體" w:cs="微軟正黑體" w:hint="eastAsia"/>
        </w:rPr>
        <w:t>、中國輸出入銀行(下稱</w:t>
      </w:r>
      <w:r w:rsidRPr="00DB61B0">
        <w:rPr>
          <w:rFonts w:hAnsi="標楷體" w:hint="eastAsia"/>
          <w:color w:val="000000"/>
          <w:szCs w:val="24"/>
        </w:rPr>
        <w:t>輸銀)</w:t>
      </w:r>
      <w:r>
        <w:rPr>
          <w:rFonts w:hAnsi="標楷體" w:cs="微軟正黑體" w:hint="eastAsia"/>
        </w:rPr>
        <w:t>及臺灣菸酒股份有限公司(下稱</w:t>
      </w:r>
      <w:r w:rsidRPr="00DB61B0">
        <w:rPr>
          <w:rFonts w:hAnsi="標楷體" w:hint="eastAsia"/>
          <w:color w:val="000000"/>
          <w:szCs w:val="24"/>
        </w:rPr>
        <w:t>臺灣菸酒)</w:t>
      </w:r>
      <w:r>
        <w:rPr>
          <w:rFonts w:hAnsi="標楷體" w:cs="微軟正黑體" w:hint="eastAsia"/>
        </w:rPr>
        <w:t>等4家國營事業。</w:t>
      </w:r>
    </w:p>
    <w:p w:rsidR="00424FCE" w:rsidRDefault="00424FCE" w:rsidP="0041693D">
      <w:pPr>
        <w:pStyle w:val="a4"/>
        <w:ind w:left="851" w:hanging="284"/>
        <w:rPr>
          <w:rFonts w:hAnsi="標楷體" w:cs="微軟正黑體"/>
          <w:b/>
        </w:rPr>
      </w:pPr>
      <w:r>
        <w:rPr>
          <w:rFonts w:hAnsi="標楷體" w:cs="微軟正黑體" w:hint="eastAsia"/>
          <w:b/>
        </w:rPr>
        <w:t>(二)4家國營事業於112及113年度</w:t>
      </w:r>
      <w:r w:rsidRPr="005B7143">
        <w:rPr>
          <w:rFonts w:hAnsi="標楷體" w:cs="微軟正黑體" w:hint="eastAsia"/>
          <w:b/>
        </w:rPr>
        <w:t>董、監事任一性別比率達三分之一之達成率，均未達年度目標值100%</w:t>
      </w:r>
    </w:p>
    <w:p w:rsidR="00424FCE" w:rsidRDefault="00424FCE" w:rsidP="009127D5">
      <w:pPr>
        <w:pStyle w:val="2"/>
        <w:ind w:left="850" w:firstLine="567"/>
        <w:rPr>
          <w:rFonts w:hAnsi="標楷體" w:cs="微軟正黑體"/>
        </w:rPr>
      </w:pPr>
      <w:r>
        <w:rPr>
          <w:rFonts w:hAnsi="標楷體" w:cs="微軟正黑體" w:hint="eastAsia"/>
        </w:rPr>
        <w:t>依「</w:t>
      </w:r>
      <w:r>
        <w:t>財政部 112</w:t>
      </w:r>
      <w:r>
        <w:rPr>
          <w:rFonts w:hint="eastAsia"/>
        </w:rPr>
        <w:t>及113</w:t>
      </w:r>
      <w:r>
        <w:t>年度性別平等推動計畫成果報告</w:t>
      </w:r>
      <w:r>
        <w:rPr>
          <w:rFonts w:hint="eastAsia"/>
        </w:rPr>
        <w:t>」，連續2個年度該部4</w:t>
      </w:r>
      <w:r>
        <w:t>家國營事業</w:t>
      </w:r>
      <w:r w:rsidRPr="005B7143">
        <w:rPr>
          <w:rFonts w:hint="eastAsia"/>
        </w:rPr>
        <w:t>董、監事任一性別比率達三分之一之達成率，</w:t>
      </w:r>
      <w:r>
        <w:rPr>
          <w:rFonts w:hint="eastAsia"/>
        </w:rPr>
        <w:t>均</w:t>
      </w:r>
      <w:r w:rsidRPr="005B7143">
        <w:rPr>
          <w:rFonts w:hint="eastAsia"/>
        </w:rPr>
        <w:t>未達各該年度目標值</w:t>
      </w:r>
      <w:r w:rsidRPr="005B7143">
        <w:t>100%</w:t>
      </w:r>
      <w:r>
        <w:rPr>
          <w:rFonts w:hint="eastAsia"/>
        </w:rPr>
        <w:t>；截至114年8月底止(詳表1)，監事部分僅</w:t>
      </w:r>
      <w:r>
        <w:t>臺灣菸酒</w:t>
      </w:r>
      <w:r>
        <w:rPr>
          <w:rFonts w:hint="eastAsia"/>
        </w:rPr>
        <w:t>未達</w:t>
      </w:r>
      <w:r w:rsidRPr="005B7143">
        <w:rPr>
          <w:rFonts w:hint="eastAsia"/>
        </w:rPr>
        <w:t>任一性別比率達三分之一</w:t>
      </w:r>
      <w:r>
        <w:rPr>
          <w:rFonts w:hint="eastAsia"/>
        </w:rPr>
        <w:t>之目標值，另3家達目標值，達成率75%；董事部分，</w:t>
      </w:r>
      <w:r w:rsidRPr="00DB61B0">
        <w:rPr>
          <w:rFonts w:hAnsi="標楷體" w:hint="eastAsia"/>
          <w:color w:val="000000"/>
          <w:szCs w:val="24"/>
        </w:rPr>
        <w:t>輸銀及臺灣菸酒女性</w:t>
      </w:r>
      <w:r w:rsidRPr="005B7143">
        <w:rPr>
          <w:rFonts w:hint="eastAsia"/>
        </w:rPr>
        <w:t>性別比率</w:t>
      </w:r>
      <w:r>
        <w:rPr>
          <w:rFonts w:hint="eastAsia"/>
        </w:rPr>
        <w:t>分別為29%及27%，未達目標值，另</w:t>
      </w:r>
      <w:r w:rsidRPr="00DB61B0">
        <w:rPr>
          <w:rFonts w:hAnsi="標楷體" w:hint="eastAsia"/>
          <w:color w:val="000000"/>
          <w:szCs w:val="24"/>
        </w:rPr>
        <w:t>臺灣</w:t>
      </w:r>
      <w:r w:rsidRPr="00DB61B0">
        <w:rPr>
          <w:rFonts w:hAnsi="標楷體"/>
          <w:color w:val="000000"/>
          <w:szCs w:val="24"/>
        </w:rPr>
        <w:t>金控</w:t>
      </w:r>
      <w:r w:rsidRPr="00DB61B0">
        <w:rPr>
          <w:rFonts w:hAnsi="標楷體" w:hint="eastAsia"/>
          <w:color w:val="000000"/>
          <w:szCs w:val="24"/>
        </w:rPr>
        <w:t>及土銀，任一性別比率達三分之一</w:t>
      </w:r>
      <w:r>
        <w:rPr>
          <w:rFonts w:hint="eastAsia"/>
        </w:rPr>
        <w:t>目標值</w:t>
      </w:r>
      <w:r w:rsidRPr="00DB61B0">
        <w:rPr>
          <w:rFonts w:hAnsi="標楷體" w:hint="eastAsia"/>
          <w:color w:val="000000"/>
          <w:szCs w:val="24"/>
        </w:rPr>
        <w:t>，達</w:t>
      </w:r>
      <w:r>
        <w:rPr>
          <w:rFonts w:hint="eastAsia"/>
        </w:rPr>
        <w:t>成家數2家，達成率50%</w:t>
      </w:r>
      <w:r>
        <w:rPr>
          <w:rFonts w:hAnsi="標楷體" w:cs="微軟正黑體" w:hint="eastAsia"/>
        </w:rPr>
        <w:t>。</w:t>
      </w:r>
    </w:p>
    <w:p w:rsidR="00424FCE" w:rsidRDefault="00424FCE" w:rsidP="001733D0">
      <w:pPr>
        <w:ind w:leftChars="0" w:left="1490" w:hangingChars="525" w:hanging="1490"/>
        <w:jc w:val="left"/>
        <w:rPr>
          <w:b/>
        </w:rPr>
      </w:pPr>
      <w:r w:rsidRPr="0060232F">
        <w:rPr>
          <w:rFonts w:hint="eastAsia"/>
          <w:b/>
        </w:rPr>
        <w:t>表</w:t>
      </w:r>
      <w:r>
        <w:rPr>
          <w:rFonts w:hint="eastAsia"/>
          <w:b/>
        </w:rPr>
        <w:t xml:space="preserve">1 </w:t>
      </w:r>
      <w:r w:rsidRPr="00AC7944">
        <w:rPr>
          <w:rFonts w:hint="eastAsia"/>
          <w:b/>
        </w:rPr>
        <w:t>財政部所屬國營事業董、監事</w:t>
      </w:r>
      <w:r w:rsidRPr="00DE6D14">
        <w:rPr>
          <w:rFonts w:hint="eastAsia"/>
          <w:b/>
        </w:rPr>
        <w:t>概況表</w:t>
      </w:r>
      <w:r>
        <w:rPr>
          <w:rFonts w:hint="eastAsia"/>
          <w:b/>
        </w:rPr>
        <w:t>(截至114年8月底)</w:t>
      </w:r>
    </w:p>
    <w:p w:rsidR="00424FCE" w:rsidRDefault="00424FCE" w:rsidP="00266993">
      <w:pPr>
        <w:spacing w:line="400" w:lineRule="exact"/>
        <w:ind w:leftChars="0" w:left="1490" w:hangingChars="525" w:hanging="1490"/>
        <w:jc w:val="right"/>
        <w:rPr>
          <w:b/>
        </w:rPr>
      </w:pPr>
      <w:r>
        <w:rPr>
          <w:rFonts w:hint="eastAsia"/>
          <w:b/>
        </w:rPr>
        <w:t xml:space="preserve">         </w:t>
      </w:r>
      <w:r w:rsidRPr="00120FB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人；%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1"/>
        <w:gridCol w:w="917"/>
        <w:gridCol w:w="918"/>
        <w:gridCol w:w="918"/>
        <w:gridCol w:w="918"/>
        <w:gridCol w:w="917"/>
        <w:gridCol w:w="918"/>
        <w:gridCol w:w="918"/>
        <w:gridCol w:w="918"/>
      </w:tblGrid>
      <w:tr w:rsidR="00424FCE" w:rsidRPr="00257F10" w:rsidTr="00720F19">
        <w:trPr>
          <w:trHeight w:hRule="exact" w:val="340"/>
        </w:trPr>
        <w:tc>
          <w:tcPr>
            <w:tcW w:w="1191" w:type="dxa"/>
            <w:vMerge w:val="restart"/>
            <w:shd w:val="clear" w:color="auto" w:fill="auto"/>
            <w:noWrap/>
            <w:vAlign w:val="center"/>
          </w:tcPr>
          <w:p w:rsidR="00424FCE" w:rsidRPr="00DB61B0" w:rsidRDefault="00424FCE" w:rsidP="00A42EC9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事業名稱</w:t>
            </w:r>
          </w:p>
        </w:tc>
        <w:tc>
          <w:tcPr>
            <w:tcW w:w="3671" w:type="dxa"/>
            <w:gridSpan w:val="4"/>
            <w:shd w:val="clear" w:color="auto" w:fill="auto"/>
            <w:noWrap/>
            <w:vAlign w:val="center"/>
          </w:tcPr>
          <w:p w:rsidR="00424FCE" w:rsidRPr="00DB61B0" w:rsidRDefault="00424FCE" w:rsidP="00A42EC9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董事</w:t>
            </w:r>
          </w:p>
        </w:tc>
        <w:tc>
          <w:tcPr>
            <w:tcW w:w="3671" w:type="dxa"/>
            <w:gridSpan w:val="4"/>
          </w:tcPr>
          <w:p w:rsidR="00424FCE" w:rsidRPr="00DB61B0" w:rsidRDefault="00424FCE" w:rsidP="00A42EC9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監</w:t>
            </w:r>
            <w:r w:rsidRPr="00DB61B0">
              <w:rPr>
                <w:rFonts w:hAnsi="標楷體"/>
                <w:color w:val="000000"/>
                <w:szCs w:val="24"/>
              </w:rPr>
              <w:t>事</w:t>
            </w:r>
          </w:p>
        </w:tc>
      </w:tr>
      <w:tr w:rsidR="00424FCE" w:rsidRPr="00257F10" w:rsidTr="00720F19">
        <w:trPr>
          <w:trHeight w:hRule="exact" w:val="649"/>
        </w:trPr>
        <w:tc>
          <w:tcPr>
            <w:tcW w:w="1191" w:type="dxa"/>
            <w:vMerge/>
            <w:shd w:val="clear" w:color="auto" w:fill="auto"/>
            <w:noWrap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</w:p>
        </w:tc>
        <w:tc>
          <w:tcPr>
            <w:tcW w:w="917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席次</w:t>
            </w:r>
          </w:p>
        </w:tc>
        <w:tc>
          <w:tcPr>
            <w:tcW w:w="918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女性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人數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女性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比率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男</w:t>
            </w:r>
            <w:r w:rsidRPr="00DB61B0">
              <w:rPr>
                <w:rFonts w:hAnsi="標楷體"/>
                <w:color w:val="000000"/>
                <w:szCs w:val="24"/>
              </w:rPr>
              <w:t>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比率</w:t>
            </w:r>
          </w:p>
        </w:tc>
        <w:tc>
          <w:tcPr>
            <w:tcW w:w="917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席次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女性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人數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女性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比率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男</w:t>
            </w:r>
            <w:r w:rsidRPr="00DB61B0">
              <w:rPr>
                <w:rFonts w:hAnsi="標楷體"/>
                <w:color w:val="000000"/>
                <w:szCs w:val="24"/>
              </w:rPr>
              <w:t>性</w:t>
            </w:r>
          </w:p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/>
                <w:color w:val="000000"/>
                <w:szCs w:val="24"/>
              </w:rPr>
              <w:t>比率</w:t>
            </w:r>
          </w:p>
        </w:tc>
      </w:tr>
      <w:tr w:rsidR="00424FCE" w:rsidRPr="00257F10" w:rsidTr="00720F19">
        <w:trPr>
          <w:trHeight w:hRule="exact" w:val="340"/>
        </w:trPr>
        <w:tc>
          <w:tcPr>
            <w:tcW w:w="1191" w:type="dxa"/>
            <w:shd w:val="clear" w:color="auto" w:fill="auto"/>
            <w:noWrap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臺灣</w:t>
            </w:r>
            <w:r w:rsidRPr="00DB61B0">
              <w:rPr>
                <w:rFonts w:hAnsi="標楷體"/>
                <w:color w:val="000000"/>
                <w:szCs w:val="24"/>
              </w:rPr>
              <w:t>金控</w:t>
            </w:r>
          </w:p>
        </w:tc>
        <w:tc>
          <w:tcPr>
            <w:tcW w:w="917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13</w:t>
            </w:r>
          </w:p>
        </w:tc>
        <w:tc>
          <w:tcPr>
            <w:tcW w:w="918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7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54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46</w:t>
            </w:r>
          </w:p>
        </w:tc>
        <w:tc>
          <w:tcPr>
            <w:tcW w:w="917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50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50</w:t>
            </w:r>
          </w:p>
        </w:tc>
      </w:tr>
      <w:tr w:rsidR="00424FCE" w:rsidRPr="00257F10" w:rsidTr="00720F19">
        <w:trPr>
          <w:trHeight w:hRule="exact" w:val="340"/>
        </w:trPr>
        <w:tc>
          <w:tcPr>
            <w:tcW w:w="1191" w:type="dxa"/>
            <w:shd w:val="clear" w:color="auto" w:fill="auto"/>
            <w:noWrap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土銀</w:t>
            </w:r>
          </w:p>
        </w:tc>
        <w:tc>
          <w:tcPr>
            <w:tcW w:w="917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15</w:t>
            </w:r>
          </w:p>
        </w:tc>
        <w:tc>
          <w:tcPr>
            <w:tcW w:w="918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5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33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67</w:t>
            </w:r>
          </w:p>
        </w:tc>
        <w:tc>
          <w:tcPr>
            <w:tcW w:w="917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40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60</w:t>
            </w:r>
          </w:p>
        </w:tc>
      </w:tr>
      <w:tr w:rsidR="00424FCE" w:rsidRPr="00257F10" w:rsidTr="00720F19">
        <w:trPr>
          <w:trHeight w:hRule="exact" w:val="340"/>
        </w:trPr>
        <w:tc>
          <w:tcPr>
            <w:tcW w:w="1191" w:type="dxa"/>
            <w:shd w:val="clear" w:color="auto" w:fill="auto"/>
            <w:noWrap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輸銀</w:t>
            </w:r>
          </w:p>
        </w:tc>
        <w:tc>
          <w:tcPr>
            <w:tcW w:w="917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7</w:t>
            </w:r>
          </w:p>
        </w:tc>
        <w:tc>
          <w:tcPr>
            <w:tcW w:w="918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29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71</w:t>
            </w:r>
          </w:p>
        </w:tc>
        <w:tc>
          <w:tcPr>
            <w:tcW w:w="917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67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33</w:t>
            </w:r>
          </w:p>
        </w:tc>
      </w:tr>
      <w:tr w:rsidR="00424FCE" w:rsidRPr="00257F10" w:rsidTr="00720F19">
        <w:trPr>
          <w:trHeight w:hRule="exact" w:val="340"/>
        </w:trPr>
        <w:tc>
          <w:tcPr>
            <w:tcW w:w="1191" w:type="dxa"/>
            <w:shd w:val="clear" w:color="auto" w:fill="auto"/>
            <w:noWrap/>
          </w:tcPr>
          <w:p w:rsidR="00424FCE" w:rsidRPr="00DB61B0" w:rsidRDefault="00424FCE" w:rsidP="000F657B">
            <w:pPr>
              <w:pStyle w:val="142"/>
              <w:jc w:val="center"/>
              <w:rPr>
                <w:snapToGrid/>
                <w:color w:val="000000"/>
                <w:szCs w:val="24"/>
              </w:rPr>
            </w:pPr>
            <w:r w:rsidRPr="00DB61B0">
              <w:rPr>
                <w:rFonts w:hAnsi="標楷體" w:hint="eastAsia"/>
                <w:color w:val="000000"/>
                <w:szCs w:val="24"/>
              </w:rPr>
              <w:t>臺灣菸酒</w:t>
            </w:r>
          </w:p>
        </w:tc>
        <w:tc>
          <w:tcPr>
            <w:tcW w:w="917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15</w:t>
            </w:r>
          </w:p>
        </w:tc>
        <w:tc>
          <w:tcPr>
            <w:tcW w:w="918" w:type="dxa"/>
            <w:shd w:val="clear" w:color="auto" w:fill="auto"/>
            <w:noWrap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snapToGrid/>
                <w:color w:val="000000"/>
                <w:szCs w:val="24"/>
              </w:rPr>
            </w:pPr>
            <w:r w:rsidRPr="00DB61B0">
              <w:rPr>
                <w:rFonts w:hint="eastAsia"/>
                <w:snapToGrid/>
                <w:color w:val="000000"/>
                <w:szCs w:val="24"/>
              </w:rPr>
              <w:t>4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27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73</w:t>
            </w:r>
          </w:p>
        </w:tc>
        <w:tc>
          <w:tcPr>
            <w:tcW w:w="917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5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4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80</w:t>
            </w:r>
          </w:p>
        </w:tc>
        <w:tc>
          <w:tcPr>
            <w:tcW w:w="918" w:type="dxa"/>
            <w:vAlign w:val="center"/>
          </w:tcPr>
          <w:p w:rsidR="00424FCE" w:rsidRPr="00DB61B0" w:rsidRDefault="00424FCE" w:rsidP="000F657B">
            <w:pPr>
              <w:pStyle w:val="142"/>
              <w:jc w:val="right"/>
              <w:rPr>
                <w:color w:val="000000"/>
                <w:szCs w:val="24"/>
              </w:rPr>
            </w:pPr>
            <w:r w:rsidRPr="00DB61B0">
              <w:rPr>
                <w:rFonts w:hint="eastAsia"/>
                <w:color w:val="000000"/>
                <w:szCs w:val="24"/>
              </w:rPr>
              <w:t>20</w:t>
            </w:r>
          </w:p>
        </w:tc>
      </w:tr>
    </w:tbl>
    <w:p w:rsidR="00424FCE" w:rsidRPr="00AC7944" w:rsidRDefault="00424FCE" w:rsidP="00A42EC9">
      <w:pPr>
        <w:pStyle w:val="142"/>
        <w:ind w:left="2496" w:hangingChars="1025" w:hanging="2496"/>
      </w:pPr>
      <w:r>
        <w:rPr>
          <w:rFonts w:hint="eastAsia"/>
        </w:rPr>
        <w:t>資料來源：國庫署。</w:t>
      </w:r>
    </w:p>
    <w:p w:rsidR="003D566A" w:rsidRPr="00A2627C" w:rsidRDefault="00424FCE" w:rsidP="00524A68">
      <w:pPr>
        <w:ind w:left="567" w:firstLine="567"/>
        <w:rPr>
          <w:rFonts w:hAnsi="標楷體"/>
        </w:rPr>
      </w:pPr>
      <w:r w:rsidRPr="002D67C3">
        <w:rPr>
          <w:rFonts w:hint="eastAsia"/>
        </w:rPr>
        <w:t>綜上，</w:t>
      </w:r>
      <w:r>
        <w:rPr>
          <w:rFonts w:hint="eastAsia"/>
        </w:rPr>
        <w:t>財政部</w:t>
      </w:r>
      <w:r w:rsidR="00B04D46">
        <w:rPr>
          <w:rFonts w:hint="eastAsia"/>
        </w:rPr>
        <w:t>所訂</w:t>
      </w:r>
      <w:r>
        <w:rPr>
          <w:rFonts w:hint="eastAsia"/>
        </w:rPr>
        <w:t>性別平等計畫，以所屬4家國營事業董、監事任一性別比例不少於三分之一作為目標值，惟截至114年8月底止，董事、監事達成率分別為50%、75%，與113年8月同期比率相同，顯示過去一年推動性別平等成效容待審酌，</w:t>
      </w:r>
      <w:r w:rsidRPr="004E7901">
        <w:rPr>
          <w:rFonts w:hAnsi="標楷體" w:hint="eastAsia"/>
        </w:rPr>
        <w:t>允宜</w:t>
      </w:r>
      <w:r>
        <w:rPr>
          <w:rFonts w:hAnsi="標楷體" w:hint="eastAsia"/>
        </w:rPr>
        <w:t>持續改進，以落實性別平等政策之推動</w:t>
      </w:r>
      <w:r w:rsidRPr="002D67C3">
        <w:rPr>
          <w:rFonts w:hint="eastAsia"/>
        </w:rPr>
        <w:t>。</w:t>
      </w:r>
      <w:bookmarkEnd w:id="2"/>
      <w:bookmarkEnd w:id="3"/>
      <w:bookmarkEnd w:id="0"/>
      <w:bookmarkEnd w:id="4"/>
      <w:bookmarkEnd w:id="5"/>
      <w:bookmarkEnd w:id="6"/>
    </w:p>
    <w:sectPr w:rsidR="003D566A" w:rsidRPr="00A2627C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524A68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A68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6811A5BE-DA9E-4586-9666-456168FB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2A8C-C660-4151-9A91-9BAE94073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