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Default="00424FCE" w:rsidP="00452EF6">
      <w:pPr>
        <w:pStyle w:val="14"/>
        <w:ind w:left="507" w:hangingChars="180" w:hanging="507"/>
        <w:rPr>
          <w:spacing w:val="-1"/>
        </w:rPr>
      </w:pPr>
      <w:bookmarkStart w:id="2" w:name="_Toc85461137"/>
      <w:bookmarkStart w:id="3" w:name="_Toc85643861"/>
      <w:bookmarkStart w:id="4" w:name="_Toc68683314"/>
      <w:bookmarkStart w:id="5" w:name="_Toc98899676"/>
      <w:bookmarkStart w:id="6" w:name="_Toc98899839"/>
      <w:bookmarkStart w:id="7" w:name="_Toc212619428"/>
      <w:r>
        <w:rPr>
          <w:rFonts w:hint="eastAsia"/>
          <w:spacing w:val="-1"/>
        </w:rPr>
        <w:t>四、</w:t>
      </w:r>
      <w:r w:rsidRPr="00D92BF6">
        <w:rPr>
          <w:rFonts w:hAnsi="標楷體" w:hint="eastAsia"/>
          <w:spacing w:val="-5"/>
        </w:rPr>
        <w:t>金管會自114年7月修正實施資本計提規範，致本國銀行資本適足比率下降，惟土地銀行下降幅度高於</w:t>
      </w:r>
      <w:r w:rsidRPr="00D92BF6">
        <w:rPr>
          <w:rFonts w:hint="eastAsia"/>
          <w:spacing w:val="-5"/>
        </w:rPr>
        <w:t>本國銀行平均值，且</w:t>
      </w:r>
      <w:r w:rsidRPr="00D92BF6">
        <w:rPr>
          <w:rFonts w:hAnsi="標楷體" w:hint="eastAsia"/>
          <w:spacing w:val="-5"/>
        </w:rPr>
        <w:t>114年迄至6月底止，該行資本適足</w:t>
      </w:r>
      <w:r w:rsidRPr="00D92BF6">
        <w:rPr>
          <w:rFonts w:hint="eastAsia"/>
          <w:spacing w:val="-5"/>
        </w:rPr>
        <w:t>比率亦低於本國銀行平均值，允宜</w:t>
      </w:r>
      <w:r>
        <w:rPr>
          <w:rFonts w:hint="eastAsia"/>
          <w:spacing w:val="-5"/>
        </w:rPr>
        <w:t>研謀改進</w:t>
      </w:r>
      <w:bookmarkEnd w:id="7"/>
    </w:p>
    <w:p w:rsidR="00424FCE" w:rsidRDefault="00424FCE" w:rsidP="00452EF6">
      <w:pPr>
        <w:ind w:left="567" w:firstLine="567"/>
      </w:pPr>
      <w:r>
        <w:rPr>
          <w:rFonts w:hint="eastAsia"/>
        </w:rPr>
        <w:t>財政部</w:t>
      </w:r>
      <w:r>
        <w:rPr>
          <w:rFonts w:hint="eastAsia"/>
          <w:color w:val="000000"/>
        </w:rPr>
        <w:t>115</w:t>
      </w:r>
      <w:r w:rsidRPr="0064432C">
        <w:rPr>
          <w:rFonts w:hint="eastAsia"/>
          <w:color w:val="000000"/>
        </w:rPr>
        <w:t>年度預算案</w:t>
      </w:r>
      <w:r>
        <w:rPr>
          <w:rFonts w:hint="eastAsia"/>
          <w:color w:val="000000"/>
        </w:rPr>
        <w:t>於「營業盈餘及事業收入－營業基金盈餘繳庫」項下編列「股息紅利繳庫」</w:t>
      </w:r>
      <w:r w:rsidRPr="0064432C">
        <w:rPr>
          <w:rFonts w:hint="eastAsia"/>
          <w:color w:val="000000"/>
        </w:rPr>
        <w:t>收入</w:t>
      </w:r>
      <w:r>
        <w:rPr>
          <w:rFonts w:hint="eastAsia"/>
          <w:color w:val="000000"/>
        </w:rPr>
        <w:t>72</w:t>
      </w:r>
      <w:r w:rsidRPr="0064432C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4</w:t>
      </w:r>
      <w:r>
        <w:rPr>
          <w:color w:val="000000"/>
        </w:rPr>
        <w:t>,</w:t>
      </w:r>
      <w:r>
        <w:rPr>
          <w:rFonts w:hint="eastAsia"/>
          <w:color w:val="000000"/>
        </w:rPr>
        <w:t>302</w:t>
      </w:r>
      <w:r w:rsidRPr="0064432C">
        <w:rPr>
          <w:rFonts w:hint="eastAsia"/>
          <w:color w:val="000000"/>
        </w:rPr>
        <w:t>萬</w:t>
      </w:r>
      <w:r>
        <w:rPr>
          <w:rFonts w:hint="eastAsia"/>
          <w:color w:val="000000"/>
        </w:rPr>
        <w:t>4千</w:t>
      </w:r>
      <w:r w:rsidRPr="0064432C">
        <w:rPr>
          <w:rFonts w:hint="eastAsia"/>
          <w:color w:val="000000"/>
        </w:rPr>
        <w:t>元</w:t>
      </w:r>
      <w:r>
        <w:rPr>
          <w:rStyle w:val="afc"/>
          <w:color w:val="000000"/>
        </w:rPr>
        <w:footnoteReference w:id="1"/>
      </w:r>
      <w:r>
        <w:rPr>
          <w:rFonts w:hint="eastAsia"/>
          <w:color w:val="000000"/>
        </w:rPr>
        <w:t>，其中土銀繳庫數為11億元</w:t>
      </w:r>
      <w:r>
        <w:rPr>
          <w:rFonts w:hint="eastAsia"/>
        </w:rPr>
        <w:t>。經查</w:t>
      </w:r>
      <w:r w:rsidRPr="007E4177">
        <w:rPr>
          <w:rFonts w:hint="eastAsia"/>
        </w:rPr>
        <w:t>：</w:t>
      </w:r>
    </w:p>
    <w:p w:rsidR="00424FCE" w:rsidRDefault="00424FCE" w:rsidP="00452EF6">
      <w:pPr>
        <w:pStyle w:val="a4"/>
        <w:ind w:left="851" w:hanging="284"/>
        <w:rPr>
          <w:b/>
        </w:rPr>
      </w:pPr>
      <w:r>
        <w:rPr>
          <w:rFonts w:hint="eastAsia"/>
          <w:b/>
        </w:rPr>
        <w:lastRenderedPageBreak/>
        <w:t>(一)</w:t>
      </w:r>
      <w:r w:rsidRPr="00863F96">
        <w:rPr>
          <w:rFonts w:hint="eastAsia"/>
          <w:b/>
        </w:rPr>
        <w:t>為提升臺灣金控子公司臺灣銀行及土地銀行資本適足率，自104年度</w:t>
      </w:r>
      <w:r w:rsidR="004B4D07">
        <w:rPr>
          <w:rFonts w:hint="eastAsia"/>
          <w:b/>
        </w:rPr>
        <w:t>該</w:t>
      </w:r>
      <w:r w:rsidRPr="00863F96">
        <w:rPr>
          <w:rFonts w:hint="eastAsia"/>
          <w:b/>
        </w:rPr>
        <w:t>2家事業均未辦理盈餘繳庫，</w:t>
      </w:r>
      <w:r w:rsidR="004B4D07">
        <w:rPr>
          <w:rFonts w:hint="eastAsia"/>
          <w:b/>
        </w:rPr>
        <w:t>惟</w:t>
      </w:r>
      <w:r w:rsidRPr="00863F96">
        <w:rPr>
          <w:rFonts w:hint="eastAsia"/>
          <w:b/>
        </w:rPr>
        <w:t>分別自109及110年度起恢復繳庫</w:t>
      </w:r>
    </w:p>
    <w:p w:rsidR="00424FCE" w:rsidRDefault="00424FCE" w:rsidP="00E32035">
      <w:pPr>
        <w:pStyle w:val="2"/>
        <w:ind w:left="850" w:firstLine="567"/>
      </w:pPr>
      <w:r>
        <w:rPr>
          <w:rFonts w:hint="eastAsia"/>
        </w:rPr>
        <w:t>就該部所屬國營事業101至115年度繳庫情形觀察(詳表1)，101至103年度各事業盈餘均辦理繳庫，年度繳庫決算數約為170億元左右，104年度起臺灣金控及</w:t>
      </w:r>
      <w:r w:rsidRPr="00572DC3">
        <w:rPr>
          <w:rFonts w:hint="eastAsia"/>
        </w:rPr>
        <w:t>土銀</w:t>
      </w:r>
      <w:r>
        <w:rPr>
          <w:rFonts w:hint="eastAsia"/>
        </w:rPr>
        <w:t>為提升資本適足率未辦理繳庫，致104至</w:t>
      </w:r>
      <w:r w:rsidRPr="0064432C">
        <w:rPr>
          <w:rFonts w:hint="eastAsia"/>
          <w:color w:val="000000"/>
        </w:rPr>
        <w:t>106年度</w:t>
      </w:r>
      <w:r>
        <w:rPr>
          <w:rFonts w:hint="eastAsia"/>
        </w:rPr>
        <w:t>繳庫決算數大幅減少為90餘億元</w:t>
      </w:r>
      <w:r w:rsidRPr="0064432C">
        <w:rPr>
          <w:rFonts w:hint="eastAsia"/>
          <w:color w:val="000000"/>
        </w:rPr>
        <w:t>，迄107</w:t>
      </w:r>
      <w:r>
        <w:rPr>
          <w:rFonts w:hint="eastAsia"/>
          <w:color w:val="000000"/>
        </w:rPr>
        <w:t>至</w:t>
      </w:r>
      <w:r w:rsidRPr="0064432C">
        <w:rPr>
          <w:rFonts w:hint="eastAsia"/>
          <w:color w:val="000000"/>
        </w:rPr>
        <w:t>10</w:t>
      </w:r>
      <w:r>
        <w:rPr>
          <w:rFonts w:hint="eastAsia"/>
          <w:color w:val="000000"/>
        </w:rPr>
        <w:t>9</w:t>
      </w:r>
      <w:r>
        <w:rPr>
          <w:rFonts w:hint="eastAsia"/>
        </w:rPr>
        <w:t>年度除</w:t>
      </w:r>
      <w:r w:rsidRPr="005C4F61">
        <w:rPr>
          <w:rFonts w:hint="eastAsia"/>
        </w:rPr>
        <w:t>臺</w:t>
      </w:r>
      <w:r w:rsidRPr="004C4C0E">
        <w:rPr>
          <w:rFonts w:hint="eastAsia"/>
        </w:rPr>
        <w:t>灣金控及</w:t>
      </w:r>
      <w:r>
        <w:rPr>
          <w:rFonts w:hint="eastAsia"/>
          <w:color w:val="000000"/>
        </w:rPr>
        <w:t>土銀</w:t>
      </w:r>
      <w:r>
        <w:rPr>
          <w:rFonts w:hint="eastAsia"/>
        </w:rPr>
        <w:t>未編列繳庫預算外，輸銀亦以</w:t>
      </w:r>
      <w:r w:rsidRPr="00F334B3">
        <w:rPr>
          <w:rFonts w:hint="eastAsia"/>
        </w:rPr>
        <w:t>提升風險承擔能力</w:t>
      </w:r>
      <w:r>
        <w:rPr>
          <w:rFonts w:hint="eastAsia"/>
        </w:rPr>
        <w:t>為由，未編列繳庫預算。為充裕資本，</w:t>
      </w:r>
      <w:r w:rsidRPr="005C4F61">
        <w:rPr>
          <w:rFonts w:hint="eastAsia"/>
        </w:rPr>
        <w:t>臺灣金控子公司臺灣銀行</w:t>
      </w:r>
      <w:r w:rsidRPr="009E065E">
        <w:rPr>
          <w:rFonts w:hint="eastAsia"/>
        </w:rPr>
        <w:t>108年度</w:t>
      </w:r>
      <w:r>
        <w:rPr>
          <w:rFonts w:hint="eastAsia"/>
        </w:rPr>
        <w:t>編列</w:t>
      </w:r>
      <w:r w:rsidRPr="009E065E">
        <w:rPr>
          <w:rFonts w:hint="eastAsia"/>
        </w:rPr>
        <w:t>土地</w:t>
      </w:r>
      <w:r>
        <w:rPr>
          <w:rFonts w:hint="eastAsia"/>
        </w:rPr>
        <w:t>作價</w:t>
      </w:r>
      <w:r w:rsidRPr="009E065E">
        <w:rPr>
          <w:rFonts w:hint="eastAsia"/>
        </w:rPr>
        <w:t>抵充增資股款預算</w:t>
      </w:r>
      <w:r>
        <w:rPr>
          <w:rFonts w:hint="eastAsia"/>
        </w:rPr>
        <w:t>，並獲金管會</w:t>
      </w:r>
      <w:r w:rsidRPr="009E065E">
        <w:rPr>
          <w:rFonts w:hint="eastAsia"/>
        </w:rPr>
        <w:t>108年7月核准</w:t>
      </w:r>
      <w:r>
        <w:rPr>
          <w:rFonts w:hint="eastAsia"/>
        </w:rPr>
        <w:t>，嗣完成</w:t>
      </w:r>
      <w:r w:rsidRPr="009E065E">
        <w:rPr>
          <w:rFonts w:hint="eastAsia"/>
        </w:rPr>
        <w:t>不動產抵充股款</w:t>
      </w:r>
      <w:r>
        <w:rPr>
          <w:rFonts w:hint="eastAsia"/>
        </w:rPr>
        <w:t>及</w:t>
      </w:r>
      <w:r w:rsidRPr="009E065E">
        <w:rPr>
          <w:rFonts w:hint="eastAsia"/>
        </w:rPr>
        <w:t>增資發行普通股420億元</w:t>
      </w:r>
      <w:r>
        <w:rPr>
          <w:rFonts w:hint="eastAsia"/>
        </w:rPr>
        <w:t>，由於資本已獲補充，</w:t>
      </w:r>
      <w:r w:rsidRPr="009E065E">
        <w:rPr>
          <w:rFonts w:hint="eastAsia"/>
        </w:rPr>
        <w:t>臺灣金控109年度</w:t>
      </w:r>
      <w:r>
        <w:rPr>
          <w:rFonts w:hint="eastAsia"/>
        </w:rPr>
        <w:t>起恢復</w:t>
      </w:r>
      <w:r w:rsidRPr="009E065E">
        <w:rPr>
          <w:rFonts w:hint="eastAsia"/>
        </w:rPr>
        <w:t>繳庫</w:t>
      </w:r>
      <w:r>
        <w:rPr>
          <w:rFonts w:hint="eastAsia"/>
        </w:rPr>
        <w:t>，至</w:t>
      </w:r>
      <w:r>
        <w:rPr>
          <w:rFonts w:hint="eastAsia"/>
          <w:color w:val="000000"/>
        </w:rPr>
        <w:t>土銀</w:t>
      </w:r>
      <w:r>
        <w:rPr>
          <w:rFonts w:hint="eastAsia"/>
        </w:rPr>
        <w:t>109年度仍</w:t>
      </w:r>
      <w:r w:rsidR="004C0F1A">
        <w:rPr>
          <w:rFonts w:hint="eastAsia"/>
        </w:rPr>
        <w:t>續</w:t>
      </w:r>
      <w:r>
        <w:rPr>
          <w:rFonts w:hint="eastAsia"/>
        </w:rPr>
        <w:t>為提升</w:t>
      </w:r>
      <w:r w:rsidRPr="00F334B3">
        <w:rPr>
          <w:rFonts w:hint="eastAsia"/>
        </w:rPr>
        <w:t>資本適足率</w:t>
      </w:r>
      <w:r>
        <w:rPr>
          <w:rFonts w:hint="eastAsia"/>
        </w:rPr>
        <w:t>未能辦理繳庫</w:t>
      </w:r>
      <w:r>
        <w:rPr>
          <w:rStyle w:val="afc"/>
        </w:rPr>
        <w:footnoteReference w:id="2"/>
      </w:r>
      <w:r>
        <w:rPr>
          <w:rFonts w:hint="eastAsia"/>
        </w:rPr>
        <w:t>，惟自110</w:t>
      </w:r>
      <w:r w:rsidRPr="009E065E">
        <w:rPr>
          <w:rFonts w:hint="eastAsia"/>
        </w:rPr>
        <w:t>年度</w:t>
      </w:r>
      <w:r>
        <w:rPr>
          <w:rFonts w:hint="eastAsia"/>
        </w:rPr>
        <w:t>起恢復繳庫，並於115年度預算案續編</w:t>
      </w:r>
      <w:r w:rsidRPr="001E02F6">
        <w:rPr>
          <w:rFonts w:hint="eastAsia"/>
        </w:rPr>
        <w:t>盈餘繳庫</w:t>
      </w:r>
      <w:r>
        <w:rPr>
          <w:rFonts w:hint="eastAsia"/>
        </w:rPr>
        <w:t>數11億元，較114年度減少7千萬元。</w:t>
      </w:r>
    </w:p>
    <w:p w:rsidR="00424FCE" w:rsidRPr="00DE6D14" w:rsidRDefault="00424FCE" w:rsidP="00512BA9">
      <w:pPr>
        <w:pStyle w:val="142"/>
        <w:spacing w:line="500" w:lineRule="exact"/>
        <w:rPr>
          <w:sz w:val="22"/>
          <w:szCs w:val="22"/>
        </w:rPr>
      </w:pPr>
      <w:r w:rsidRPr="00C077DC">
        <w:rPr>
          <w:rFonts w:hint="eastAsia"/>
          <w:b/>
          <w:sz w:val="28"/>
        </w:rPr>
        <w:t>表1</w:t>
      </w:r>
      <w:r>
        <w:rPr>
          <w:rFonts w:hint="eastAsia"/>
          <w:b/>
          <w:sz w:val="28"/>
        </w:rPr>
        <w:t xml:space="preserve"> 財政部所屬國營事業1</w:t>
      </w:r>
      <w:r>
        <w:rPr>
          <w:b/>
          <w:sz w:val="28"/>
        </w:rPr>
        <w:t>01</w:t>
      </w:r>
      <w:r>
        <w:rPr>
          <w:rFonts w:hint="eastAsia"/>
          <w:b/>
          <w:sz w:val="28"/>
        </w:rPr>
        <w:t>至</w:t>
      </w:r>
      <w:r>
        <w:rPr>
          <w:b/>
          <w:sz w:val="28"/>
        </w:rPr>
        <w:t>11</w:t>
      </w:r>
      <w:r>
        <w:rPr>
          <w:rFonts w:hint="eastAsia"/>
          <w:b/>
          <w:sz w:val="28"/>
        </w:rPr>
        <w:t>5年度繳庫</w:t>
      </w:r>
      <w:r w:rsidRPr="00CF4719">
        <w:rPr>
          <w:rFonts w:hint="eastAsia"/>
          <w:b/>
          <w:sz w:val="28"/>
        </w:rPr>
        <w:t>概況表</w:t>
      </w:r>
      <w:r>
        <w:rPr>
          <w:rFonts w:hint="eastAsia"/>
          <w:b/>
          <w:sz w:val="28"/>
        </w:rPr>
        <w:t xml:space="preserve">  </w:t>
      </w:r>
      <w:r w:rsidRPr="00F22D25">
        <w:rPr>
          <w:rFonts w:hint="eastAsia"/>
          <w:sz w:val="22"/>
          <w:szCs w:val="22"/>
        </w:rPr>
        <w:t>單</w:t>
      </w:r>
      <w:r w:rsidRPr="00DE6D14">
        <w:rPr>
          <w:rFonts w:hint="eastAsia"/>
          <w:sz w:val="22"/>
          <w:szCs w:val="22"/>
        </w:rPr>
        <w:t>位：新</w:t>
      </w:r>
      <w:r>
        <w:rPr>
          <w:rFonts w:hint="eastAsia"/>
          <w:sz w:val="22"/>
          <w:szCs w:val="22"/>
        </w:rPr>
        <w:t>臺</w:t>
      </w:r>
      <w:r w:rsidRPr="00DE6D14">
        <w:rPr>
          <w:rFonts w:hint="eastAsia"/>
          <w:sz w:val="22"/>
          <w:szCs w:val="22"/>
        </w:rPr>
        <w:t>幣千元</w:t>
      </w:r>
    </w:p>
    <w:tbl>
      <w:tblPr>
        <w:tblW w:w="841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1206"/>
        <w:gridCol w:w="1206"/>
        <w:gridCol w:w="1382"/>
        <w:gridCol w:w="986"/>
        <w:gridCol w:w="1235"/>
        <w:gridCol w:w="1316"/>
      </w:tblGrid>
      <w:tr w:rsidR="00424FCE" w:rsidRPr="00177100" w:rsidTr="005E4D9A">
        <w:trPr>
          <w:trHeight w:val="340"/>
          <w:tblHeader/>
        </w:trPr>
        <w:tc>
          <w:tcPr>
            <w:tcW w:w="1083" w:type="dxa"/>
            <w:shd w:val="clear" w:color="auto" w:fill="auto"/>
            <w:vAlign w:val="center"/>
          </w:tcPr>
          <w:p w:rsidR="00424FCE" w:rsidRPr="00141224" w:rsidRDefault="00424FCE" w:rsidP="00452EF6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141224">
              <w:rPr>
                <w:rFonts w:hAnsi="標楷體" w:hint="eastAsia"/>
                <w:b/>
                <w:sz w:val="22"/>
                <w:szCs w:val="22"/>
              </w:rPr>
              <w:t>年度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41224" w:rsidRDefault="00424FCE" w:rsidP="00452EF6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5C4F61">
              <w:rPr>
                <w:rFonts w:hAnsi="標楷體" w:hint="eastAsia"/>
                <w:b/>
                <w:sz w:val="22"/>
                <w:szCs w:val="22"/>
              </w:rPr>
              <w:t>臺</w:t>
            </w:r>
            <w:r w:rsidRPr="00141224">
              <w:rPr>
                <w:rFonts w:hAnsi="標楷體" w:hint="eastAsia"/>
                <w:b/>
                <w:sz w:val="22"/>
                <w:szCs w:val="22"/>
              </w:rPr>
              <w:t>灣金控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41224" w:rsidRDefault="00424FCE" w:rsidP="00452EF6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141224">
              <w:rPr>
                <w:rFonts w:hAnsi="標楷體" w:hint="eastAsia"/>
                <w:b/>
                <w:sz w:val="22"/>
                <w:szCs w:val="22"/>
              </w:rPr>
              <w:t>土地銀行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Pr="00141224" w:rsidRDefault="00424FCE" w:rsidP="00452EF6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>
              <w:rPr>
                <w:rFonts w:hAnsi="標楷體" w:hint="eastAsia"/>
                <w:b/>
                <w:sz w:val="22"/>
                <w:szCs w:val="22"/>
              </w:rPr>
              <w:t>中國</w:t>
            </w:r>
            <w:r w:rsidRPr="00141224">
              <w:rPr>
                <w:rFonts w:hAnsi="標楷體" w:hint="eastAsia"/>
                <w:b/>
                <w:sz w:val="22"/>
                <w:szCs w:val="22"/>
              </w:rPr>
              <w:t>輸出入銀行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Pr="00141224" w:rsidRDefault="00424FCE" w:rsidP="00452EF6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>
              <w:rPr>
                <w:rFonts w:hAnsi="標楷體" w:hint="eastAsia"/>
                <w:b/>
                <w:sz w:val="22"/>
                <w:szCs w:val="22"/>
              </w:rPr>
              <w:t>財政部</w:t>
            </w:r>
            <w:r w:rsidRPr="00141224">
              <w:rPr>
                <w:rFonts w:hAnsi="標楷體" w:hint="eastAsia"/>
                <w:b/>
                <w:sz w:val="22"/>
                <w:szCs w:val="22"/>
              </w:rPr>
              <w:t>印刷廠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Pr="00141224" w:rsidRDefault="00424FCE" w:rsidP="00452EF6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5C4F61">
              <w:rPr>
                <w:rFonts w:hAnsi="標楷體" w:hint="eastAsia"/>
                <w:b/>
                <w:sz w:val="22"/>
                <w:szCs w:val="22"/>
              </w:rPr>
              <w:t>臺</w:t>
            </w:r>
            <w:r>
              <w:rPr>
                <w:rFonts w:hAnsi="標楷體" w:hint="eastAsia"/>
                <w:b/>
                <w:sz w:val="22"/>
                <w:szCs w:val="22"/>
              </w:rPr>
              <w:t>灣菸</w:t>
            </w:r>
            <w:r w:rsidRPr="00141224">
              <w:rPr>
                <w:rFonts w:hAnsi="標楷體" w:hint="eastAsia"/>
                <w:b/>
                <w:sz w:val="22"/>
                <w:szCs w:val="22"/>
              </w:rPr>
              <w:t>酒公司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Pr="00141224" w:rsidRDefault="00424FCE" w:rsidP="00452EF6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141224">
              <w:rPr>
                <w:rFonts w:hAnsi="標楷體" w:hint="eastAsia"/>
                <w:b/>
                <w:sz w:val="22"/>
                <w:szCs w:val="22"/>
              </w:rPr>
              <w:t>合計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101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4,532,331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3,498,955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167,460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176,635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8,935,273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17,310,654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102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3,053,803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3,769,426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159,263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128,506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9,498,551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16,609,549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103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3,318,776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3,832,262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176,86</w:t>
            </w:r>
            <w:r>
              <w:rPr>
                <w:rFonts w:hAnsi="標楷體" w:hint="eastAsia"/>
                <w:sz w:val="22"/>
                <w:szCs w:val="22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9</w:t>
            </w:r>
            <w:r>
              <w:rPr>
                <w:rFonts w:hAnsi="標楷體" w:hint="eastAsia"/>
                <w:sz w:val="22"/>
                <w:szCs w:val="22"/>
              </w:rPr>
              <w:t>0</w:t>
            </w:r>
            <w:r w:rsidRPr="00177100">
              <w:rPr>
                <w:rFonts w:hAnsi="標楷體" w:hint="eastAsia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000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9,767,456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17,185,356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104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161,562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99,341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8,909,008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9,169,911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105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182,174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86,316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9,467,859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Pr="00177100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77100">
              <w:rPr>
                <w:rFonts w:hAnsi="標楷體" w:hint="eastAsia"/>
                <w:sz w:val="22"/>
                <w:szCs w:val="22"/>
              </w:rPr>
              <w:t>9,736,349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color w:val="000000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106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64432C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64432C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64432C">
              <w:rPr>
                <w:rFonts w:hAnsi="標楷體" w:hint="eastAsia"/>
                <w:color w:val="000000"/>
                <w:sz w:val="22"/>
                <w:szCs w:val="22"/>
              </w:rPr>
              <w:t>278,036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64432C">
              <w:rPr>
                <w:rFonts w:hAnsi="標楷體" w:hint="eastAsia"/>
                <w:color w:val="000000"/>
                <w:sz w:val="22"/>
                <w:szCs w:val="22"/>
              </w:rPr>
              <w:t>89,630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64432C">
              <w:rPr>
                <w:rFonts w:hAnsi="標楷體" w:hint="eastAsia"/>
                <w:color w:val="000000"/>
                <w:sz w:val="22"/>
                <w:szCs w:val="22"/>
              </w:rPr>
              <w:t>9,064,266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64432C">
              <w:rPr>
                <w:rFonts w:hAnsi="標楷體" w:hint="eastAsia"/>
                <w:color w:val="000000"/>
                <w:sz w:val="22"/>
                <w:szCs w:val="22"/>
              </w:rPr>
              <w:t>9,431,932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color w:val="000000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107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97,497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6,790,252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Pr="0064432C" w:rsidRDefault="00424FCE" w:rsidP="00452EF6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6,887,749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108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84,759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7,528,460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7,613,219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109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424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582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139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68,561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6,607,306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8,101,588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110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,560,049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,000,000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3</w:t>
            </w:r>
            <w:r>
              <w:rPr>
                <w:rFonts w:hAnsi="標楷體"/>
                <w:sz w:val="22"/>
                <w:szCs w:val="22"/>
              </w:rPr>
              <w:t>38,546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4</w:t>
            </w:r>
            <w:r>
              <w:rPr>
                <w:rFonts w:hAnsi="標楷體"/>
                <w:sz w:val="22"/>
                <w:szCs w:val="22"/>
              </w:rPr>
              <w:t>8,727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5</w:t>
            </w:r>
            <w:r>
              <w:rPr>
                <w:rFonts w:hAnsi="標楷體"/>
                <w:sz w:val="22"/>
                <w:szCs w:val="22"/>
              </w:rPr>
              <w:t>,915,224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8</w:t>
            </w:r>
            <w:r>
              <w:rPr>
                <w:rFonts w:hAnsi="標楷體"/>
                <w:sz w:val="22"/>
                <w:szCs w:val="22"/>
              </w:rPr>
              <w:t>,862,546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452EF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</w:t>
            </w:r>
            <w:r>
              <w:rPr>
                <w:rFonts w:hAnsi="標楷體"/>
                <w:sz w:val="22"/>
                <w:szCs w:val="22"/>
              </w:rPr>
              <w:t>,000,000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,000,000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3</w:t>
            </w:r>
            <w:r>
              <w:rPr>
                <w:rFonts w:hAnsi="標楷體"/>
                <w:sz w:val="22"/>
                <w:szCs w:val="22"/>
              </w:rPr>
              <w:t>27,765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8</w:t>
            </w:r>
            <w:r>
              <w:rPr>
                <w:rFonts w:hAnsi="標楷體"/>
                <w:sz w:val="22"/>
                <w:szCs w:val="22"/>
              </w:rPr>
              <w:t>7,494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5</w:t>
            </w:r>
            <w:r>
              <w:rPr>
                <w:rFonts w:hAnsi="標楷體"/>
                <w:sz w:val="22"/>
                <w:szCs w:val="22"/>
              </w:rPr>
              <w:t>,650,551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Default="00424FCE" w:rsidP="000E40D3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9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065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81</w:t>
            </w:r>
            <w:r>
              <w:rPr>
                <w:rFonts w:hAnsi="標楷體"/>
                <w:sz w:val="22"/>
                <w:szCs w:val="22"/>
              </w:rPr>
              <w:t>1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C84456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lastRenderedPageBreak/>
              <w:t>112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2,</w:t>
            </w:r>
            <w:r>
              <w:rPr>
                <w:rFonts w:hAnsi="標楷體"/>
                <w:sz w:val="22"/>
                <w:szCs w:val="22"/>
              </w:rPr>
              <w:t>050,000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,050,000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05,052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Default="00424FCE" w:rsidP="00273D7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5</w:t>
            </w:r>
            <w:r>
              <w:rPr>
                <w:rFonts w:hAnsi="標楷體"/>
                <w:sz w:val="22"/>
                <w:szCs w:val="22"/>
              </w:rPr>
              <w:t>,629,379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Default="00424FCE" w:rsidP="00273D7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/>
                <w:sz w:val="22"/>
                <w:szCs w:val="22"/>
              </w:rPr>
              <w:t>8,834,431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C84456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2"/>
                <w:szCs w:val="22"/>
              </w:rPr>
            </w:pPr>
            <w:r w:rsidRPr="00C84456">
              <w:rPr>
                <w:rFonts w:hAnsi="標楷體" w:hint="eastAsia"/>
                <w:sz w:val="22"/>
                <w:szCs w:val="22"/>
              </w:rPr>
              <w:t>11</w:t>
            </w:r>
            <w:r w:rsidRPr="00C84456">
              <w:rPr>
                <w:rFonts w:hAnsi="標楷體"/>
                <w:sz w:val="22"/>
                <w:szCs w:val="22"/>
              </w:rPr>
              <w:t>3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273D7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2,</w:t>
            </w:r>
            <w:r>
              <w:rPr>
                <w:rFonts w:hAnsi="標楷體"/>
                <w:sz w:val="22"/>
                <w:szCs w:val="22"/>
              </w:rPr>
              <w:t>150,000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273D7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,050,000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/>
                <w:sz w:val="22"/>
                <w:szCs w:val="22"/>
              </w:rPr>
              <w:t>48,</w:t>
            </w:r>
            <w:r>
              <w:rPr>
                <w:rFonts w:hAnsi="標楷體" w:hint="eastAsia"/>
                <w:sz w:val="22"/>
                <w:szCs w:val="22"/>
              </w:rPr>
              <w:t>4</w:t>
            </w:r>
            <w:r>
              <w:rPr>
                <w:rFonts w:hAnsi="標楷體"/>
                <w:sz w:val="22"/>
                <w:szCs w:val="22"/>
              </w:rPr>
              <w:t>90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3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928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220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Default="00424FCE" w:rsidP="00273D7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7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176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710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Pr="00C84456" w:rsidRDefault="00424FCE" w:rsidP="00C84456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114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1D1B72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38</w:t>
            </w:r>
            <w:r>
              <w:rPr>
                <w:rFonts w:hAnsi="標楷體"/>
                <w:sz w:val="22"/>
                <w:szCs w:val="22"/>
              </w:rPr>
              <w:t>0,000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,1</w:t>
            </w:r>
            <w:r>
              <w:rPr>
                <w:rFonts w:hAnsi="標楷體" w:hint="eastAsia"/>
                <w:sz w:val="22"/>
                <w:szCs w:val="22"/>
              </w:rPr>
              <w:t>7</w:t>
            </w:r>
            <w:r>
              <w:rPr>
                <w:rFonts w:hAnsi="標楷體"/>
                <w:sz w:val="22"/>
                <w:szCs w:val="22"/>
              </w:rPr>
              <w:t>0,000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</w:t>
            </w:r>
            <w:r>
              <w:rPr>
                <w:rFonts w:hAnsi="標楷體"/>
                <w:sz w:val="22"/>
                <w:szCs w:val="22"/>
              </w:rPr>
              <w:t>7,329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4</w:t>
            </w:r>
            <w:r>
              <w:rPr>
                <w:rFonts w:hAnsi="標楷體"/>
                <w:sz w:val="22"/>
                <w:szCs w:val="22"/>
              </w:rPr>
              <w:t>,711,000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Default="00424FCE" w:rsidP="00452EF6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8,2</w:t>
            </w:r>
            <w:r>
              <w:rPr>
                <w:rFonts w:hAnsi="標楷體"/>
                <w:sz w:val="22"/>
                <w:szCs w:val="22"/>
              </w:rPr>
              <w:t>8</w:t>
            </w:r>
            <w:r>
              <w:rPr>
                <w:rFonts w:hAnsi="標楷體" w:hint="eastAsia"/>
                <w:sz w:val="22"/>
                <w:szCs w:val="22"/>
              </w:rPr>
              <w:t>8</w:t>
            </w:r>
            <w:r>
              <w:rPr>
                <w:rFonts w:hAnsi="標楷體"/>
                <w:sz w:val="22"/>
                <w:szCs w:val="22"/>
              </w:rPr>
              <w:t>,329</w:t>
            </w:r>
          </w:p>
        </w:tc>
      </w:tr>
      <w:tr w:rsidR="00424FCE" w:rsidRPr="00177100" w:rsidTr="005E4D9A">
        <w:trPr>
          <w:trHeight w:val="312"/>
        </w:trPr>
        <w:tc>
          <w:tcPr>
            <w:tcW w:w="1083" w:type="dxa"/>
            <w:shd w:val="clear" w:color="auto" w:fill="auto"/>
            <w:vAlign w:val="center"/>
          </w:tcPr>
          <w:p w:rsidR="00424FCE" w:rsidRDefault="00424FCE" w:rsidP="00410DCF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115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10DCF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2</w:t>
            </w:r>
            <w:r>
              <w:rPr>
                <w:rFonts w:hAnsi="標楷體"/>
                <w:sz w:val="22"/>
                <w:szCs w:val="22"/>
              </w:rPr>
              <w:t>00,000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24FCE" w:rsidRDefault="00424FCE" w:rsidP="00410DCF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,100,000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24FCE" w:rsidRDefault="00424FCE" w:rsidP="00410DCF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:rsidR="00424FCE" w:rsidRDefault="00424FCE" w:rsidP="00410DCF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15,050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24FCE" w:rsidRDefault="00424FCE" w:rsidP="00410DCF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3,927,974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24FCE" w:rsidRDefault="00424FCE" w:rsidP="00410DCF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7,243,024</w:t>
            </w:r>
          </w:p>
        </w:tc>
      </w:tr>
    </w:tbl>
    <w:p w:rsidR="00424FCE" w:rsidRDefault="00424FCE" w:rsidP="00512BA9">
      <w:pPr>
        <w:pStyle w:val="142"/>
      </w:pPr>
      <w:r>
        <w:rPr>
          <w:rFonts w:hint="eastAsia"/>
        </w:rPr>
        <w:t>說    明：101至113年度為</w:t>
      </w:r>
      <w:r w:rsidR="004B4D07">
        <w:rPr>
          <w:rFonts w:hint="eastAsia"/>
        </w:rPr>
        <w:t>審定</w:t>
      </w:r>
      <w:r>
        <w:rPr>
          <w:rFonts w:hint="eastAsia"/>
        </w:rPr>
        <w:t>決算數、114及115年度為預算案數。</w:t>
      </w:r>
    </w:p>
    <w:p w:rsidR="00424FCE" w:rsidRDefault="00424FCE" w:rsidP="00512BA9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：財政部各年度預、決算書</w:t>
      </w:r>
      <w:r w:rsidRPr="0047628E">
        <w:rPr>
          <w:rFonts w:hint="eastAsia"/>
        </w:rPr>
        <w:t>。</w:t>
      </w:r>
    </w:p>
    <w:p w:rsidR="00424FCE" w:rsidRDefault="00424FCE" w:rsidP="00452EF6">
      <w:pPr>
        <w:pStyle w:val="a4"/>
        <w:ind w:left="851" w:hanging="284"/>
        <w:rPr>
          <w:b/>
        </w:rPr>
      </w:pPr>
      <w:r>
        <w:rPr>
          <w:rFonts w:hint="eastAsia"/>
          <w:b/>
        </w:rPr>
        <w:t>(二</w:t>
      </w:r>
      <w:r>
        <w:rPr>
          <w:b/>
        </w:rPr>
        <w:t>)</w:t>
      </w:r>
      <w:r w:rsidR="004C0F1A" w:rsidRPr="00E47A11">
        <w:rPr>
          <w:rFonts w:hint="eastAsia"/>
          <w:b/>
        </w:rPr>
        <w:t>土銀</w:t>
      </w:r>
      <w:r w:rsidR="004C0F1A">
        <w:rPr>
          <w:rFonts w:hint="eastAsia"/>
          <w:b/>
        </w:rPr>
        <w:t>因適用</w:t>
      </w:r>
      <w:r w:rsidRPr="00E47A11">
        <w:rPr>
          <w:rFonts w:hint="eastAsia"/>
          <w:b/>
        </w:rPr>
        <w:t>金管會修正實施資本計提規範</w:t>
      </w:r>
      <w:r w:rsidR="004C0F1A">
        <w:rPr>
          <w:rFonts w:hint="eastAsia"/>
          <w:b/>
        </w:rPr>
        <w:t>致資本適足比率</w:t>
      </w:r>
      <w:r w:rsidRPr="00E47A11">
        <w:rPr>
          <w:rFonts w:hint="eastAsia"/>
          <w:b/>
        </w:rPr>
        <w:t>下降</w:t>
      </w:r>
      <w:r w:rsidR="004C0F1A">
        <w:rPr>
          <w:rFonts w:hint="eastAsia"/>
          <w:b/>
        </w:rPr>
        <w:t>，惟下降</w:t>
      </w:r>
      <w:r w:rsidR="000A11C1">
        <w:rPr>
          <w:rFonts w:hint="eastAsia"/>
          <w:b/>
        </w:rPr>
        <w:t>幅度</w:t>
      </w:r>
      <w:r w:rsidR="004C0F1A">
        <w:rPr>
          <w:rFonts w:hint="eastAsia"/>
          <w:b/>
        </w:rPr>
        <w:t>較</w:t>
      </w:r>
      <w:r w:rsidRPr="00E47A11">
        <w:rPr>
          <w:rFonts w:hint="eastAsia"/>
          <w:b/>
        </w:rPr>
        <w:t>本國銀行平均值</w:t>
      </w:r>
      <w:r w:rsidR="004C0F1A">
        <w:rPr>
          <w:rFonts w:hint="eastAsia"/>
          <w:b/>
        </w:rPr>
        <w:t>為高</w:t>
      </w:r>
      <w:r w:rsidR="004F3102">
        <w:rPr>
          <w:rFonts w:hint="eastAsia"/>
          <w:b/>
        </w:rPr>
        <w:t>；另</w:t>
      </w:r>
      <w:r w:rsidRPr="00E47A11">
        <w:rPr>
          <w:rFonts w:hint="eastAsia"/>
          <w:b/>
        </w:rPr>
        <w:t>截至114年6月底止，該行資本適足比率亦低於本國銀行平均值</w:t>
      </w:r>
    </w:p>
    <w:p w:rsidR="00424FCE" w:rsidRDefault="00424FCE" w:rsidP="00D4348C">
      <w:pPr>
        <w:pStyle w:val="2"/>
        <w:ind w:left="850" w:firstLine="567"/>
        <w:rPr>
          <w:bCs/>
        </w:rPr>
      </w:pPr>
      <w:r w:rsidRPr="000341EF">
        <w:rPr>
          <w:rFonts w:hint="eastAsia"/>
        </w:rPr>
        <w:t>銀行資本適足性及資本等級管理辦法</w:t>
      </w:r>
      <w:r>
        <w:rPr>
          <w:rFonts w:hint="eastAsia"/>
        </w:rPr>
        <w:t>第2條第1款規定：「本辦法用詞定義如下：一、自有資本與風險性資產之比率(以下簡稱資本適足比率)：指普通股權益比率、第一類資本比率及資本適足率。</w:t>
      </w:r>
      <w:r w:rsidRPr="00D4348C">
        <w:rPr>
          <w:rFonts w:hAnsi="標楷體" w:cs="微軟正黑體" w:hint="eastAsia"/>
        </w:rPr>
        <w:t>」</w:t>
      </w:r>
      <w:r>
        <w:rPr>
          <w:rFonts w:hint="eastAsia"/>
        </w:rPr>
        <w:t>目前</w:t>
      </w:r>
      <w:r w:rsidRPr="002D6D5B">
        <w:rPr>
          <w:rFonts w:hint="eastAsia"/>
        </w:rPr>
        <w:t>法定最低比率分別</w:t>
      </w:r>
      <w:r>
        <w:rPr>
          <w:rFonts w:hint="eastAsia"/>
        </w:rPr>
        <w:t>為</w:t>
      </w:r>
      <w:r w:rsidRPr="002D6D5B">
        <w:rPr>
          <w:rFonts w:hint="eastAsia"/>
        </w:rPr>
        <w:t>7%、8.5%及10.5%。銀行若無法達成規定之各</w:t>
      </w:r>
      <w:r w:rsidRPr="00C02BD3">
        <w:rPr>
          <w:rFonts w:hint="eastAsia"/>
        </w:rPr>
        <w:t>項最低比率，現金分配盈餘及風險性資產之成長將受限，甚至影響放款、投資、轉投資、申設分支機構及併購案之執行。</w:t>
      </w:r>
    </w:p>
    <w:p w:rsidR="00424FCE" w:rsidRPr="00D4348C" w:rsidRDefault="00424FCE" w:rsidP="00D92BF6">
      <w:pPr>
        <w:pStyle w:val="2"/>
        <w:ind w:left="850" w:firstLine="567"/>
        <w:rPr>
          <w:bCs/>
        </w:rPr>
      </w:pPr>
      <w:r w:rsidRPr="00D92BF6">
        <w:rPr>
          <w:rFonts w:hint="eastAsia"/>
          <w:bCs/>
        </w:rPr>
        <w:t>為強化本國銀行之損失吸收能力與國際接軌，金融監督管理委員會(下稱金管會)參酌國際規範，修正市場風險、交易對手信用評價調整及證券化暴險之資本計提規範</w:t>
      </w:r>
      <w:r>
        <w:rPr>
          <w:rFonts w:hint="eastAsia"/>
          <w:bCs/>
        </w:rPr>
        <w:t>，</w:t>
      </w:r>
      <w:r w:rsidRPr="00D4348C">
        <w:rPr>
          <w:rFonts w:hint="eastAsia"/>
          <w:bCs/>
        </w:rPr>
        <w:t>並考量銀行有調整系統及內部規範之需求，於114年7月1日起實施。金管會前請本國銀行以112年12月底</w:t>
      </w:r>
      <w:r>
        <w:rPr>
          <w:rFonts w:hint="eastAsia"/>
          <w:bCs/>
        </w:rPr>
        <w:t>之</w:t>
      </w:r>
      <w:r w:rsidRPr="00D4348C">
        <w:rPr>
          <w:rFonts w:hint="eastAsia"/>
          <w:bCs/>
        </w:rPr>
        <w:t>資本適足率為基礎進行試算</w:t>
      </w:r>
      <w:r>
        <w:rPr>
          <w:rFonts w:hint="eastAsia"/>
          <w:bCs/>
        </w:rPr>
        <w:t>；</w:t>
      </w:r>
      <w:r w:rsidRPr="00D4348C">
        <w:rPr>
          <w:rFonts w:hint="eastAsia"/>
          <w:bCs/>
        </w:rPr>
        <w:t>依試算結果，修正後全體銀行平均普通股權益比率、第一類資本比率及資本適足率微幅下降(下降幅度分別為0.04、0.04及0.05個百分點)</w:t>
      </w:r>
      <w:r>
        <w:rPr>
          <w:rFonts w:hint="eastAsia"/>
          <w:bCs/>
        </w:rPr>
        <w:t>，惟據土銀114年7月底報表顯示，該3項比率分別為11.99</w:t>
      </w:r>
      <w:r w:rsidR="004F3102">
        <w:rPr>
          <w:rFonts w:hint="eastAsia"/>
          <w:bCs/>
        </w:rPr>
        <w:t>%</w:t>
      </w:r>
      <w:r>
        <w:rPr>
          <w:rFonts w:hint="eastAsia"/>
          <w:bCs/>
        </w:rPr>
        <w:t>、13.15</w:t>
      </w:r>
      <w:r w:rsidR="004F3102">
        <w:rPr>
          <w:rFonts w:hint="eastAsia"/>
          <w:bCs/>
        </w:rPr>
        <w:t>%</w:t>
      </w:r>
      <w:r>
        <w:rPr>
          <w:rFonts w:hint="eastAsia"/>
          <w:bCs/>
        </w:rPr>
        <w:t>及15.12</w:t>
      </w:r>
      <w:r w:rsidR="004F3102">
        <w:rPr>
          <w:rFonts w:hint="eastAsia"/>
          <w:bCs/>
        </w:rPr>
        <w:t>%</w:t>
      </w:r>
      <w:r>
        <w:rPr>
          <w:rFonts w:hint="eastAsia"/>
          <w:bCs/>
        </w:rPr>
        <w:t>，較實施前(114年6月底)分別下降0.06、0.07及0.07個百分點，下降幅度高於本國銀行平均值0.02至0.03個百分點。另</w:t>
      </w:r>
      <w:r w:rsidRPr="00C02BD3">
        <w:rPr>
          <w:rFonts w:hint="eastAsia"/>
        </w:rPr>
        <w:t>截至11</w:t>
      </w:r>
      <w:r>
        <w:rPr>
          <w:rFonts w:hint="eastAsia"/>
        </w:rPr>
        <w:t>4</w:t>
      </w:r>
      <w:r w:rsidRPr="00C02BD3">
        <w:rPr>
          <w:rFonts w:hint="eastAsia"/>
        </w:rPr>
        <w:t>年6月底止，土</w:t>
      </w:r>
      <w:r w:rsidRPr="00C02BD3">
        <w:rPr>
          <w:rFonts w:hint="eastAsia"/>
        </w:rPr>
        <w:lastRenderedPageBreak/>
        <w:t>銀之普通股權益比率、第一類資</w:t>
      </w:r>
      <w:r w:rsidRPr="002D6D5B">
        <w:rPr>
          <w:rFonts w:hint="eastAsia"/>
        </w:rPr>
        <w:t>本比率及資本適足率分別為</w:t>
      </w:r>
      <w:r>
        <w:rPr>
          <w:rFonts w:hint="eastAsia"/>
        </w:rPr>
        <w:t>12.05</w:t>
      </w:r>
      <w:r w:rsidRPr="002D6D5B">
        <w:rPr>
          <w:rFonts w:hint="eastAsia"/>
        </w:rPr>
        <w:t>%、1</w:t>
      </w:r>
      <w:r>
        <w:rPr>
          <w:rFonts w:hint="eastAsia"/>
        </w:rPr>
        <w:t>3.22</w:t>
      </w:r>
      <w:r w:rsidRPr="002D6D5B">
        <w:rPr>
          <w:rFonts w:hint="eastAsia"/>
        </w:rPr>
        <w:t>%及</w:t>
      </w:r>
      <w:r>
        <w:rPr>
          <w:rFonts w:hint="eastAsia"/>
        </w:rPr>
        <w:t>15.19</w:t>
      </w:r>
      <w:r w:rsidRPr="006C3A4D">
        <w:rPr>
          <w:rFonts w:hint="eastAsia"/>
          <w:color w:val="000000"/>
        </w:rPr>
        <w:t>%</w:t>
      </w:r>
      <w:r>
        <w:rPr>
          <w:rFonts w:hint="eastAsia"/>
          <w:color w:val="000000"/>
        </w:rPr>
        <w:t>，</w:t>
      </w:r>
      <w:r w:rsidRPr="006C3A4D">
        <w:rPr>
          <w:rFonts w:hint="eastAsia"/>
          <w:color w:val="000000"/>
        </w:rPr>
        <w:t>雖</w:t>
      </w:r>
      <w:r>
        <w:rPr>
          <w:rFonts w:hint="eastAsia"/>
          <w:color w:val="000000"/>
        </w:rPr>
        <w:t>高</w:t>
      </w:r>
      <w:r w:rsidRPr="006C3A4D">
        <w:rPr>
          <w:rFonts w:hint="eastAsia"/>
          <w:color w:val="000000"/>
        </w:rPr>
        <w:t>於法定比率，然低於本國銀行平均值之</w:t>
      </w:r>
      <w:r w:rsidRPr="00DB61B0">
        <w:rPr>
          <w:rFonts w:hint="eastAsia"/>
          <w:color w:val="000000"/>
        </w:rPr>
        <w:t>1</w:t>
      </w:r>
      <w:r w:rsidR="004B4D07" w:rsidRPr="00DB61B0">
        <w:rPr>
          <w:rFonts w:hint="eastAsia"/>
          <w:color w:val="000000"/>
        </w:rPr>
        <w:t>2.36</w:t>
      </w:r>
      <w:r w:rsidRPr="00DB61B0">
        <w:rPr>
          <w:rFonts w:hint="eastAsia"/>
          <w:color w:val="000000"/>
        </w:rPr>
        <w:t>%、1</w:t>
      </w:r>
      <w:r w:rsidR="004B4D07" w:rsidRPr="00DB61B0">
        <w:rPr>
          <w:rFonts w:hint="eastAsia"/>
          <w:color w:val="000000"/>
        </w:rPr>
        <w:t>3.57</w:t>
      </w:r>
      <w:r w:rsidRPr="00DB61B0">
        <w:rPr>
          <w:rFonts w:hint="eastAsia"/>
          <w:color w:val="000000"/>
        </w:rPr>
        <w:t>%及1</w:t>
      </w:r>
      <w:r w:rsidR="004B4D07" w:rsidRPr="00DB61B0">
        <w:rPr>
          <w:rFonts w:hint="eastAsia"/>
          <w:color w:val="000000"/>
        </w:rPr>
        <w:t>5.65</w:t>
      </w:r>
      <w:r w:rsidRPr="00DB61B0">
        <w:rPr>
          <w:rFonts w:hint="eastAsia"/>
          <w:color w:val="000000"/>
        </w:rPr>
        <w:t>%</w:t>
      </w:r>
      <w:r w:rsidR="004B4D07" w:rsidRPr="00DB61B0">
        <w:rPr>
          <w:rFonts w:hint="eastAsia"/>
          <w:color w:val="000000"/>
        </w:rPr>
        <w:t>，試算資本應提升數分別為58、66及86億元</w:t>
      </w:r>
      <w:r w:rsidRPr="00DB61B0">
        <w:rPr>
          <w:rFonts w:hint="eastAsia"/>
          <w:color w:val="000000"/>
        </w:rPr>
        <w:t>。</w:t>
      </w:r>
    </w:p>
    <w:p w:rsidR="00424FCE" w:rsidRDefault="00424FCE" w:rsidP="00452EF6">
      <w:pPr>
        <w:ind w:left="567" w:firstLine="567"/>
        <w:rPr>
          <w:szCs w:val="24"/>
        </w:rPr>
      </w:pPr>
      <w:r w:rsidRPr="0047628E">
        <w:rPr>
          <w:rFonts w:hint="eastAsia"/>
        </w:rPr>
        <w:t>綜上，</w:t>
      </w:r>
      <w:r>
        <w:rPr>
          <w:rFonts w:hint="eastAsia"/>
        </w:rPr>
        <w:t>為健全</w:t>
      </w:r>
      <w:r w:rsidRPr="0064432C">
        <w:rPr>
          <w:rFonts w:hint="eastAsia"/>
        </w:rPr>
        <w:t>土地銀行</w:t>
      </w:r>
      <w:r>
        <w:rPr>
          <w:rFonts w:hint="eastAsia"/>
        </w:rPr>
        <w:t>財務體質</w:t>
      </w:r>
      <w:r w:rsidRPr="0064432C">
        <w:rPr>
          <w:rFonts w:hint="eastAsia"/>
        </w:rPr>
        <w:t>，</w:t>
      </w:r>
      <w:r>
        <w:rPr>
          <w:rFonts w:hint="eastAsia"/>
        </w:rPr>
        <w:t>財政部</w:t>
      </w:r>
      <w:r w:rsidRPr="0064432C">
        <w:rPr>
          <w:rFonts w:hint="eastAsia"/>
        </w:rPr>
        <w:t>104</w:t>
      </w:r>
      <w:r>
        <w:rPr>
          <w:rFonts w:hint="eastAsia"/>
        </w:rPr>
        <w:t>至109</w:t>
      </w:r>
      <w:r w:rsidRPr="0064432C">
        <w:rPr>
          <w:rFonts w:hint="eastAsia"/>
        </w:rPr>
        <w:t>年度</w:t>
      </w:r>
      <w:r>
        <w:rPr>
          <w:rFonts w:hint="eastAsia"/>
        </w:rPr>
        <w:t>皆未編列該行盈餘繳庫數，自110年</w:t>
      </w:r>
      <w:r w:rsidR="004F3102">
        <w:rPr>
          <w:rFonts w:hint="eastAsia"/>
        </w:rPr>
        <w:t>度</w:t>
      </w:r>
      <w:r>
        <w:rPr>
          <w:rFonts w:hint="eastAsia"/>
        </w:rPr>
        <w:t>起</w:t>
      </w:r>
      <w:r w:rsidR="004F3102">
        <w:rPr>
          <w:rFonts w:hint="eastAsia"/>
        </w:rPr>
        <w:t>始</w:t>
      </w:r>
      <w:r>
        <w:rPr>
          <w:rFonts w:hint="eastAsia"/>
        </w:rPr>
        <w:t>恢復繳庫，</w:t>
      </w:r>
      <w:r w:rsidR="004F3102">
        <w:rPr>
          <w:rFonts w:hint="eastAsia"/>
        </w:rPr>
        <w:t>且</w:t>
      </w:r>
      <w:r w:rsidRPr="00DD3729">
        <w:rPr>
          <w:rFonts w:hint="eastAsia"/>
        </w:rPr>
        <w:t>11</w:t>
      </w:r>
      <w:r>
        <w:rPr>
          <w:rFonts w:hint="eastAsia"/>
        </w:rPr>
        <w:t>5</w:t>
      </w:r>
      <w:r w:rsidRPr="00DD3729">
        <w:rPr>
          <w:rFonts w:hint="eastAsia"/>
        </w:rPr>
        <w:t>年度</w:t>
      </w:r>
      <w:r>
        <w:rPr>
          <w:rFonts w:hint="eastAsia"/>
        </w:rPr>
        <w:t>預計</w:t>
      </w:r>
      <w:r w:rsidRPr="00DD3729">
        <w:rPr>
          <w:rFonts w:hint="eastAsia"/>
        </w:rPr>
        <w:t>繳庫數較</w:t>
      </w:r>
      <w:r>
        <w:rPr>
          <w:rFonts w:hint="eastAsia"/>
        </w:rPr>
        <w:t>114</w:t>
      </w:r>
      <w:r w:rsidRPr="00DD3729">
        <w:rPr>
          <w:rFonts w:hint="eastAsia"/>
        </w:rPr>
        <w:t>年度</w:t>
      </w:r>
      <w:r>
        <w:rPr>
          <w:rFonts w:hint="eastAsia"/>
        </w:rPr>
        <w:t>減少7千萬元；嗣</w:t>
      </w:r>
      <w:r w:rsidRPr="00E47A11">
        <w:rPr>
          <w:rFonts w:hint="eastAsia"/>
        </w:rPr>
        <w:t>金管會114年7月修正實施資本計提規範，致本國銀行資本適足比率下降，惟土銀下降幅度高於本國銀行平均值，且截至114年6月底止，該行資本適足比率亦低於本國銀行平均值</w:t>
      </w:r>
      <w:r w:rsidRPr="007B0D59">
        <w:rPr>
          <w:rFonts w:hAnsi="標楷體" w:hint="eastAsia"/>
        </w:rPr>
        <w:t>，</w:t>
      </w:r>
      <w:r w:rsidRPr="00DD3729">
        <w:rPr>
          <w:rFonts w:hint="eastAsia"/>
        </w:rPr>
        <w:t>允宜</w:t>
      </w:r>
      <w:r w:rsidRPr="00E47A11">
        <w:rPr>
          <w:rFonts w:hint="eastAsia"/>
        </w:rPr>
        <w:t>研謀改進</w:t>
      </w:r>
      <w:r>
        <w:rPr>
          <w:rFonts w:hint="eastAsia"/>
        </w:rPr>
        <w:t>以</w:t>
      </w:r>
      <w:r>
        <w:rPr>
          <w:rFonts w:hint="eastAsia"/>
          <w:spacing w:val="-1"/>
        </w:rPr>
        <w:t>提升</w:t>
      </w:r>
      <w:r w:rsidRPr="00414E1C">
        <w:rPr>
          <w:rFonts w:hint="eastAsia"/>
          <w:spacing w:val="-1"/>
        </w:rPr>
        <w:t>財務健全性</w:t>
      </w:r>
      <w:r w:rsidRPr="0047628E">
        <w:rPr>
          <w:rFonts w:hint="eastAsia"/>
          <w:szCs w:val="24"/>
        </w:rPr>
        <w:t>。</w:t>
      </w:r>
    </w:p>
    <w:bookmarkEnd w:id="2"/>
    <w:bookmarkEnd w:id="3"/>
    <w:bookmarkEnd w:id="0"/>
    <w:bookmarkEnd w:id="4"/>
    <w:bookmarkEnd w:id="5"/>
    <w:bookmarkEnd w:id="6"/>
    <w:sectPr w:rsidR="00424FCE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AA46EF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  <w:footnote w:id="1">
    <w:p w:rsidR="00424FCE" w:rsidRPr="00572DC3" w:rsidRDefault="00424FCE" w:rsidP="003541E2">
      <w:pPr>
        <w:pStyle w:val="142"/>
        <w:ind w:left="85" w:hangingChars="35" w:hanging="85"/>
        <w:jc w:val="both"/>
      </w:pPr>
      <w:r>
        <w:rPr>
          <w:rStyle w:val="afc"/>
        </w:rPr>
        <w:footnoteRef/>
      </w:r>
      <w:r w:rsidRPr="003541E2">
        <w:rPr>
          <w:rFonts w:hint="eastAsia"/>
          <w:snapToGrid/>
        </w:rPr>
        <w:t>包含臺灣金控公司</w:t>
      </w:r>
      <w:r>
        <w:rPr>
          <w:rFonts w:hint="eastAsia"/>
        </w:rPr>
        <w:t>22</w:t>
      </w:r>
      <w:r w:rsidRPr="00572DC3">
        <w:rPr>
          <w:rFonts w:hint="eastAsia"/>
        </w:rPr>
        <w:t>億元</w:t>
      </w:r>
      <w:r>
        <w:rPr>
          <w:rFonts w:hint="eastAsia"/>
        </w:rPr>
        <w:t>、</w:t>
      </w:r>
      <w:r w:rsidRPr="00572DC3">
        <w:rPr>
          <w:rFonts w:hint="eastAsia"/>
        </w:rPr>
        <w:t>臺灣土地銀行公司1</w:t>
      </w:r>
      <w:r>
        <w:rPr>
          <w:rFonts w:hint="eastAsia"/>
        </w:rPr>
        <w:t>1</w:t>
      </w:r>
      <w:r w:rsidRPr="00572DC3">
        <w:rPr>
          <w:rFonts w:hint="eastAsia"/>
        </w:rPr>
        <w:t>億元、臺灣菸酒公司</w:t>
      </w:r>
      <w:r w:rsidR="00322DCC">
        <w:rPr>
          <w:rFonts w:hint="eastAsia"/>
        </w:rPr>
        <w:t>39</w:t>
      </w:r>
      <w:r>
        <w:rPr>
          <w:rFonts w:hint="eastAsia"/>
        </w:rPr>
        <w:t>億</w:t>
      </w:r>
      <w:r w:rsidR="00322DCC">
        <w:rPr>
          <w:rFonts w:hint="eastAsia"/>
        </w:rPr>
        <w:t>2,797萬4千</w:t>
      </w:r>
      <w:r>
        <w:rPr>
          <w:rFonts w:hint="eastAsia"/>
        </w:rPr>
        <w:t>元</w:t>
      </w:r>
      <w:r w:rsidRPr="00572DC3">
        <w:rPr>
          <w:rFonts w:hint="eastAsia"/>
        </w:rPr>
        <w:t>及財政部印刷廠</w:t>
      </w:r>
      <w:r w:rsidR="00322DCC">
        <w:rPr>
          <w:rFonts w:hint="eastAsia"/>
        </w:rPr>
        <w:t>1</w:t>
      </w:r>
      <w:r>
        <w:t>,</w:t>
      </w:r>
      <w:r w:rsidR="00322DCC">
        <w:rPr>
          <w:rFonts w:hint="eastAsia"/>
        </w:rPr>
        <w:t>505</w:t>
      </w:r>
      <w:r>
        <w:rPr>
          <w:rFonts w:hint="eastAsia"/>
        </w:rPr>
        <w:t>萬</w:t>
      </w:r>
      <w:r w:rsidRPr="00572DC3">
        <w:rPr>
          <w:rFonts w:hint="eastAsia"/>
        </w:rPr>
        <w:t>元</w:t>
      </w:r>
      <w:r>
        <w:rPr>
          <w:rFonts w:hint="eastAsia"/>
        </w:rPr>
        <w:t>之</w:t>
      </w:r>
      <w:r w:rsidRPr="00572DC3">
        <w:rPr>
          <w:rFonts w:hint="eastAsia"/>
        </w:rPr>
        <w:t>繳庫數</w:t>
      </w:r>
      <w:r>
        <w:rPr>
          <w:rFonts w:hint="eastAsia"/>
        </w:rPr>
        <w:t>。</w:t>
      </w:r>
    </w:p>
  </w:footnote>
  <w:footnote w:id="2">
    <w:p w:rsidR="00424FCE" w:rsidRPr="00227DB1" w:rsidRDefault="00424FCE" w:rsidP="003541E2">
      <w:pPr>
        <w:pStyle w:val="142"/>
        <w:ind w:left="85" w:hangingChars="35" w:hanging="85"/>
        <w:jc w:val="both"/>
        <w:rPr>
          <w:rStyle w:val="143"/>
        </w:rPr>
      </w:pPr>
      <w:r>
        <w:rPr>
          <w:rStyle w:val="afc"/>
        </w:rPr>
        <w:footnoteRef/>
      </w:r>
      <w:r w:rsidRPr="00227DB1">
        <w:rPr>
          <w:rStyle w:val="143"/>
          <w:rFonts w:hint="eastAsia"/>
        </w:rPr>
        <w:t>以101至103年度土地銀行每年平均繳庫決算約</w:t>
      </w:r>
      <w:r>
        <w:rPr>
          <w:rStyle w:val="143"/>
          <w:rFonts w:hint="eastAsia"/>
        </w:rPr>
        <w:t>37億元計算，</w:t>
      </w:r>
      <w:r w:rsidRPr="003B5B39">
        <w:rPr>
          <w:rStyle w:val="143"/>
          <w:rFonts w:hint="eastAsia"/>
        </w:rPr>
        <w:t>形同國庫於104至109</w:t>
      </w:r>
      <w:r w:rsidRPr="003541E2">
        <w:rPr>
          <w:rFonts w:hint="eastAsia"/>
          <w:snapToGrid/>
        </w:rPr>
        <w:t>年度挹注該行約</w:t>
      </w:r>
      <w:r w:rsidRPr="003B5B39">
        <w:rPr>
          <w:rStyle w:val="143"/>
          <w:rFonts w:hint="eastAsia"/>
        </w:rPr>
        <w:t>222億元</w:t>
      </w:r>
      <w:r w:rsidRPr="00227DB1">
        <w:rPr>
          <w:rStyle w:val="143"/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6EF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D38E4E10-ABC6-4753-B759-2F4B87BB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25B86-6B3C-4D92-8B04-79C7479C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464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