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452463">
      <w:pPr>
        <w:pStyle w:val="14"/>
        <w:ind w:left="568" w:hanging="568"/>
      </w:pPr>
      <w:bookmarkStart w:id="2" w:name="_Toc68683314"/>
      <w:bookmarkStart w:id="3" w:name="_Toc98899676"/>
      <w:bookmarkStart w:id="4" w:name="_Toc98899839"/>
      <w:bookmarkStart w:id="5" w:name="_Toc212619431"/>
      <w:r>
        <w:rPr>
          <w:rFonts w:hint="eastAsia"/>
        </w:rPr>
        <w:t>七、</w:t>
      </w:r>
      <w:bookmarkStart w:id="6" w:name="_Toc1832075"/>
      <w:bookmarkStart w:id="7" w:name="_Toc68683332"/>
      <w:bookmarkStart w:id="8" w:name="_Toc98899699"/>
      <w:bookmarkStart w:id="9" w:name="_Toc98899862"/>
      <w:bookmarkEnd w:id="0"/>
      <w:bookmarkEnd w:id="2"/>
      <w:bookmarkEnd w:id="3"/>
      <w:bookmarkEnd w:id="4"/>
      <w:r>
        <w:rPr>
          <w:rFonts w:hint="eastAsia"/>
        </w:rPr>
        <w:t>自108年起違法菸類查獲數量概呈下降，且113年違法菸類查獲數量為近8年新低，間有不實支領</w:t>
      </w:r>
      <w:r w:rsidR="004F3102" w:rsidRPr="004F3102">
        <w:rPr>
          <w:rFonts w:hint="eastAsia"/>
        </w:rPr>
        <w:t>查緝與檢舉</w:t>
      </w:r>
      <w:r>
        <w:rPr>
          <w:rFonts w:hint="eastAsia"/>
        </w:rPr>
        <w:t>獎勵金情形，亟待與相關機關</w:t>
      </w:r>
      <w:r w:rsidRPr="00826A17">
        <w:rPr>
          <w:rFonts w:hint="eastAsia"/>
        </w:rPr>
        <w:t>共同檢討</w:t>
      </w:r>
      <w:r>
        <w:rPr>
          <w:rFonts w:hint="eastAsia"/>
        </w:rPr>
        <w:t>改善，以杜絕不法情事</w:t>
      </w:r>
      <w:bookmarkEnd w:id="5"/>
    </w:p>
    <w:p w:rsidR="00424FCE" w:rsidRDefault="00424FCE" w:rsidP="00573755">
      <w:pPr>
        <w:ind w:left="567" w:firstLine="567"/>
      </w:pPr>
      <w:r>
        <w:rPr>
          <w:rFonts w:hint="eastAsia"/>
        </w:rPr>
        <w:t>國庫署</w:t>
      </w:r>
      <w:r>
        <w:rPr>
          <w:rFonts w:hint="eastAsia"/>
          <w:color w:val="000000"/>
        </w:rPr>
        <w:t>115</w:t>
      </w:r>
      <w:r w:rsidRPr="0064432C">
        <w:rPr>
          <w:rFonts w:hint="eastAsia"/>
          <w:color w:val="000000"/>
        </w:rPr>
        <w:t>年度預算案</w:t>
      </w:r>
      <w:r>
        <w:rPr>
          <w:rFonts w:hint="eastAsia"/>
          <w:color w:val="000000"/>
        </w:rPr>
        <w:t>於</w:t>
      </w:r>
      <w:r w:rsidRPr="00573755">
        <w:rPr>
          <w:rFonts w:hint="eastAsia"/>
        </w:rPr>
        <w:t>「國庫業務</w:t>
      </w:r>
      <w:r>
        <w:rPr>
          <w:rFonts w:hint="eastAsia"/>
        </w:rPr>
        <w:t>」項下編列「</w:t>
      </w:r>
      <w:r w:rsidRPr="00573755">
        <w:rPr>
          <w:rFonts w:hint="eastAsia"/>
        </w:rPr>
        <w:t>私劣菸品查緝作業</w:t>
      </w:r>
      <w:r>
        <w:rPr>
          <w:rFonts w:hint="eastAsia"/>
        </w:rPr>
        <w:t>」1億2</w:t>
      </w:r>
      <w:r>
        <w:t>,</w:t>
      </w:r>
      <w:r>
        <w:rPr>
          <w:rFonts w:hint="eastAsia"/>
        </w:rPr>
        <w:t>350萬元，</w:t>
      </w:r>
      <w:r w:rsidR="00565DB4">
        <w:rPr>
          <w:rFonts w:hint="eastAsia"/>
        </w:rPr>
        <w:t>另於</w:t>
      </w:r>
      <w:r>
        <w:rPr>
          <w:rFonts w:hint="eastAsia"/>
        </w:rPr>
        <w:t>「直轄市及縣市政府-一般性補助款」財政部主管項下編列「一般性財務補助-國庫署</w:t>
      </w:r>
      <w:r w:rsidRPr="00DB61B0">
        <w:rPr>
          <w:rFonts w:ascii="新細明體" w:eastAsia="新細明體" w:hAnsi="新細明體" w:cs="MS Gothic" w:hint="eastAsia"/>
        </w:rPr>
        <w:t>」1</w:t>
      </w:r>
      <w:r>
        <w:rPr>
          <w:rFonts w:hint="eastAsia"/>
        </w:rPr>
        <w:t>億2</w:t>
      </w:r>
      <w:r>
        <w:t>,</w:t>
      </w:r>
      <w:r>
        <w:rPr>
          <w:rFonts w:hint="eastAsia"/>
        </w:rPr>
        <w:t>350萬元，主要辦理中央及地方政府查緝機關辦理私劣菸品查緝等相關經費。經查</w:t>
      </w:r>
      <w:r w:rsidRPr="00573755">
        <w:rPr>
          <w:rFonts w:hint="eastAsia"/>
        </w:rPr>
        <w:t>：</w:t>
      </w:r>
    </w:p>
    <w:p w:rsidR="00424FCE" w:rsidRDefault="00424FCE" w:rsidP="00757092">
      <w:pPr>
        <w:pStyle w:val="a4"/>
        <w:ind w:left="851" w:hanging="284"/>
        <w:rPr>
          <w:b/>
        </w:rPr>
      </w:pPr>
      <w:r>
        <w:rPr>
          <w:rFonts w:hint="eastAsia"/>
          <w:b/>
        </w:rPr>
        <w:lastRenderedPageBreak/>
        <w:t>(一)加強查緝私劣菸品維護消費者安全，係國庫署115年度重要施政計畫之實施內容</w:t>
      </w:r>
    </w:p>
    <w:p w:rsidR="00424FCE" w:rsidRDefault="00424FCE" w:rsidP="006079AB">
      <w:pPr>
        <w:pStyle w:val="2"/>
        <w:ind w:left="850" w:firstLine="567"/>
      </w:pPr>
      <w:r>
        <w:rPr>
          <w:rFonts w:hint="eastAsia"/>
        </w:rPr>
        <w:t>「菸酒管理」係國庫署6大核心工作之一，該署研擬</w:t>
      </w:r>
      <w:r w:rsidR="004F3102">
        <w:rPr>
          <w:rFonts w:hint="eastAsia"/>
        </w:rPr>
        <w:t>之</w:t>
      </w:r>
      <w:r>
        <w:rPr>
          <w:rFonts w:hint="eastAsia"/>
        </w:rPr>
        <w:t>「健全菸酒管理」為115年度重要施政計畫項目之一，預計辦理1.持續推動優質酒類認證，提升國產酒品之國際競爭力；2.賡續辦理進口酒類衛生查驗，維護國人飲酒安全；3.加強查緝私劣菸酒，維護消費者安全，保障合法業者權益。國庫署表示，查緝走私菸品</w:t>
      </w:r>
      <w:r w:rsidRPr="006079AB">
        <w:rPr>
          <w:rFonts w:hint="eastAsia"/>
        </w:rPr>
        <w:t>向為</w:t>
      </w:r>
      <w:r>
        <w:rPr>
          <w:rFonts w:hint="eastAsia"/>
        </w:rPr>
        <w:t>該</w:t>
      </w:r>
      <w:r w:rsidRPr="006079AB">
        <w:rPr>
          <w:rFonts w:hint="eastAsia"/>
        </w:rPr>
        <w:t>署重點業務，並與地方政府、海洋委員會海巡署</w:t>
      </w:r>
      <w:r>
        <w:rPr>
          <w:rFonts w:hint="eastAsia"/>
        </w:rPr>
        <w:t>、</w:t>
      </w:r>
      <w:r w:rsidRPr="006079AB">
        <w:rPr>
          <w:rFonts w:hint="eastAsia"/>
        </w:rPr>
        <w:t>內政部</w:t>
      </w:r>
      <w:r>
        <w:rPr>
          <w:rFonts w:hint="eastAsia"/>
        </w:rPr>
        <w:t>警政署及關務署等查緝機關建立從邊境到市面、從進口業者到零售點之查緝機制，先前為因應菸稅調漲提高菸品走私誘因，財政部</w:t>
      </w:r>
      <w:r w:rsidRPr="006079AB">
        <w:rPr>
          <w:rFonts w:hint="eastAsia"/>
        </w:rPr>
        <w:t>於105年10月20日邀集相關單位召</w:t>
      </w:r>
      <w:r>
        <w:rPr>
          <w:rFonts w:hint="eastAsia"/>
        </w:rPr>
        <w:t>開會議，訂定「查緝走私菸品精進執行方案」及</w:t>
      </w:r>
      <w:r w:rsidRPr="00253AC3">
        <w:rPr>
          <w:rFonts w:hint="eastAsia"/>
        </w:rPr>
        <w:t>「加強查緝私劣菸酒策進計畫</w:t>
      </w:r>
      <w:r>
        <w:rPr>
          <w:rFonts w:hint="eastAsia"/>
        </w:rPr>
        <w:t>(下稱</w:t>
      </w:r>
      <w:r w:rsidRPr="00253AC3">
        <w:rPr>
          <w:rFonts w:hint="eastAsia"/>
        </w:rPr>
        <w:t>策進計畫</w:t>
      </w:r>
      <w:r>
        <w:rPr>
          <w:rFonts w:hint="eastAsia"/>
        </w:rPr>
        <w:t>)</w:t>
      </w:r>
      <w:r w:rsidRPr="00253AC3">
        <w:rPr>
          <w:rFonts w:hint="eastAsia"/>
        </w:rPr>
        <w:t>」</w:t>
      </w:r>
      <w:r>
        <w:rPr>
          <w:rFonts w:hint="eastAsia"/>
        </w:rPr>
        <w:t>，並</w:t>
      </w:r>
      <w:r w:rsidRPr="006079AB">
        <w:rPr>
          <w:rFonts w:hint="eastAsia"/>
        </w:rPr>
        <w:t>統合邊境及市面查緝機關人力及資源，依查緝權責分工落實執行</w:t>
      </w:r>
      <w:r>
        <w:rPr>
          <w:rFonts w:hint="eastAsia"/>
        </w:rPr>
        <w:t>及適時修正</w:t>
      </w:r>
      <w:r w:rsidRPr="00253AC3">
        <w:rPr>
          <w:rFonts w:hint="eastAsia"/>
        </w:rPr>
        <w:t>策進計畫</w:t>
      </w:r>
      <w:r w:rsidRPr="006079AB">
        <w:rPr>
          <w:rFonts w:hint="eastAsia"/>
        </w:rPr>
        <w:t>。</w:t>
      </w:r>
      <w:r>
        <w:rPr>
          <w:rFonts w:hint="eastAsia"/>
        </w:rPr>
        <w:t>115年度</w:t>
      </w:r>
      <w:r w:rsidR="004F3102">
        <w:rPr>
          <w:rFonts w:hint="eastAsia"/>
        </w:rPr>
        <w:t>預算案</w:t>
      </w:r>
      <w:r>
        <w:rPr>
          <w:rFonts w:hint="eastAsia"/>
        </w:rPr>
        <w:t>編列供中央及地方查緝機關辦理私劣菸品查緝、補助市縣政府辦理私劣菸品查緝各為1億2,350萬元，合計2億4,700萬元。</w:t>
      </w:r>
    </w:p>
    <w:p w:rsidR="00424FCE" w:rsidRDefault="00424FCE" w:rsidP="006079AB">
      <w:pPr>
        <w:pStyle w:val="a4"/>
        <w:ind w:left="851" w:hanging="284"/>
        <w:rPr>
          <w:b/>
        </w:rPr>
      </w:pPr>
      <w:r w:rsidRPr="006079AB">
        <w:rPr>
          <w:rFonts w:hint="eastAsia"/>
          <w:b/>
        </w:rPr>
        <w:t>(二)</w:t>
      </w:r>
      <w:r w:rsidRPr="00253AC3">
        <w:rPr>
          <w:rFonts w:hint="eastAsia"/>
          <w:b/>
        </w:rPr>
        <w:t>11</w:t>
      </w:r>
      <w:r>
        <w:rPr>
          <w:rFonts w:hint="eastAsia"/>
          <w:b/>
        </w:rPr>
        <w:t>3</w:t>
      </w:r>
      <w:r w:rsidRPr="00253AC3">
        <w:rPr>
          <w:rFonts w:hint="eastAsia"/>
          <w:b/>
        </w:rPr>
        <w:t>年違法</w:t>
      </w:r>
      <w:r w:rsidRPr="0012119D">
        <w:rPr>
          <w:rFonts w:hint="eastAsia"/>
          <w:b/>
        </w:rPr>
        <w:t>菸類查獲數量</w:t>
      </w:r>
      <w:r>
        <w:rPr>
          <w:rFonts w:hint="eastAsia"/>
          <w:b/>
        </w:rPr>
        <w:t>為自106</w:t>
      </w:r>
      <w:r w:rsidRPr="0012119D">
        <w:rPr>
          <w:rFonts w:hint="eastAsia"/>
          <w:b/>
        </w:rPr>
        <w:t>年</w:t>
      </w:r>
      <w:r>
        <w:rPr>
          <w:rFonts w:hint="eastAsia"/>
          <w:b/>
        </w:rPr>
        <w:t>來新低，允宜滾動修正策進計畫，以提升查緝效能</w:t>
      </w:r>
    </w:p>
    <w:p w:rsidR="00424FCE" w:rsidRDefault="00424FCE" w:rsidP="00673AC1">
      <w:pPr>
        <w:pStyle w:val="2"/>
        <w:ind w:left="850" w:firstLine="567"/>
      </w:pPr>
      <w:r w:rsidRPr="00253AC3">
        <w:rPr>
          <w:rFonts w:hint="eastAsia"/>
        </w:rPr>
        <w:t>彙整</w:t>
      </w:r>
      <w:r>
        <w:rPr>
          <w:rFonts w:hint="eastAsia"/>
        </w:rPr>
        <w:t>106</w:t>
      </w:r>
      <w:r w:rsidRPr="00673AC1">
        <w:rPr>
          <w:rFonts w:hint="eastAsia"/>
        </w:rPr>
        <w:t>年至114年</w:t>
      </w:r>
      <w:r w:rsidR="00021283">
        <w:rPr>
          <w:rFonts w:hint="eastAsia"/>
        </w:rPr>
        <w:t>9</w:t>
      </w:r>
      <w:r w:rsidRPr="00673AC1">
        <w:rPr>
          <w:rFonts w:hint="eastAsia"/>
        </w:rPr>
        <w:t>月</w:t>
      </w:r>
      <w:r>
        <w:rPr>
          <w:rFonts w:hint="eastAsia"/>
        </w:rPr>
        <w:t>底止之</w:t>
      </w:r>
      <w:r w:rsidRPr="00253AC3">
        <w:rPr>
          <w:rFonts w:hint="eastAsia"/>
        </w:rPr>
        <w:t>違法菸類查獲數量</w:t>
      </w:r>
      <w:r>
        <w:rPr>
          <w:rFonts w:hint="eastAsia"/>
        </w:rPr>
        <w:t>(詳表1)，</w:t>
      </w:r>
      <w:r w:rsidRPr="00673AC1">
        <w:rPr>
          <w:rFonts w:hint="eastAsia"/>
        </w:rPr>
        <w:t>自108年起違法菸類查獲數量概呈下降</w:t>
      </w:r>
      <w:r>
        <w:rPr>
          <w:rFonts w:hint="eastAsia"/>
        </w:rPr>
        <w:t>，1</w:t>
      </w:r>
      <w:r>
        <w:t>1</w:t>
      </w:r>
      <w:r>
        <w:rPr>
          <w:rFonts w:hint="eastAsia"/>
        </w:rPr>
        <w:t>3年中央及地方政府共同查獲違法菸類1</w:t>
      </w:r>
      <w:r>
        <w:t>,</w:t>
      </w:r>
      <w:r>
        <w:rPr>
          <w:rFonts w:hint="eastAsia"/>
        </w:rPr>
        <w:t>120.34萬包，更為近8</w:t>
      </w:r>
      <w:r w:rsidRPr="00306F7A">
        <w:rPr>
          <w:rFonts w:hint="eastAsia"/>
        </w:rPr>
        <w:t>年來</w:t>
      </w:r>
      <w:r>
        <w:rPr>
          <w:rFonts w:hint="eastAsia"/>
        </w:rPr>
        <w:t>(106至113年)</w:t>
      </w:r>
      <w:r w:rsidRPr="00306F7A">
        <w:rPr>
          <w:rFonts w:hint="eastAsia"/>
        </w:rPr>
        <w:t>新低</w:t>
      </w:r>
      <w:r w:rsidR="004F3102">
        <w:rPr>
          <w:rFonts w:hint="eastAsia"/>
        </w:rPr>
        <w:t>；</w:t>
      </w:r>
      <w:r>
        <w:rPr>
          <w:rFonts w:hint="eastAsia"/>
        </w:rPr>
        <w:t>詢據國庫署說明，主要係以往邊境走私菸品轉變為國內產製私菸之地下菸廠，且地下菸廠由大型製菸設備違法製菸，轉變為地點分散且規模小型化，致使每一案件之查獲數量降低，查緝困難度亦增加</w:t>
      </w:r>
      <w:r w:rsidRPr="00841185">
        <w:rPr>
          <w:rFonts w:hint="eastAsia"/>
        </w:rPr>
        <w:t>，</w:t>
      </w:r>
      <w:r>
        <w:rPr>
          <w:rFonts w:hint="eastAsia"/>
        </w:rPr>
        <w:t>爰</w:t>
      </w:r>
      <w:r w:rsidRPr="00841185">
        <w:rPr>
          <w:rFonts w:hint="eastAsia"/>
        </w:rPr>
        <w:t>允宜滾動</w:t>
      </w:r>
      <w:r>
        <w:rPr>
          <w:rFonts w:hint="eastAsia"/>
        </w:rPr>
        <w:t>修</w:t>
      </w:r>
      <w:r w:rsidR="00F64FA3">
        <w:rPr>
          <w:rFonts w:hint="eastAsia"/>
        </w:rPr>
        <w:t>正</w:t>
      </w:r>
      <w:r w:rsidRPr="00841185">
        <w:rPr>
          <w:rFonts w:hint="eastAsia"/>
        </w:rPr>
        <w:t>策進計畫，以提</w:t>
      </w:r>
      <w:r w:rsidRPr="00841185">
        <w:rPr>
          <w:rFonts w:hint="eastAsia"/>
        </w:rPr>
        <w:lastRenderedPageBreak/>
        <w:t>升查緝效能</w:t>
      </w:r>
      <w:r>
        <w:rPr>
          <w:rFonts w:hint="eastAsia"/>
        </w:rPr>
        <w:t>。</w:t>
      </w:r>
    </w:p>
    <w:p w:rsidR="00424FCE" w:rsidRPr="001B4849" w:rsidRDefault="00424FCE" w:rsidP="00673AC1">
      <w:pPr>
        <w:pStyle w:val="20"/>
        <w:spacing w:beforeLines="20" w:before="103"/>
        <w:jc w:val="both"/>
        <w:rPr>
          <w:snapToGrid/>
          <w:szCs w:val="24"/>
        </w:rPr>
      </w:pPr>
      <w:r>
        <w:rPr>
          <w:rFonts w:hAnsi="標楷體" w:hint="eastAsia"/>
          <w:b/>
          <w:snapToGrid/>
          <w:sz w:val="28"/>
        </w:rPr>
        <w:t xml:space="preserve">表1 </w:t>
      </w:r>
      <w:r w:rsidRPr="001B4849">
        <w:rPr>
          <w:rFonts w:hAnsi="標楷體" w:hint="eastAsia"/>
          <w:b/>
          <w:snapToGrid/>
          <w:sz w:val="28"/>
        </w:rPr>
        <w:t>1</w:t>
      </w:r>
      <w:r>
        <w:rPr>
          <w:rFonts w:hAnsi="標楷體" w:hint="eastAsia"/>
          <w:b/>
          <w:snapToGrid/>
          <w:sz w:val="28"/>
        </w:rPr>
        <w:t>0</w:t>
      </w:r>
      <w:r>
        <w:rPr>
          <w:rFonts w:hAnsi="標楷體"/>
          <w:b/>
          <w:snapToGrid/>
          <w:sz w:val="28"/>
        </w:rPr>
        <w:t>6</w:t>
      </w:r>
      <w:r>
        <w:rPr>
          <w:rFonts w:hAnsi="標楷體" w:hint="eastAsia"/>
          <w:b/>
          <w:snapToGrid/>
          <w:sz w:val="28"/>
        </w:rPr>
        <w:t>年</w:t>
      </w:r>
      <w:r w:rsidRPr="001B4849">
        <w:rPr>
          <w:rFonts w:hAnsi="標楷體" w:hint="eastAsia"/>
          <w:b/>
          <w:snapToGrid/>
          <w:sz w:val="28"/>
        </w:rPr>
        <w:t>至1</w:t>
      </w:r>
      <w:r>
        <w:rPr>
          <w:rFonts w:hAnsi="標楷體" w:hint="eastAsia"/>
          <w:b/>
          <w:snapToGrid/>
          <w:sz w:val="28"/>
        </w:rPr>
        <w:t>14年</w:t>
      </w:r>
      <w:r w:rsidR="00021283">
        <w:rPr>
          <w:rFonts w:hAnsi="標楷體" w:hint="eastAsia"/>
          <w:b/>
          <w:snapToGrid/>
          <w:sz w:val="28"/>
        </w:rPr>
        <w:t>9</w:t>
      </w:r>
      <w:r>
        <w:rPr>
          <w:rFonts w:hAnsi="標楷體" w:hint="eastAsia"/>
          <w:b/>
          <w:snapToGrid/>
          <w:sz w:val="28"/>
        </w:rPr>
        <w:t>月違法菸類</w:t>
      </w:r>
      <w:r w:rsidRPr="001B4849">
        <w:rPr>
          <w:rFonts w:hAnsi="標楷體" w:hint="eastAsia"/>
          <w:b/>
          <w:snapToGrid/>
          <w:sz w:val="28"/>
        </w:rPr>
        <w:t xml:space="preserve">查獲數量表 </w:t>
      </w:r>
      <w:r>
        <w:rPr>
          <w:rFonts w:hAnsi="標楷體" w:hint="eastAsia"/>
          <w:b/>
          <w:snapToGrid/>
          <w:sz w:val="28"/>
        </w:rPr>
        <w:t xml:space="preserve">  </w:t>
      </w:r>
      <w:r>
        <w:rPr>
          <w:rFonts w:hAnsi="標楷體"/>
          <w:b/>
          <w:snapToGrid/>
          <w:sz w:val="28"/>
        </w:rPr>
        <w:t xml:space="preserve">  </w:t>
      </w:r>
      <w:r>
        <w:rPr>
          <w:rFonts w:hAnsi="標楷體" w:hint="eastAsia"/>
          <w:b/>
          <w:snapToGrid/>
          <w:sz w:val="28"/>
        </w:rPr>
        <w:t xml:space="preserve">    </w:t>
      </w:r>
      <w:r w:rsidRPr="001B4849">
        <w:rPr>
          <w:rFonts w:hint="eastAsia"/>
          <w:snapToGrid/>
          <w:szCs w:val="24"/>
        </w:rPr>
        <w:t>單位</w:t>
      </w:r>
      <w:r w:rsidRPr="001B4849">
        <w:rPr>
          <w:rFonts w:hAnsi="標楷體" w:hint="eastAsia"/>
          <w:snapToGrid/>
          <w:szCs w:val="24"/>
        </w:rPr>
        <w:t>：萬包；%</w:t>
      </w:r>
    </w:p>
    <w:tbl>
      <w:tblPr>
        <w:tblW w:w="8546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1176"/>
        <w:gridCol w:w="856"/>
        <w:gridCol w:w="1065"/>
        <w:gridCol w:w="1180"/>
        <w:gridCol w:w="1180"/>
        <w:gridCol w:w="857"/>
        <w:gridCol w:w="1176"/>
      </w:tblGrid>
      <w:tr w:rsidR="00424FCE" w:rsidRPr="001B4849" w:rsidTr="00021283">
        <w:trPr>
          <w:trHeight w:val="340"/>
          <w:tblHeader/>
          <w:jc w:val="right"/>
        </w:trPr>
        <w:tc>
          <w:tcPr>
            <w:tcW w:w="1056" w:type="dxa"/>
            <w:vMerge w:val="restart"/>
            <w:shd w:val="clear" w:color="auto" w:fill="auto"/>
            <w:vAlign w:val="center"/>
          </w:tcPr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別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424FCE" w:rsidRPr="00B11AB8" w:rsidRDefault="00424FCE" w:rsidP="0084118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地方政府</w:t>
            </w:r>
          </w:p>
        </w:tc>
        <w:tc>
          <w:tcPr>
            <w:tcW w:w="4282" w:type="dxa"/>
            <w:gridSpan w:val="4"/>
            <w:vAlign w:val="center"/>
          </w:tcPr>
          <w:p w:rsidR="00424FCE" w:rsidRPr="00B11AB8" w:rsidRDefault="00424FCE" w:rsidP="0084118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通商口岸</w:t>
            </w:r>
          </w:p>
        </w:tc>
        <w:tc>
          <w:tcPr>
            <w:tcW w:w="1176" w:type="dxa"/>
            <w:vMerge w:val="restart"/>
            <w:vAlign w:val="center"/>
          </w:tcPr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合計=</w:t>
            </w:r>
          </w:p>
          <w:p w:rsidR="00424FCE" w:rsidRPr="001B4849" w:rsidRDefault="00424FCE" w:rsidP="0026518B">
            <w:pPr>
              <w:pStyle w:val="142"/>
              <w:jc w:val="center"/>
            </w:pPr>
            <w:r w:rsidRPr="00B11AB8">
              <w:rPr>
                <w:rFonts w:hint="eastAsia"/>
                <w:b/>
              </w:rPr>
              <w:t>(1)+(4)</w:t>
            </w:r>
          </w:p>
        </w:tc>
      </w:tr>
      <w:tr w:rsidR="00424FCE" w:rsidRPr="001B4849" w:rsidTr="00021283">
        <w:trPr>
          <w:trHeight w:val="567"/>
          <w:tblHeader/>
          <w:jc w:val="right"/>
        </w:trPr>
        <w:tc>
          <w:tcPr>
            <w:tcW w:w="1056" w:type="dxa"/>
            <w:vMerge/>
            <w:shd w:val="clear" w:color="auto" w:fill="auto"/>
            <w:vAlign w:val="center"/>
          </w:tcPr>
          <w:p w:rsidR="00424FCE" w:rsidRPr="00B11AB8" w:rsidRDefault="00424FCE" w:rsidP="0026518B">
            <w:pPr>
              <w:pStyle w:val="142"/>
              <w:rPr>
                <w:b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數量(1)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Pr="00B11AB8" w:rsidRDefault="00424FCE" w:rsidP="0026518B">
            <w:pPr>
              <w:pStyle w:val="142"/>
              <w:ind w:leftChars="-50" w:left="-142" w:rightChars="-50" w:right="-142"/>
              <w:jc w:val="center"/>
              <w:rPr>
                <w:b/>
                <w:sz w:val="20"/>
                <w:szCs w:val="20"/>
              </w:rPr>
            </w:pPr>
            <w:r w:rsidRPr="00B11AB8">
              <w:rPr>
                <w:rFonts w:hint="eastAsia"/>
                <w:b/>
                <w:sz w:val="20"/>
                <w:szCs w:val="20"/>
              </w:rPr>
              <w:t>占整體查獲比率</w:t>
            </w:r>
          </w:p>
        </w:tc>
        <w:tc>
          <w:tcPr>
            <w:tcW w:w="1065" w:type="dxa"/>
            <w:vAlign w:val="center"/>
          </w:tcPr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關務署</w:t>
            </w:r>
          </w:p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(2)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會同相關單位(3)</w:t>
            </w:r>
          </w:p>
        </w:tc>
        <w:tc>
          <w:tcPr>
            <w:tcW w:w="1180" w:type="dxa"/>
            <w:vAlign w:val="center"/>
          </w:tcPr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小計(4)=</w:t>
            </w:r>
          </w:p>
          <w:p w:rsidR="00424FCE" w:rsidRPr="00B11AB8" w:rsidRDefault="00424FCE" w:rsidP="0026518B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(2)+(3)</w:t>
            </w:r>
          </w:p>
        </w:tc>
        <w:tc>
          <w:tcPr>
            <w:tcW w:w="857" w:type="dxa"/>
            <w:vAlign w:val="center"/>
          </w:tcPr>
          <w:p w:rsidR="00424FCE" w:rsidRPr="00B11AB8" w:rsidRDefault="00424FCE" w:rsidP="0026518B">
            <w:pPr>
              <w:pStyle w:val="142"/>
              <w:ind w:leftChars="-50" w:left="-142" w:rightChars="-50" w:right="-142"/>
              <w:jc w:val="center"/>
              <w:rPr>
                <w:b/>
              </w:rPr>
            </w:pPr>
            <w:r w:rsidRPr="00B11AB8">
              <w:rPr>
                <w:rFonts w:hint="eastAsia"/>
                <w:b/>
                <w:sz w:val="20"/>
                <w:szCs w:val="20"/>
              </w:rPr>
              <w:t>占整體查獲比率</w:t>
            </w:r>
          </w:p>
        </w:tc>
        <w:tc>
          <w:tcPr>
            <w:tcW w:w="1176" w:type="dxa"/>
            <w:vMerge/>
          </w:tcPr>
          <w:p w:rsidR="00424FCE" w:rsidRPr="001B4849" w:rsidRDefault="00424FCE" w:rsidP="0026518B">
            <w:pPr>
              <w:pStyle w:val="142"/>
            </w:pP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1B4849">
              <w:rPr>
                <w:rFonts w:hAnsi="標楷體" w:hint="eastAsia"/>
                <w:szCs w:val="24"/>
              </w:rPr>
              <w:t>106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974.38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46.70</w:t>
            </w:r>
          </w:p>
        </w:tc>
        <w:tc>
          <w:tcPr>
            <w:tcW w:w="1065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21.43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1,090.69</w:t>
            </w:r>
          </w:p>
        </w:tc>
        <w:tc>
          <w:tcPr>
            <w:tcW w:w="1180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1,112.12</w:t>
            </w:r>
          </w:p>
        </w:tc>
        <w:tc>
          <w:tcPr>
            <w:tcW w:w="857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53.30</w:t>
            </w:r>
          </w:p>
        </w:tc>
        <w:tc>
          <w:tcPr>
            <w:tcW w:w="1176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2,086.50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center"/>
            </w:pPr>
            <w:r w:rsidRPr="001B4849">
              <w:rPr>
                <w:rFonts w:hint="eastAsia"/>
              </w:rPr>
              <w:t>107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995.02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55.23</w:t>
            </w:r>
          </w:p>
        </w:tc>
        <w:tc>
          <w:tcPr>
            <w:tcW w:w="1065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44.15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762.58</w:t>
            </w:r>
          </w:p>
        </w:tc>
        <w:tc>
          <w:tcPr>
            <w:tcW w:w="1180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806.73</w:t>
            </w:r>
          </w:p>
        </w:tc>
        <w:tc>
          <w:tcPr>
            <w:tcW w:w="857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44.77</w:t>
            </w:r>
          </w:p>
        </w:tc>
        <w:tc>
          <w:tcPr>
            <w:tcW w:w="1176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1,801.75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,742.53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/>
                <w:szCs w:val="24"/>
              </w:rPr>
              <w:t>75.15</w:t>
            </w:r>
          </w:p>
        </w:tc>
        <w:tc>
          <w:tcPr>
            <w:tcW w:w="1065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3</w:t>
            </w:r>
            <w:r>
              <w:rPr>
                <w:rFonts w:hAnsi="標楷體"/>
                <w:szCs w:val="24"/>
              </w:rPr>
              <w:t>3.27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</w:t>
            </w:r>
            <w:r>
              <w:rPr>
                <w:rFonts w:hAnsi="標楷體"/>
                <w:szCs w:val="24"/>
              </w:rPr>
              <w:t>43.04</w:t>
            </w:r>
          </w:p>
        </w:tc>
        <w:tc>
          <w:tcPr>
            <w:tcW w:w="1180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</w:t>
            </w:r>
            <w:r>
              <w:rPr>
                <w:rFonts w:hAnsi="標楷體"/>
                <w:szCs w:val="24"/>
              </w:rPr>
              <w:t>76.31</w:t>
            </w:r>
          </w:p>
        </w:tc>
        <w:tc>
          <w:tcPr>
            <w:tcW w:w="857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</w:t>
            </w:r>
            <w:r>
              <w:rPr>
                <w:rFonts w:hAnsi="標楷體" w:cs="Arial"/>
                <w:szCs w:val="24"/>
              </w:rPr>
              <w:t>4.85</w:t>
            </w:r>
          </w:p>
        </w:tc>
        <w:tc>
          <w:tcPr>
            <w:tcW w:w="1176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,318.84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1,</w:t>
            </w:r>
            <w:r>
              <w:rPr>
                <w:rFonts w:hAnsi="標楷體" w:cs="Arial"/>
                <w:szCs w:val="24"/>
              </w:rPr>
              <w:t>588.43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</w:t>
            </w:r>
            <w:r>
              <w:rPr>
                <w:rFonts w:hAnsi="標楷體" w:cs="Arial"/>
                <w:szCs w:val="24"/>
              </w:rPr>
              <w:t>6.56</w:t>
            </w:r>
          </w:p>
        </w:tc>
        <w:tc>
          <w:tcPr>
            <w:tcW w:w="1065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6</w:t>
            </w:r>
            <w:r>
              <w:rPr>
                <w:rFonts w:hAnsi="標楷體"/>
                <w:szCs w:val="24"/>
              </w:rPr>
              <w:t>.99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79.42</w:t>
            </w:r>
          </w:p>
        </w:tc>
        <w:tc>
          <w:tcPr>
            <w:tcW w:w="1180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86.41</w:t>
            </w:r>
          </w:p>
        </w:tc>
        <w:tc>
          <w:tcPr>
            <w:tcW w:w="857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</w:t>
            </w:r>
            <w:r>
              <w:rPr>
                <w:rFonts w:hAnsi="標楷體" w:cs="Arial"/>
                <w:szCs w:val="24"/>
              </w:rPr>
              <w:t>3.44</w:t>
            </w:r>
          </w:p>
        </w:tc>
        <w:tc>
          <w:tcPr>
            <w:tcW w:w="1176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,074.84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,396.57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8</w:t>
            </w:r>
            <w:r>
              <w:rPr>
                <w:rFonts w:hAnsi="標楷體" w:cs="Arial"/>
                <w:szCs w:val="24"/>
              </w:rPr>
              <w:t>6.40</w:t>
            </w:r>
          </w:p>
        </w:tc>
        <w:tc>
          <w:tcPr>
            <w:tcW w:w="1065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6.51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03.24</w:t>
            </w:r>
          </w:p>
        </w:tc>
        <w:tc>
          <w:tcPr>
            <w:tcW w:w="1180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19.75</w:t>
            </w:r>
          </w:p>
        </w:tc>
        <w:tc>
          <w:tcPr>
            <w:tcW w:w="857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3.60</w:t>
            </w:r>
          </w:p>
        </w:tc>
        <w:tc>
          <w:tcPr>
            <w:tcW w:w="1176" w:type="dxa"/>
            <w:vAlign w:val="center"/>
          </w:tcPr>
          <w:p w:rsidR="00424FCE" w:rsidRPr="001B4849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,616.32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,476.70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9</w:t>
            </w:r>
            <w:r>
              <w:rPr>
                <w:rFonts w:hAnsi="標楷體" w:cs="Arial"/>
                <w:szCs w:val="24"/>
              </w:rPr>
              <w:t>4.39</w:t>
            </w:r>
          </w:p>
        </w:tc>
        <w:tc>
          <w:tcPr>
            <w:tcW w:w="1065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.37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8</w:t>
            </w:r>
            <w:r>
              <w:rPr>
                <w:rFonts w:hAnsi="標楷體"/>
                <w:szCs w:val="24"/>
              </w:rPr>
              <w:t>3.32</w:t>
            </w:r>
          </w:p>
        </w:tc>
        <w:tc>
          <w:tcPr>
            <w:tcW w:w="1180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8</w:t>
            </w:r>
            <w:r>
              <w:rPr>
                <w:rFonts w:hAnsi="標楷體"/>
                <w:szCs w:val="24"/>
              </w:rPr>
              <w:t>7.69</w:t>
            </w:r>
          </w:p>
        </w:tc>
        <w:tc>
          <w:tcPr>
            <w:tcW w:w="857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5</w:t>
            </w:r>
            <w:r>
              <w:rPr>
                <w:rFonts w:hAnsi="標楷體" w:cs="Arial"/>
                <w:szCs w:val="24"/>
              </w:rPr>
              <w:t>.61</w:t>
            </w:r>
          </w:p>
        </w:tc>
        <w:tc>
          <w:tcPr>
            <w:tcW w:w="1176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,564.39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1,515.48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82.43</w:t>
            </w:r>
          </w:p>
        </w:tc>
        <w:tc>
          <w:tcPr>
            <w:tcW w:w="1065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122.20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200.80</w:t>
            </w:r>
          </w:p>
        </w:tc>
        <w:tc>
          <w:tcPr>
            <w:tcW w:w="1180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323.00</w:t>
            </w:r>
          </w:p>
        </w:tc>
        <w:tc>
          <w:tcPr>
            <w:tcW w:w="857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17.57</w:t>
            </w:r>
          </w:p>
        </w:tc>
        <w:tc>
          <w:tcPr>
            <w:tcW w:w="1176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1,838.48</w:t>
            </w:r>
          </w:p>
        </w:tc>
      </w:tr>
      <w:tr w:rsidR="00424FCE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846.42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75.55</w:t>
            </w:r>
          </w:p>
        </w:tc>
        <w:tc>
          <w:tcPr>
            <w:tcW w:w="1065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212.94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60.98</w:t>
            </w:r>
          </w:p>
        </w:tc>
        <w:tc>
          <w:tcPr>
            <w:tcW w:w="1180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273.92</w:t>
            </w:r>
          </w:p>
        </w:tc>
        <w:tc>
          <w:tcPr>
            <w:tcW w:w="857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24.45</w:t>
            </w:r>
          </w:p>
        </w:tc>
        <w:tc>
          <w:tcPr>
            <w:tcW w:w="1176" w:type="dxa"/>
            <w:vAlign w:val="center"/>
          </w:tcPr>
          <w:p w:rsidR="00424FCE" w:rsidRDefault="00424FCE" w:rsidP="0026518B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1,120.34</w:t>
            </w:r>
          </w:p>
        </w:tc>
      </w:tr>
      <w:tr w:rsidR="00021283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center"/>
            </w:pPr>
            <w:r>
              <w:rPr>
                <w:rFonts w:hint="eastAsia"/>
              </w:rPr>
              <w:t>106-113</w:t>
            </w:r>
          </w:p>
          <w:p w:rsidR="00021283" w:rsidRDefault="00021283" w:rsidP="00021283">
            <w:pPr>
              <w:pStyle w:val="142"/>
              <w:jc w:val="center"/>
            </w:pPr>
            <w:r>
              <w:rPr>
                <w:rFonts w:hint="eastAsia"/>
              </w:rPr>
              <w:t>平均值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1,</w:t>
            </w:r>
            <w:r>
              <w:rPr>
                <w:rFonts w:hAnsi="標楷體" w:cs="Arial"/>
                <w:szCs w:val="24"/>
              </w:rPr>
              <w:t>3</w:t>
            </w:r>
            <w:r>
              <w:rPr>
                <w:rFonts w:hAnsi="標楷體" w:cs="Arial" w:hint="eastAsia"/>
                <w:szCs w:val="24"/>
              </w:rPr>
              <w:t>16</w:t>
            </w:r>
            <w:r>
              <w:rPr>
                <w:rFonts w:hAnsi="標楷體" w:cs="Arial"/>
                <w:szCs w:val="24"/>
              </w:rPr>
              <w:t>.</w:t>
            </w:r>
            <w:r>
              <w:rPr>
                <w:rFonts w:hAnsi="標楷體" w:cs="Arial" w:hint="eastAsia"/>
                <w:szCs w:val="24"/>
              </w:rPr>
              <w:t>94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73.05</w:t>
            </w:r>
          </w:p>
        </w:tc>
        <w:tc>
          <w:tcPr>
            <w:tcW w:w="1065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57.73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428.01</w:t>
            </w:r>
          </w:p>
        </w:tc>
        <w:tc>
          <w:tcPr>
            <w:tcW w:w="1180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485</w:t>
            </w:r>
            <w:r>
              <w:rPr>
                <w:rFonts w:hAnsi="標楷體"/>
                <w:szCs w:val="24"/>
              </w:rPr>
              <w:t>.7</w:t>
            </w:r>
            <w:r>
              <w:rPr>
                <w:rFonts w:hAnsi="標楷體" w:hint="eastAsia"/>
                <w:szCs w:val="24"/>
              </w:rPr>
              <w:t>4</w:t>
            </w:r>
          </w:p>
        </w:tc>
        <w:tc>
          <w:tcPr>
            <w:tcW w:w="857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/>
                <w:szCs w:val="24"/>
              </w:rPr>
              <w:t>2</w:t>
            </w:r>
            <w:r>
              <w:rPr>
                <w:rFonts w:hAnsi="標楷體" w:cs="Arial" w:hint="eastAsia"/>
                <w:szCs w:val="24"/>
              </w:rPr>
              <w:t>6.95</w:t>
            </w:r>
          </w:p>
        </w:tc>
        <w:tc>
          <w:tcPr>
            <w:tcW w:w="1176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,</w:t>
            </w:r>
            <w:r>
              <w:rPr>
                <w:rFonts w:hAnsi="標楷體" w:hint="eastAsia"/>
                <w:szCs w:val="24"/>
              </w:rPr>
              <w:t>802</w:t>
            </w:r>
            <w:r>
              <w:rPr>
                <w:rFonts w:hAnsi="標楷體"/>
                <w:szCs w:val="24"/>
              </w:rPr>
              <w:t>.</w:t>
            </w:r>
            <w:r>
              <w:rPr>
                <w:rFonts w:hAnsi="標楷體" w:hint="eastAsia"/>
                <w:szCs w:val="24"/>
              </w:rPr>
              <w:t>68</w:t>
            </w:r>
          </w:p>
        </w:tc>
      </w:tr>
      <w:tr w:rsidR="00021283" w:rsidRPr="001B4849" w:rsidTr="00021283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center"/>
            </w:pPr>
            <w:r>
              <w:rPr>
                <w:rFonts w:hint="eastAsia"/>
              </w:rPr>
              <w:t>114/9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780.80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71.68</w:t>
            </w:r>
          </w:p>
        </w:tc>
        <w:tc>
          <w:tcPr>
            <w:tcW w:w="1065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204.16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104.40</w:t>
            </w:r>
          </w:p>
        </w:tc>
        <w:tc>
          <w:tcPr>
            <w:tcW w:w="1180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308.56</w:t>
            </w:r>
          </w:p>
        </w:tc>
        <w:tc>
          <w:tcPr>
            <w:tcW w:w="857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28.32</w:t>
            </w:r>
          </w:p>
        </w:tc>
        <w:tc>
          <w:tcPr>
            <w:tcW w:w="1176" w:type="dxa"/>
            <w:vAlign w:val="center"/>
          </w:tcPr>
          <w:p w:rsidR="00021283" w:rsidRDefault="00021283" w:rsidP="00021283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1,089.36</w:t>
            </w:r>
          </w:p>
        </w:tc>
      </w:tr>
    </w:tbl>
    <w:p w:rsidR="00E73269" w:rsidRDefault="00E73269" w:rsidP="00841185">
      <w:pPr>
        <w:pStyle w:val="142"/>
        <w:rPr>
          <w:snapToGrid/>
        </w:rPr>
      </w:pPr>
      <w:r w:rsidRPr="001B4849">
        <w:rPr>
          <w:rFonts w:hint="eastAsia"/>
          <w:snapToGrid/>
        </w:rPr>
        <w:t>資料來源</w:t>
      </w:r>
      <w:r>
        <w:rPr>
          <w:rFonts w:hint="eastAsia"/>
          <w:snapToGrid/>
        </w:rPr>
        <w:t>：國庫署</w:t>
      </w:r>
      <w:r w:rsidRPr="001B4849">
        <w:rPr>
          <w:rFonts w:hint="eastAsia"/>
          <w:snapToGrid/>
        </w:rPr>
        <w:t>。</w:t>
      </w:r>
    </w:p>
    <w:p w:rsidR="00E73269" w:rsidRDefault="00E73269" w:rsidP="00841185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(三)司法機關查獲不法人員</w:t>
      </w:r>
      <w:r w:rsidRPr="00841185">
        <w:rPr>
          <w:rFonts w:hint="eastAsia"/>
          <w:b/>
          <w:bCs/>
        </w:rPr>
        <w:t>勾結私菸集團</w:t>
      </w:r>
      <w:r>
        <w:rPr>
          <w:rFonts w:hint="eastAsia"/>
          <w:b/>
          <w:bCs/>
        </w:rPr>
        <w:t>不實支領</w:t>
      </w:r>
      <w:r w:rsidRPr="00841185">
        <w:rPr>
          <w:rFonts w:hint="eastAsia"/>
          <w:b/>
          <w:bCs/>
        </w:rPr>
        <w:t>查緝與檢舉獎金</w:t>
      </w:r>
      <w:r>
        <w:rPr>
          <w:rFonts w:hint="eastAsia"/>
          <w:b/>
          <w:bCs/>
        </w:rPr>
        <w:t>，允宜與相關機關共同通盤檢討相關辦法及措施，避免再度發生</w:t>
      </w:r>
    </w:p>
    <w:p w:rsidR="00E73269" w:rsidRDefault="00E73269" w:rsidP="00226B7E">
      <w:pPr>
        <w:pStyle w:val="2"/>
        <w:ind w:left="850" w:firstLine="567"/>
      </w:pPr>
      <w:r w:rsidRPr="00226B7E">
        <w:rPr>
          <w:rFonts w:hint="eastAsia"/>
        </w:rPr>
        <w:t>財政部</w:t>
      </w:r>
      <w:r>
        <w:rPr>
          <w:rFonts w:hint="eastAsia"/>
        </w:rPr>
        <w:t>依菸酒管理法第43條</w:t>
      </w:r>
      <w:r w:rsidRPr="00226B7E">
        <w:rPr>
          <w:rFonts w:hint="eastAsia"/>
        </w:rPr>
        <w:t>條第</w:t>
      </w:r>
      <w:r>
        <w:rPr>
          <w:rFonts w:hint="eastAsia"/>
        </w:rPr>
        <w:t>2</w:t>
      </w:r>
      <w:r w:rsidRPr="00226B7E">
        <w:rPr>
          <w:rFonts w:hint="eastAsia"/>
        </w:rPr>
        <w:t>項規定</w:t>
      </w:r>
      <w:r>
        <w:rPr>
          <w:rFonts w:hint="eastAsia"/>
        </w:rPr>
        <w:t>，訂定</w:t>
      </w:r>
      <w:r w:rsidRPr="00226B7E">
        <w:rPr>
          <w:rFonts w:hint="eastAsia"/>
        </w:rPr>
        <w:t>檢舉或查獲違規菸酒案件獎勵辦法</w:t>
      </w:r>
      <w:r>
        <w:rPr>
          <w:rFonts w:hint="eastAsia"/>
        </w:rPr>
        <w:t>(下稱</w:t>
      </w:r>
      <w:r w:rsidRPr="00226B7E">
        <w:rPr>
          <w:rFonts w:hint="eastAsia"/>
        </w:rPr>
        <w:t>獎勵辦法</w:t>
      </w:r>
      <w:r>
        <w:rPr>
          <w:rFonts w:hint="eastAsia"/>
        </w:rPr>
        <w:t>)，</w:t>
      </w:r>
      <w:r w:rsidRPr="00226B7E">
        <w:rPr>
          <w:rFonts w:hint="eastAsia"/>
        </w:rPr>
        <w:t>獎勵辦法</w:t>
      </w:r>
      <w:r>
        <w:rPr>
          <w:rFonts w:hint="eastAsia"/>
        </w:rPr>
        <w:t>第3條第1項規定：「查獲違規菸酒案件，查緝機關之獎勵金，</w:t>
      </w:r>
      <w:r>
        <w:t>…</w:t>
      </w:r>
      <w:r>
        <w:rPr>
          <w:rFonts w:hint="eastAsia"/>
        </w:rPr>
        <w:t>，每案最高額以新臺幣600萬元為限；其因檢舉網路違規菸酒案件而查獲者，檢舉人之獎勵金以給獎基礎20%計算，因檢舉網路以外違規菸酒案件而查獲者，檢舉人之獎勵金以給獎基礎30%計算，每案最高額均以新臺幣480萬元為限。」115年度</w:t>
      </w:r>
      <w:r w:rsidR="00F64FA3">
        <w:rPr>
          <w:rFonts w:hint="eastAsia"/>
        </w:rPr>
        <w:t>預算案</w:t>
      </w:r>
      <w:r>
        <w:rPr>
          <w:rFonts w:hint="eastAsia"/>
        </w:rPr>
        <w:t>分別編列查緝機關及檢舉人之獎勵金4,715萬2千元及2,210萬1千元。</w:t>
      </w:r>
    </w:p>
    <w:p w:rsidR="00E73269" w:rsidRDefault="00021283" w:rsidP="001E0D45">
      <w:pPr>
        <w:pStyle w:val="2"/>
        <w:ind w:left="850" w:firstLine="567"/>
      </w:pPr>
      <w:r>
        <w:rPr>
          <w:rFonts w:hint="eastAsia"/>
        </w:rPr>
        <w:t>依</w:t>
      </w:r>
      <w:r w:rsidR="00E73269" w:rsidRPr="001E0D45">
        <w:rPr>
          <w:rFonts w:hint="eastAsia"/>
        </w:rPr>
        <w:t>臺灣彰化地方檢察署</w:t>
      </w:r>
      <w:r w:rsidR="00E73269">
        <w:rPr>
          <w:rFonts w:hint="eastAsia"/>
        </w:rPr>
        <w:t>114年7月10日新聞稿</w:t>
      </w:r>
      <w:r w:rsidR="00E73269">
        <w:rPr>
          <w:rStyle w:val="afc"/>
        </w:rPr>
        <w:footnoteReference w:id="1"/>
      </w:r>
      <w:r w:rsidR="00E73269">
        <w:rPr>
          <w:rFonts w:hint="eastAsia"/>
        </w:rPr>
        <w:t>指出，該署偵辦海洋委員會海巡署(下稱海巡署)偵防分署林○○等人，利</w:t>
      </w:r>
      <w:r w:rsidR="00E73269">
        <w:rPr>
          <w:rFonts w:hint="eastAsia"/>
        </w:rPr>
        <w:lastRenderedPageBreak/>
        <w:t>用我國請領私菸案件「查緝獎金」、「檢舉獎金」規定及制度之各種漏洞，勾結私菸集團製造假績效並詐領檢舉獎金</w:t>
      </w:r>
      <w:r w:rsidR="00E73269">
        <w:rPr>
          <w:rStyle w:val="afc"/>
        </w:rPr>
        <w:footnoteReference w:id="2"/>
      </w:r>
      <w:r w:rsidR="00E73269">
        <w:rPr>
          <w:rFonts w:hint="eastAsia"/>
        </w:rPr>
        <w:t>等，業經偵查終結起訴，並求處重刑。據國庫署說明略以，</w:t>
      </w:r>
      <w:r w:rsidR="00E73269" w:rsidRPr="00C65BF2">
        <w:rPr>
          <w:rFonts w:hint="eastAsia"/>
        </w:rPr>
        <w:t>地方政府請領獎勵金時，應檢具載有查獲私菸數量及違法器具等之現場處理紀錄表、判決書或裁處書及請領獎勵金案件查詢回傳表等具體違法事證，該</w:t>
      </w:r>
      <w:r w:rsidR="00F64FA3">
        <w:rPr>
          <w:rFonts w:hint="eastAsia"/>
        </w:rPr>
        <w:t>署</w:t>
      </w:r>
      <w:r w:rsidR="00E73269" w:rsidRPr="00C65BF2">
        <w:rPr>
          <w:rFonts w:hint="eastAsia"/>
        </w:rPr>
        <w:t>依據其沒收或沒入私菸數量及市價等相關違章事證計算核發獎勵金。此外，為避免查獲之私菸原料及器具再度流供非法用途，</w:t>
      </w:r>
      <w:r w:rsidR="00E73269">
        <w:rPr>
          <w:rFonts w:hint="eastAsia"/>
        </w:rPr>
        <w:t>財政</w:t>
      </w:r>
      <w:r w:rsidR="00E73269" w:rsidRPr="00C65BF2">
        <w:rPr>
          <w:rFonts w:hint="eastAsia"/>
        </w:rPr>
        <w:t>部將持續督導地方政府確實依菸酒管理法第57條規定辦理沒收或沒入後，儘速銷毀</w:t>
      </w:r>
      <w:r w:rsidR="00E73269">
        <w:rPr>
          <w:rFonts w:hint="eastAsia"/>
        </w:rPr>
        <w:t>，</w:t>
      </w:r>
      <w:r w:rsidR="00E73269" w:rsidRPr="00C65BF2">
        <w:rPr>
          <w:rFonts w:hint="eastAsia"/>
        </w:rPr>
        <w:t>將賡續責請地方政府依法查處及嚴謹處理違章案件，以遏止不法。</w:t>
      </w:r>
      <w:r w:rsidR="00E73269">
        <w:rPr>
          <w:rFonts w:hint="eastAsia"/>
        </w:rPr>
        <w:t>另為強化菸酒獎勵金之請領程序及管理機制，目前已函報行政院修正</w:t>
      </w:r>
      <w:r w:rsidRPr="00226B7E">
        <w:rPr>
          <w:rFonts w:hint="eastAsia"/>
        </w:rPr>
        <w:t>獎勵辦法</w:t>
      </w:r>
      <w:r w:rsidR="00E73269">
        <w:rPr>
          <w:rFonts w:hint="eastAsia"/>
        </w:rPr>
        <w:t>，後續將辦理法規修正預告等事宜。基此，國庫署雖未支領獎勵金，惟</w:t>
      </w:r>
      <w:r w:rsidR="00E73269" w:rsidRPr="00826A17">
        <w:rPr>
          <w:rFonts w:hint="eastAsia"/>
        </w:rPr>
        <w:t>宜與相關機關共同通盤檢討相關辦法及措施，</w:t>
      </w:r>
      <w:r w:rsidR="00E73269">
        <w:rPr>
          <w:rFonts w:hint="eastAsia"/>
        </w:rPr>
        <w:t>強化勾稽及實地查核並滾動調整，以</w:t>
      </w:r>
      <w:r w:rsidR="00E73269" w:rsidRPr="00826A17">
        <w:rPr>
          <w:rFonts w:hint="eastAsia"/>
        </w:rPr>
        <w:t>避免再度發生</w:t>
      </w:r>
      <w:r w:rsidR="00E73269">
        <w:rPr>
          <w:rFonts w:hint="eastAsia"/>
        </w:rPr>
        <w:t>因制度上存有漏洞，而遭不實領取獎勵金情事。</w:t>
      </w:r>
    </w:p>
    <w:p w:rsidR="00E73269" w:rsidRDefault="00E73269" w:rsidP="00841185">
      <w:pPr>
        <w:ind w:left="567" w:firstLine="568"/>
      </w:pPr>
      <w:r>
        <w:rPr>
          <w:rFonts w:hAnsi="標楷體" w:hint="eastAsia"/>
          <w:b/>
          <w:snapToGrid/>
        </w:rPr>
        <w:t xml:space="preserve"> </w:t>
      </w:r>
      <w:r>
        <w:rPr>
          <w:rFonts w:hint="eastAsia"/>
        </w:rPr>
        <w:t>綜上，自108年起違法菸類查獲數量概呈下降，且113年違法菸類查獲數量為近8年新低，主要係以往邊境走私菸品轉變為國內產製私菸之地下菸廠，而地下菸廠地點分散且規模小型化，致增加查獲難度，另間有不實支領獎勵金情形，亟待與相關機關</w:t>
      </w:r>
      <w:r w:rsidRPr="00826A17">
        <w:rPr>
          <w:rFonts w:hint="eastAsia"/>
        </w:rPr>
        <w:t>共同</w:t>
      </w:r>
      <w:r>
        <w:rPr>
          <w:rFonts w:hint="eastAsia"/>
        </w:rPr>
        <w:t>就法規面及實務面</w:t>
      </w:r>
      <w:r w:rsidRPr="00826A17">
        <w:rPr>
          <w:rFonts w:hint="eastAsia"/>
        </w:rPr>
        <w:t>檢討</w:t>
      </w:r>
      <w:r>
        <w:rPr>
          <w:rFonts w:hint="eastAsia"/>
        </w:rPr>
        <w:t>改善，以杜絕不法情事。</w:t>
      </w:r>
    </w:p>
    <w:bookmarkEnd w:id="6"/>
    <w:bookmarkEnd w:id="7"/>
    <w:bookmarkEnd w:id="8"/>
    <w:bookmarkEnd w:id="9"/>
    <w:sectPr w:rsidR="00E73269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03032F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E73269" w:rsidRPr="00C65BF2" w:rsidRDefault="00E73269" w:rsidP="00165657">
      <w:pPr>
        <w:pStyle w:val="142"/>
        <w:wordWrap w:val="0"/>
        <w:ind w:left="85" w:hangingChars="35" w:hanging="85"/>
        <w:jc w:val="both"/>
      </w:pPr>
      <w:r>
        <w:rPr>
          <w:rStyle w:val="afc"/>
        </w:rPr>
        <w:footnoteRef/>
      </w:r>
      <w:r>
        <w:rPr>
          <w:rFonts w:hint="eastAsia"/>
        </w:rPr>
        <w:t>參</w:t>
      </w:r>
      <w:r w:rsidRPr="001E0D45">
        <w:rPr>
          <w:rFonts w:hint="eastAsia"/>
        </w:rPr>
        <w:t>臺灣彰化地方檢察署</w:t>
      </w:r>
      <w:r>
        <w:rPr>
          <w:rFonts w:hint="eastAsia"/>
        </w:rPr>
        <w:t>官網首頁/電子公布欄/新聞稿，網址</w:t>
      </w:r>
      <w:r w:rsidRPr="00C65BF2">
        <w:t>https://reurl.cc/K9RYbm，最後瀏覽日114年</w:t>
      </w:r>
      <w:r w:rsidR="00645BBF">
        <w:rPr>
          <w:rFonts w:hint="eastAsia"/>
        </w:rPr>
        <w:t>10</w:t>
      </w:r>
      <w:r w:rsidRPr="00C65BF2">
        <w:t>月</w:t>
      </w:r>
      <w:r w:rsidR="00645BBF">
        <w:rPr>
          <w:rFonts w:hint="eastAsia"/>
        </w:rPr>
        <w:t>15</w:t>
      </w:r>
      <w:r>
        <w:rPr>
          <w:rFonts w:hint="eastAsia"/>
        </w:rPr>
        <w:t>日。</w:t>
      </w:r>
    </w:p>
  </w:footnote>
  <w:footnote w:id="2">
    <w:p w:rsidR="00E73269" w:rsidRPr="001E0D45" w:rsidRDefault="00E73269" w:rsidP="00165657">
      <w:pPr>
        <w:pStyle w:val="142"/>
        <w:ind w:left="85" w:hangingChars="35" w:hanging="85"/>
        <w:jc w:val="both"/>
      </w:pPr>
      <w:r>
        <w:rPr>
          <w:rStyle w:val="afc"/>
        </w:rPr>
        <w:footnoteRef/>
      </w:r>
      <w:r>
        <w:rPr>
          <w:rFonts w:hint="eastAsia"/>
        </w:rPr>
        <w:t>新聞稿指出，</w:t>
      </w:r>
      <w:r w:rsidR="00021283">
        <w:rPr>
          <w:rFonts w:hint="eastAsia"/>
        </w:rPr>
        <w:t>該</w:t>
      </w:r>
      <w:r>
        <w:rPr>
          <w:rFonts w:hint="eastAsia"/>
        </w:rPr>
        <w:t>案查獲「阿厝私菸案」檢舉獎金187萬6,980元、查緝獎金33萬130元；「阿三走私案」檢舉獎金214萬3,095元、查緝獎金54萬1,492元、「四哥私菸案」檢舉獎金347萬4,602元、查緝獎金231萬6,401元、「玉凌私菸案」檢舉獎金</w:t>
      </w:r>
      <w:r>
        <w:t>183</w:t>
      </w:r>
      <w:r>
        <w:rPr>
          <w:rFonts w:hint="eastAsia"/>
        </w:rPr>
        <w:t>萬</w:t>
      </w:r>
      <w:r>
        <w:t>3</w:t>
      </w:r>
      <w:r>
        <w:rPr>
          <w:rFonts w:hint="eastAsia"/>
        </w:rPr>
        <w:t>,</w:t>
      </w:r>
      <w:r>
        <w:t>300</w:t>
      </w:r>
      <w:r>
        <w:rPr>
          <w:rFonts w:hint="eastAsia"/>
        </w:rPr>
        <w:t>元、查緝獎金</w:t>
      </w:r>
      <w:r>
        <w:t>122</w:t>
      </w:r>
      <w:r>
        <w:rPr>
          <w:rFonts w:hint="eastAsia"/>
        </w:rPr>
        <w:t>萬</w:t>
      </w:r>
      <w:r>
        <w:t>2</w:t>
      </w:r>
      <w:r>
        <w:rPr>
          <w:rFonts w:hint="eastAsia"/>
        </w:rPr>
        <w:t>,</w:t>
      </w:r>
      <w:r>
        <w:t>160</w:t>
      </w:r>
      <w:r>
        <w:rPr>
          <w:rFonts w:hint="eastAsia"/>
        </w:rPr>
        <w:t>元，其以假績效創造累計之</w:t>
      </w:r>
      <w:r>
        <w:t>4</w:t>
      </w:r>
      <w:r>
        <w:rPr>
          <w:rFonts w:hint="eastAsia"/>
        </w:rPr>
        <w:t>億</w:t>
      </w:r>
      <w:r>
        <w:t>2</w:t>
      </w:r>
      <w:r>
        <w:rPr>
          <w:rFonts w:hint="eastAsia"/>
        </w:rPr>
        <w:t>,</w:t>
      </w:r>
      <w:r>
        <w:t>975</w:t>
      </w:r>
      <w:r>
        <w:rPr>
          <w:rFonts w:hint="eastAsia"/>
        </w:rPr>
        <w:t>萬</w:t>
      </w:r>
      <w:r>
        <w:t>6</w:t>
      </w:r>
      <w:r>
        <w:rPr>
          <w:rFonts w:hint="eastAsia"/>
        </w:rPr>
        <w:t>,</w:t>
      </w:r>
      <w:r>
        <w:t>081</w:t>
      </w:r>
      <w:r>
        <w:rPr>
          <w:rFonts w:hint="eastAsia"/>
        </w:rPr>
        <w:t>元行政罰鍰，但對「舉手戶」毫無行政執行之實益。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2F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74BE95C7-2ABE-435E-972E-4FA3C55F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B200B-3464-4EFB-ACA7-03306016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