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E73269" w:rsidRDefault="00E73269" w:rsidP="0075520A">
      <w:pPr>
        <w:pStyle w:val="14"/>
        <w:ind w:left="568" w:hanging="568"/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338401906"/>
      <w:bookmarkStart w:id="7" w:name="_Toc338401905"/>
      <w:bookmarkStart w:id="8" w:name="_Toc85461149"/>
      <w:bookmarkStart w:id="9" w:name="_Toc85643873"/>
      <w:bookmarkStart w:id="10" w:name="_Toc212619437"/>
      <w:bookmarkEnd w:id="0"/>
      <w:r>
        <w:rPr>
          <w:rFonts w:hint="eastAsia"/>
        </w:rPr>
        <w:t>一二、</w:t>
      </w:r>
      <w:bookmarkEnd w:id="8"/>
      <w:bookmarkEnd w:id="9"/>
      <w:r>
        <w:rPr>
          <w:rFonts w:hint="eastAsia"/>
        </w:rPr>
        <w:t>辦理「</w:t>
      </w:r>
      <w:r w:rsidRPr="002726BD">
        <w:rPr>
          <w:rFonts w:hint="eastAsia"/>
        </w:rPr>
        <w:t>海關巡緝艇汰舊換新第二期計畫</w:t>
      </w:r>
      <w:r>
        <w:rPr>
          <w:rFonts w:hint="eastAsia"/>
        </w:rPr>
        <w:t>」因</w:t>
      </w:r>
      <w:r w:rsidR="00D35B67" w:rsidRPr="00D35B67">
        <w:rPr>
          <w:rFonts w:hint="eastAsia"/>
        </w:rPr>
        <w:t>執行未如預期</w:t>
      </w:r>
      <w:r>
        <w:rPr>
          <w:rFonts w:hint="eastAsia"/>
        </w:rPr>
        <w:t>而修改計畫，延至117年度完成並調減總經費，惟截至114年7月底止，預算執行數占當年度可支用數比率僅9.26%，允宜積極辦理</w:t>
      </w:r>
      <w:bookmarkEnd w:id="10"/>
    </w:p>
    <w:p w:rsidR="00E73269" w:rsidRDefault="00E73269" w:rsidP="0081028C">
      <w:pPr>
        <w:ind w:left="567" w:firstLine="567"/>
      </w:pPr>
      <w:r w:rsidRPr="0081028C">
        <w:rPr>
          <w:rFonts w:hint="eastAsia"/>
        </w:rPr>
        <w:t>關務署115年度預算案於「關稅業務」項下編列「海關巡緝艇汰舊換新第二期計畫」第</w:t>
      </w:r>
      <w:r>
        <w:rPr>
          <w:rFonts w:hint="eastAsia"/>
        </w:rPr>
        <w:t>4</w:t>
      </w:r>
      <w:r w:rsidRPr="0081028C">
        <w:rPr>
          <w:rFonts w:hint="eastAsia"/>
        </w:rPr>
        <w:t>年經費2億</w:t>
      </w:r>
      <w:r>
        <w:rPr>
          <w:rFonts w:hint="eastAsia"/>
        </w:rPr>
        <w:t>8</w:t>
      </w:r>
      <w:r w:rsidRPr="0081028C">
        <w:t>,</w:t>
      </w:r>
      <w:r>
        <w:rPr>
          <w:rFonts w:hint="eastAsia"/>
        </w:rPr>
        <w:t>199</w:t>
      </w:r>
      <w:r w:rsidRPr="0081028C">
        <w:rPr>
          <w:rFonts w:hint="eastAsia"/>
        </w:rPr>
        <w:t>萬</w:t>
      </w:r>
      <w:r>
        <w:rPr>
          <w:rFonts w:hint="eastAsia"/>
        </w:rPr>
        <w:t>1</w:t>
      </w:r>
      <w:r w:rsidRPr="0081028C">
        <w:rPr>
          <w:rFonts w:hint="eastAsia"/>
        </w:rPr>
        <w:t>千元。經查：</w:t>
      </w:r>
    </w:p>
    <w:p w:rsidR="00E73269" w:rsidRDefault="00E73269" w:rsidP="0081028C">
      <w:pPr>
        <w:pStyle w:val="a4"/>
        <w:ind w:left="851" w:hanging="284"/>
        <w:rPr>
          <w:b/>
          <w:bCs/>
        </w:rPr>
      </w:pPr>
      <w:r>
        <w:rPr>
          <w:rFonts w:hint="eastAsia"/>
          <w:b/>
          <w:bCs/>
        </w:rPr>
        <w:t>(一)</w:t>
      </w:r>
      <w:r w:rsidRPr="0081028C">
        <w:rPr>
          <w:rFonts w:hint="eastAsia"/>
          <w:b/>
          <w:bCs/>
        </w:rPr>
        <w:t>「海關巡緝艇汰舊換新第二期計畫」</w:t>
      </w:r>
      <w:r>
        <w:rPr>
          <w:rFonts w:hint="eastAsia"/>
          <w:b/>
          <w:bCs/>
        </w:rPr>
        <w:t>113年度因</w:t>
      </w:r>
      <w:r w:rsidRPr="0081028C">
        <w:rPr>
          <w:rFonts w:hint="eastAsia"/>
          <w:b/>
          <w:bCs/>
        </w:rPr>
        <w:t>執行</w:t>
      </w:r>
      <w:r>
        <w:rPr>
          <w:rFonts w:hint="eastAsia"/>
          <w:b/>
          <w:bCs/>
        </w:rPr>
        <w:t>未如預期，函報行政院修改計畫內容、總經費及執行期程</w:t>
      </w:r>
    </w:p>
    <w:p w:rsidR="00E73269" w:rsidRPr="0081028C" w:rsidRDefault="00E73269" w:rsidP="00865678">
      <w:pPr>
        <w:pStyle w:val="2"/>
        <w:ind w:left="850" w:firstLine="567"/>
      </w:pPr>
      <w:r>
        <w:rPr>
          <w:rFonts w:hint="eastAsia"/>
        </w:rPr>
        <w:t>關務署前於106至112年度辦理「</w:t>
      </w:r>
      <w:r w:rsidRPr="007D6E6B">
        <w:rPr>
          <w:rFonts w:hint="eastAsia"/>
        </w:rPr>
        <w:t>海關巡緝艇汰舊換新計</w:t>
      </w:r>
      <w:r w:rsidRPr="007D6E6B">
        <w:rPr>
          <w:rFonts w:hint="eastAsia"/>
        </w:rPr>
        <w:lastRenderedPageBreak/>
        <w:t>畫</w:t>
      </w:r>
      <w:r>
        <w:rPr>
          <w:rFonts w:hint="eastAsia"/>
        </w:rPr>
        <w:t>」，完成</w:t>
      </w:r>
      <w:r w:rsidRPr="007D6E6B">
        <w:rPr>
          <w:rFonts w:hint="eastAsia"/>
        </w:rPr>
        <w:t>籌建100噸級巡緝艇4艘</w:t>
      </w:r>
      <w:r>
        <w:rPr>
          <w:rFonts w:hint="eastAsia"/>
        </w:rPr>
        <w:t>，惟僅</w:t>
      </w:r>
      <w:r w:rsidRPr="007D6E6B">
        <w:rPr>
          <w:rFonts w:hint="eastAsia"/>
        </w:rPr>
        <w:t>汰換部分船艇，整體數量仍有不足</w:t>
      </w:r>
      <w:r>
        <w:rPr>
          <w:rFonts w:hint="eastAsia"/>
        </w:rPr>
        <w:t>，該署</w:t>
      </w:r>
      <w:r w:rsidRPr="007D6E6B">
        <w:rPr>
          <w:rFonts w:hint="eastAsia"/>
        </w:rPr>
        <w:t>賡續辦理船艇汰換，</w:t>
      </w:r>
      <w:r>
        <w:rPr>
          <w:rFonts w:hint="eastAsia"/>
        </w:rPr>
        <w:t>並</w:t>
      </w:r>
      <w:r w:rsidRPr="007D6E6B">
        <w:rPr>
          <w:rFonts w:hint="eastAsia"/>
        </w:rPr>
        <w:t>陳報行政院</w:t>
      </w:r>
      <w:r>
        <w:rPr>
          <w:rFonts w:hint="eastAsia"/>
        </w:rPr>
        <w:t>「</w:t>
      </w:r>
      <w:r w:rsidRPr="007D6E6B">
        <w:rPr>
          <w:rFonts w:hint="eastAsia"/>
        </w:rPr>
        <w:t>海關巡緝艇汰舊換新第二期計畫</w:t>
      </w:r>
      <w:r>
        <w:rPr>
          <w:rFonts w:hint="eastAsia"/>
        </w:rPr>
        <w:t>」(下稱本計畫)</w:t>
      </w:r>
      <w:r w:rsidRPr="007D6E6B">
        <w:rPr>
          <w:rFonts w:hint="eastAsia"/>
        </w:rPr>
        <w:t>，預計新造100噸級巡緝艇2艘、35噸級巡緝艇3艘及5噸級快艇3艘，嗣經行政院111年5月核定，總經費9億501萬1千元</w:t>
      </w:r>
      <w:r>
        <w:rPr>
          <w:rFonts w:hint="eastAsia"/>
        </w:rPr>
        <w:t>，執行期程112至116年度。惟</w:t>
      </w:r>
      <w:r>
        <w:rPr>
          <w:rFonts w:hAnsi="標楷體" w:cs="標楷體"/>
          <w:bCs/>
          <w:color w:val="000000"/>
          <w:kern w:val="3"/>
        </w:rPr>
        <w:t>因原物料價格上漲，又計畫採造修合一，全壽期長達11年，致廠商成本估計困難，</w:t>
      </w:r>
      <w:r>
        <w:rPr>
          <w:rFonts w:hAnsi="標楷體" w:cs="標楷體" w:hint="eastAsia"/>
          <w:bCs/>
          <w:color w:val="000000"/>
          <w:kern w:val="3"/>
        </w:rPr>
        <w:t>其中35噸級巡緝艇3</w:t>
      </w:r>
      <w:r w:rsidRPr="00865678">
        <w:rPr>
          <w:rFonts w:hAnsi="標楷體" w:cs="標楷體" w:hint="eastAsia"/>
          <w:bCs/>
          <w:color w:val="000000"/>
          <w:kern w:val="3"/>
        </w:rPr>
        <w:t>艘採購案</w:t>
      </w:r>
      <w:r>
        <w:rPr>
          <w:rFonts w:hAnsi="標楷體" w:cs="標楷體" w:hint="eastAsia"/>
          <w:bCs/>
          <w:color w:val="000000"/>
          <w:kern w:val="3"/>
        </w:rPr>
        <w:t>，於113年2月15日第1次招標</w:t>
      </w:r>
      <w:r>
        <w:rPr>
          <w:rFonts w:hAnsi="標楷體" w:cs="標楷體"/>
          <w:bCs/>
          <w:color w:val="000000"/>
          <w:kern w:val="3"/>
        </w:rPr>
        <w:t>歷經4次</w:t>
      </w:r>
      <w:r>
        <w:rPr>
          <w:rFonts w:hAnsi="標楷體" w:cs="標楷體" w:hint="eastAsia"/>
          <w:bCs/>
          <w:color w:val="000000"/>
          <w:kern w:val="3"/>
        </w:rPr>
        <w:t>公開</w:t>
      </w:r>
      <w:r>
        <w:rPr>
          <w:rFonts w:hAnsi="標楷體" w:cs="標楷體"/>
          <w:bCs/>
          <w:color w:val="000000"/>
          <w:kern w:val="3"/>
        </w:rPr>
        <w:t>招標</w:t>
      </w:r>
      <w:r>
        <w:rPr>
          <w:rFonts w:hAnsi="標楷體" w:cs="標楷體" w:hint="eastAsia"/>
          <w:bCs/>
          <w:color w:val="000000"/>
          <w:kern w:val="3"/>
        </w:rPr>
        <w:t>作業，</w:t>
      </w:r>
      <w:r>
        <w:rPr>
          <w:rFonts w:hAnsi="標楷體" w:cs="標楷體"/>
          <w:bCs/>
          <w:color w:val="000000"/>
          <w:kern w:val="3"/>
        </w:rPr>
        <w:t>均無廠商投標而流標，經檢討後辦理計畫修正</w:t>
      </w:r>
      <w:r>
        <w:rPr>
          <w:rFonts w:hAnsi="標楷體" w:cs="標楷體" w:hint="eastAsia"/>
          <w:bCs/>
          <w:color w:val="000000"/>
        </w:rPr>
        <w:t>，</w:t>
      </w:r>
      <w:r>
        <w:rPr>
          <w:rFonts w:hAnsi="標楷體" w:cs="標楷體"/>
          <w:bCs/>
          <w:color w:val="000000"/>
          <w:kern w:val="3"/>
        </w:rPr>
        <w:t>114年1月13日行政院核定修正計畫</w:t>
      </w:r>
      <w:r>
        <w:rPr>
          <w:rFonts w:hAnsi="標楷體" w:cs="標楷體" w:hint="eastAsia"/>
          <w:bCs/>
          <w:color w:val="000000"/>
          <w:kern w:val="3"/>
        </w:rPr>
        <w:t>，主要修改內容為</w:t>
      </w:r>
      <w:r w:rsidRPr="00865678">
        <w:rPr>
          <w:rFonts w:hAnsi="標楷體" w:cs="標楷體" w:hint="eastAsia"/>
          <w:bCs/>
          <w:color w:val="000000"/>
          <w:kern w:val="3"/>
        </w:rPr>
        <w:t>汰換35噸級巡緝艇數量由3艘改為2艘</w:t>
      </w:r>
      <w:r>
        <w:rPr>
          <w:rFonts w:hAnsi="標楷體" w:cs="標楷體" w:hint="eastAsia"/>
          <w:bCs/>
          <w:color w:val="000000"/>
          <w:kern w:val="3"/>
        </w:rPr>
        <w:t>，每艘造價由新臺幣1億元改為1.3億元；</w:t>
      </w:r>
      <w:r w:rsidRPr="00865678">
        <w:rPr>
          <w:rFonts w:hAnsi="標楷體" w:cs="標楷體" w:hint="eastAsia"/>
          <w:bCs/>
          <w:color w:val="000000"/>
          <w:kern w:val="3"/>
        </w:rPr>
        <w:t>監造費用</w:t>
      </w:r>
      <w:r>
        <w:rPr>
          <w:rFonts w:hAnsi="標楷體" w:cs="標楷體" w:hint="eastAsia"/>
          <w:bCs/>
          <w:color w:val="000000"/>
          <w:kern w:val="3"/>
        </w:rPr>
        <w:t>由</w:t>
      </w:r>
      <w:r w:rsidRPr="00865678">
        <w:rPr>
          <w:rFonts w:hAnsi="標楷體" w:cs="標楷體" w:hint="eastAsia"/>
          <w:bCs/>
          <w:color w:val="000000"/>
          <w:kern w:val="3"/>
        </w:rPr>
        <w:t>926</w:t>
      </w:r>
      <w:r>
        <w:rPr>
          <w:rFonts w:hAnsi="標楷體" w:cs="標楷體" w:hint="eastAsia"/>
          <w:bCs/>
          <w:color w:val="000000"/>
          <w:kern w:val="3"/>
        </w:rPr>
        <w:t>萬</w:t>
      </w:r>
      <w:r w:rsidRPr="00865678">
        <w:rPr>
          <w:rFonts w:hAnsi="標楷體" w:cs="標楷體" w:hint="eastAsia"/>
          <w:bCs/>
          <w:color w:val="000000"/>
          <w:kern w:val="3"/>
        </w:rPr>
        <w:t>元調整為814</w:t>
      </w:r>
      <w:r>
        <w:rPr>
          <w:rFonts w:hAnsi="標楷體" w:cs="標楷體" w:hint="eastAsia"/>
          <w:bCs/>
          <w:color w:val="000000"/>
          <w:kern w:val="3"/>
        </w:rPr>
        <w:t>萬</w:t>
      </w:r>
      <w:r w:rsidRPr="00865678">
        <w:rPr>
          <w:rFonts w:hAnsi="標楷體" w:cs="標楷體" w:hint="eastAsia"/>
          <w:bCs/>
          <w:color w:val="000000"/>
          <w:kern w:val="3"/>
        </w:rPr>
        <w:t>元</w:t>
      </w:r>
      <w:r>
        <w:rPr>
          <w:rFonts w:hAnsi="標楷體" w:cs="標楷體" w:hint="eastAsia"/>
          <w:bCs/>
          <w:color w:val="000000"/>
          <w:kern w:val="3"/>
        </w:rPr>
        <w:t>；</w:t>
      </w:r>
      <w:r w:rsidR="004E66F6">
        <w:rPr>
          <w:rFonts w:hAnsi="標楷體" w:cs="標楷體" w:hint="eastAsia"/>
          <w:bCs/>
          <w:color w:val="000000"/>
          <w:kern w:val="3"/>
        </w:rPr>
        <w:t>以上，</w:t>
      </w:r>
      <w:r w:rsidRPr="00865678">
        <w:rPr>
          <w:rFonts w:hAnsi="標楷體" w:cs="標楷體" w:hint="eastAsia"/>
          <w:bCs/>
          <w:color w:val="000000"/>
          <w:kern w:val="3"/>
        </w:rPr>
        <w:t>總經費</w:t>
      </w:r>
      <w:r>
        <w:rPr>
          <w:rFonts w:hAnsi="標楷體" w:cs="標楷體" w:hint="eastAsia"/>
          <w:bCs/>
          <w:color w:val="000000"/>
          <w:kern w:val="3"/>
        </w:rPr>
        <w:t>由</w:t>
      </w:r>
      <w:r w:rsidRPr="00865678">
        <w:rPr>
          <w:rFonts w:hAnsi="標楷體" w:cs="標楷體" w:hint="eastAsia"/>
          <w:bCs/>
          <w:color w:val="000000"/>
          <w:kern w:val="3"/>
        </w:rPr>
        <w:t>9億501萬1千元</w:t>
      </w:r>
      <w:r>
        <w:rPr>
          <w:rFonts w:hAnsi="標楷體" w:cs="標楷體" w:hint="eastAsia"/>
          <w:bCs/>
          <w:color w:val="000000"/>
          <w:kern w:val="3"/>
        </w:rPr>
        <w:t>改為8億6,361萬1千元</w:t>
      </w:r>
      <w:r w:rsidR="004E66F6">
        <w:rPr>
          <w:rFonts w:hAnsi="標楷體" w:cs="標楷體" w:hint="eastAsia"/>
          <w:bCs/>
          <w:color w:val="000000"/>
          <w:kern w:val="3"/>
        </w:rPr>
        <w:t>，</w:t>
      </w:r>
      <w:r>
        <w:rPr>
          <w:rFonts w:hAnsi="標楷體" w:cs="標楷體" w:hint="eastAsia"/>
          <w:bCs/>
          <w:color w:val="000000"/>
          <w:kern w:val="3"/>
        </w:rPr>
        <w:t>執行期程由112至116年度延至117年度。</w:t>
      </w:r>
    </w:p>
    <w:p w:rsidR="00E73269" w:rsidRPr="00D101E3" w:rsidRDefault="00E73269" w:rsidP="00D101E3">
      <w:pPr>
        <w:pStyle w:val="a4"/>
        <w:ind w:left="851" w:hanging="284"/>
        <w:rPr>
          <w:b/>
          <w:bCs/>
        </w:rPr>
      </w:pPr>
      <w:r>
        <w:rPr>
          <w:rFonts w:hint="eastAsia"/>
          <w:b/>
          <w:bCs/>
        </w:rPr>
        <w:t>(二)</w:t>
      </w:r>
      <w:r w:rsidRPr="00D101E3">
        <w:rPr>
          <w:rFonts w:hint="eastAsia"/>
          <w:b/>
          <w:bCs/>
        </w:rPr>
        <w:t>截至114年7月底止，</w:t>
      </w:r>
      <w:r>
        <w:rPr>
          <w:rFonts w:hint="eastAsia"/>
          <w:b/>
          <w:bCs/>
        </w:rPr>
        <w:t>本計畫</w:t>
      </w:r>
      <w:r w:rsidRPr="00D101E3">
        <w:rPr>
          <w:rFonts w:hint="eastAsia"/>
          <w:b/>
          <w:bCs/>
        </w:rPr>
        <w:t>預算執行數占可支用數比率僅9.26%</w:t>
      </w:r>
      <w:r>
        <w:rPr>
          <w:rFonts w:hint="eastAsia"/>
          <w:b/>
          <w:bCs/>
        </w:rPr>
        <w:t>，允宜研謀改善</w:t>
      </w:r>
    </w:p>
    <w:p w:rsidR="00E73269" w:rsidRPr="009670E6" w:rsidRDefault="00E73269" w:rsidP="009670E6">
      <w:pPr>
        <w:pStyle w:val="2"/>
        <w:ind w:left="850" w:firstLine="567"/>
      </w:pPr>
      <w:r>
        <w:rPr>
          <w:rFonts w:hint="eastAsia"/>
        </w:rPr>
        <w:t>關務署說明，</w:t>
      </w:r>
      <w:r w:rsidRPr="009670E6">
        <w:rPr>
          <w:rFonts w:hint="eastAsia"/>
        </w:rPr>
        <w:t>114年1月13日行政院核定修正</w:t>
      </w:r>
      <w:r>
        <w:rPr>
          <w:rFonts w:hint="eastAsia"/>
        </w:rPr>
        <w:t>本</w:t>
      </w:r>
      <w:r w:rsidRPr="009670E6">
        <w:rPr>
          <w:rFonts w:hint="eastAsia"/>
        </w:rPr>
        <w:t>計畫，即辦理35噸級巡緝艇招標事宜</w:t>
      </w:r>
      <w:r>
        <w:rPr>
          <w:rFonts w:hint="eastAsia"/>
        </w:rPr>
        <w:t>，同年</w:t>
      </w:r>
      <w:r w:rsidRPr="009670E6">
        <w:rPr>
          <w:rFonts w:hint="eastAsia"/>
        </w:rPr>
        <w:t>3月6日召開第1次評選委員會，</w:t>
      </w:r>
      <w:r>
        <w:rPr>
          <w:rFonts w:hint="eastAsia"/>
        </w:rPr>
        <w:t>同年</w:t>
      </w:r>
      <w:r w:rsidRPr="009670E6">
        <w:rPr>
          <w:rFonts w:hint="eastAsia"/>
        </w:rPr>
        <w:t>月13日上網公開招標，</w:t>
      </w:r>
      <w:r>
        <w:rPr>
          <w:rFonts w:hint="eastAsia"/>
        </w:rPr>
        <w:t>同年</w:t>
      </w:r>
      <w:r w:rsidRPr="009670E6">
        <w:rPr>
          <w:rFonts w:hint="eastAsia"/>
        </w:rPr>
        <w:t>4月15日第1次開標，因無廠商投標流標</w:t>
      </w:r>
      <w:r>
        <w:rPr>
          <w:rFonts w:hint="eastAsia"/>
        </w:rPr>
        <w:t>，同年</w:t>
      </w:r>
      <w:r w:rsidRPr="009670E6">
        <w:rPr>
          <w:rFonts w:hint="eastAsia"/>
        </w:rPr>
        <w:t>5月8日第2次開標完成資格審查，6月6日召開評選委員會選出最有利標，</w:t>
      </w:r>
      <w:r>
        <w:rPr>
          <w:rFonts w:hint="eastAsia"/>
        </w:rPr>
        <w:t>同年</w:t>
      </w:r>
      <w:r w:rsidRPr="009670E6">
        <w:rPr>
          <w:rFonts w:hint="eastAsia"/>
        </w:rPr>
        <w:t>6月13日決標，決標金額2億6,000萬元</w:t>
      </w:r>
      <w:r w:rsidR="004E66F6">
        <w:rPr>
          <w:rFonts w:hint="eastAsia"/>
        </w:rPr>
        <w:t>；另於</w:t>
      </w:r>
      <w:r>
        <w:rPr>
          <w:rFonts w:hAnsi="標楷體"/>
          <w:color w:val="000000"/>
        </w:rPr>
        <w:t>114年7月23日完成</w:t>
      </w:r>
      <w:r>
        <w:rPr>
          <w:rFonts w:hint="eastAsia"/>
        </w:rPr>
        <w:t>100</w:t>
      </w:r>
      <w:r>
        <w:rPr>
          <w:rFonts w:hAnsi="標楷體"/>
          <w:color w:val="000000"/>
        </w:rPr>
        <w:t>噸級巡緝艇</w:t>
      </w:r>
      <w:r>
        <w:rPr>
          <w:rFonts w:hAnsi="標楷體" w:hint="eastAsia"/>
          <w:color w:val="000000"/>
        </w:rPr>
        <w:t>2艘</w:t>
      </w:r>
      <w:r>
        <w:rPr>
          <w:rFonts w:hAnsi="標楷體"/>
          <w:color w:val="000000"/>
        </w:rPr>
        <w:t>建造案安放龍骨</w:t>
      </w:r>
      <w:r w:rsidR="004E66F6">
        <w:rPr>
          <w:rFonts w:hAnsi="標楷體" w:hint="eastAsia"/>
          <w:color w:val="000000"/>
        </w:rPr>
        <w:t>，同</w:t>
      </w:r>
      <w:r>
        <w:rPr>
          <w:rFonts w:hAnsi="標楷體" w:hint="eastAsia"/>
          <w:color w:val="000000"/>
        </w:rPr>
        <w:t>年月14日</w:t>
      </w:r>
      <w:r w:rsidR="004E66F6">
        <w:rPr>
          <w:rFonts w:hAnsi="標楷體" w:hint="eastAsia"/>
          <w:color w:val="000000"/>
        </w:rPr>
        <w:t>及23日分別</w:t>
      </w:r>
      <w:r>
        <w:rPr>
          <w:rFonts w:hAnsi="標楷體" w:hint="eastAsia"/>
          <w:color w:val="000000"/>
        </w:rPr>
        <w:t>完成</w:t>
      </w:r>
      <w:r>
        <w:rPr>
          <w:rFonts w:hAnsi="標楷體"/>
          <w:color w:val="000000"/>
        </w:rPr>
        <w:t>5噸級快艇第1艘交船</w:t>
      </w:r>
      <w:r>
        <w:rPr>
          <w:rFonts w:hAnsi="標楷體" w:hint="eastAsia"/>
          <w:color w:val="000000"/>
        </w:rPr>
        <w:t>作業，</w:t>
      </w:r>
      <w:r w:rsidR="004E66F6">
        <w:rPr>
          <w:rFonts w:hAnsi="標楷體" w:hint="eastAsia"/>
          <w:color w:val="000000"/>
        </w:rPr>
        <w:t>及</w:t>
      </w:r>
      <w:r>
        <w:rPr>
          <w:rFonts w:hAnsi="標楷體"/>
          <w:color w:val="000000"/>
        </w:rPr>
        <w:t>第2</w:t>
      </w:r>
      <w:r w:rsidR="004E66F6">
        <w:rPr>
          <w:rFonts w:hAnsi="標楷體" w:hint="eastAsia"/>
          <w:color w:val="000000"/>
        </w:rPr>
        <w:t>、</w:t>
      </w:r>
      <w:r>
        <w:rPr>
          <w:rFonts w:hAnsi="標楷體"/>
          <w:color w:val="000000"/>
        </w:rPr>
        <w:t>第3艘快艇海上公試</w:t>
      </w:r>
      <w:r>
        <w:rPr>
          <w:rFonts w:hAnsi="標楷體" w:hint="eastAsia"/>
          <w:color w:val="000000"/>
        </w:rPr>
        <w:t>。</w:t>
      </w:r>
    </w:p>
    <w:p w:rsidR="00E73269" w:rsidRDefault="00E73269" w:rsidP="009670E6">
      <w:pPr>
        <w:pStyle w:val="2"/>
        <w:ind w:left="850" w:firstLine="567"/>
      </w:pPr>
      <w:r>
        <w:rPr>
          <w:rFonts w:hint="eastAsia"/>
        </w:rPr>
        <w:t>本計畫112年度預算執行率93.4%，113年度預算數2億2,749萬4千元、執行數1億4,208萬3千元(詳表1)，剩餘8,541</w:t>
      </w:r>
      <w:r>
        <w:rPr>
          <w:rFonts w:hint="eastAsia"/>
        </w:rPr>
        <w:lastRenderedPageBreak/>
        <w:t>萬1千元保留至114年度繼續執行，加計114年度預算數2,458萬元，</w:t>
      </w:r>
      <w:r w:rsidR="004E66F6">
        <w:rPr>
          <w:rFonts w:hint="eastAsia"/>
        </w:rPr>
        <w:t>可支用數</w:t>
      </w:r>
      <w:r>
        <w:rPr>
          <w:rFonts w:hint="eastAsia"/>
        </w:rPr>
        <w:t>合計1億999萬1千元，截至114年7月底止之執行數為1,018萬8千元，占</w:t>
      </w:r>
      <w:r w:rsidRPr="00CA4A5B">
        <w:rPr>
          <w:rFonts w:hint="eastAsia"/>
        </w:rPr>
        <w:t>可支用數比率僅9.26%</w:t>
      </w:r>
      <w:r>
        <w:rPr>
          <w:rFonts w:hint="eastAsia"/>
        </w:rPr>
        <w:t>，允宜加速辦理，以提升預算執行成效。</w:t>
      </w:r>
    </w:p>
    <w:p w:rsidR="004E66F6" w:rsidRDefault="004E66F6" w:rsidP="009670E6">
      <w:pPr>
        <w:pStyle w:val="2"/>
        <w:ind w:left="850" w:firstLine="567"/>
      </w:pPr>
    </w:p>
    <w:p w:rsidR="00E73269" w:rsidRPr="00346347" w:rsidRDefault="00E73269" w:rsidP="004E66F6">
      <w:pPr>
        <w:snapToGrid w:val="0"/>
        <w:spacing w:beforeLines="100" w:before="516" w:line="400" w:lineRule="exact"/>
        <w:ind w:leftChars="0" w:left="624" w:firstLineChars="0" w:hanging="624"/>
        <w:jc w:val="left"/>
        <w:rPr>
          <w:rFonts w:hAnsi="標楷體"/>
          <w:sz w:val="24"/>
          <w:szCs w:val="24"/>
        </w:rPr>
      </w:pPr>
      <w:r w:rsidRPr="004E057F">
        <w:rPr>
          <w:rFonts w:hint="eastAsia"/>
          <w:b/>
        </w:rPr>
        <w:t>表1</w:t>
      </w:r>
      <w:r>
        <w:rPr>
          <w:b/>
        </w:rPr>
        <w:t xml:space="preserve"> </w:t>
      </w:r>
      <w:r>
        <w:rPr>
          <w:rFonts w:hint="eastAsia"/>
          <w:b/>
        </w:rPr>
        <w:t>112至117年度</w:t>
      </w:r>
      <w:r w:rsidR="004E66F6">
        <w:rPr>
          <w:rFonts w:hint="eastAsia"/>
          <w:b/>
        </w:rPr>
        <w:t>「</w:t>
      </w:r>
      <w:r w:rsidRPr="0081028C">
        <w:rPr>
          <w:rFonts w:hint="eastAsia"/>
          <w:b/>
          <w:bCs/>
        </w:rPr>
        <w:t>海關巡緝艇汰舊換新第二期計畫</w:t>
      </w:r>
      <w:r w:rsidR="004E66F6">
        <w:rPr>
          <w:rFonts w:hint="eastAsia"/>
          <w:b/>
          <w:bCs/>
        </w:rPr>
        <w:t>」</w:t>
      </w:r>
      <w:r>
        <w:rPr>
          <w:rFonts w:hint="eastAsia"/>
          <w:b/>
          <w:bCs/>
        </w:rPr>
        <w:t>預、決算概況表</w:t>
      </w:r>
      <w:r w:rsidR="004E66F6">
        <w:rPr>
          <w:rFonts w:hint="eastAsia"/>
          <w:b/>
          <w:bCs/>
        </w:rPr>
        <w:t xml:space="preserve">                       </w:t>
      </w:r>
      <w:r>
        <w:rPr>
          <w:rFonts w:hint="eastAsia"/>
          <w:b/>
        </w:rPr>
        <w:t xml:space="preserve">             </w:t>
      </w:r>
      <w:r w:rsidRPr="00D44369">
        <w:rPr>
          <w:rFonts w:hint="eastAsia"/>
          <w:sz w:val="24"/>
          <w:szCs w:val="24"/>
        </w:rPr>
        <w:t>單位:</w:t>
      </w:r>
      <w:r>
        <w:rPr>
          <w:rFonts w:hint="eastAsia"/>
          <w:sz w:val="24"/>
          <w:szCs w:val="24"/>
        </w:rPr>
        <w:t>新臺幣千元；%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275"/>
        <w:gridCol w:w="1276"/>
        <w:gridCol w:w="1276"/>
        <w:gridCol w:w="1134"/>
        <w:gridCol w:w="1587"/>
        <w:gridCol w:w="1106"/>
      </w:tblGrid>
      <w:tr w:rsidR="00E73269" w:rsidRPr="003C65E1" w:rsidTr="007B0C86">
        <w:trPr>
          <w:trHeight w:val="340"/>
          <w:tblHeader/>
        </w:trPr>
        <w:tc>
          <w:tcPr>
            <w:tcW w:w="851" w:type="dxa"/>
            <w:shd w:val="clear" w:color="auto" w:fill="auto"/>
            <w:vAlign w:val="center"/>
          </w:tcPr>
          <w:p w:rsidR="00E73269" w:rsidRPr="00AB01E0" w:rsidRDefault="00E73269" w:rsidP="0026518B">
            <w:pPr>
              <w:pStyle w:val="142"/>
              <w:jc w:val="center"/>
              <w:rPr>
                <w:b/>
                <w:bCs/>
              </w:rPr>
            </w:pPr>
            <w:r w:rsidRPr="00AB01E0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275" w:type="dxa"/>
            <w:vAlign w:val="center"/>
          </w:tcPr>
          <w:p w:rsidR="00E73269" w:rsidRPr="00AB01E0" w:rsidRDefault="00E73269" w:rsidP="00CA4A5B">
            <w:pPr>
              <w:pStyle w:val="142"/>
              <w:jc w:val="center"/>
              <w:rPr>
                <w:b/>
                <w:bCs/>
                <w:spacing w:val="-10"/>
                <w:szCs w:val="24"/>
              </w:rPr>
            </w:pPr>
            <w:r w:rsidRPr="00AB01E0">
              <w:rPr>
                <w:rFonts w:hint="eastAsia"/>
                <w:b/>
                <w:bCs/>
                <w:szCs w:val="24"/>
              </w:rPr>
              <w:t>預算數A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3269" w:rsidRPr="00AB01E0" w:rsidRDefault="00E73269" w:rsidP="00CA4A5B">
            <w:pPr>
              <w:pStyle w:val="142"/>
              <w:ind w:left="244" w:hangingChars="100" w:hanging="244"/>
              <w:jc w:val="center"/>
              <w:rPr>
                <w:b/>
                <w:bCs/>
                <w:spacing w:val="-10"/>
                <w:szCs w:val="24"/>
              </w:rPr>
            </w:pPr>
            <w:r w:rsidRPr="00AB01E0">
              <w:rPr>
                <w:rFonts w:hint="eastAsia"/>
                <w:b/>
                <w:bCs/>
                <w:szCs w:val="24"/>
              </w:rPr>
              <w:t>執行數B</w:t>
            </w:r>
          </w:p>
        </w:tc>
        <w:tc>
          <w:tcPr>
            <w:tcW w:w="1276" w:type="dxa"/>
            <w:vAlign w:val="center"/>
          </w:tcPr>
          <w:p w:rsidR="00E73269" w:rsidRPr="00AB01E0" w:rsidRDefault="00E73269" w:rsidP="00CA4A5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AB01E0">
              <w:rPr>
                <w:rFonts w:hint="eastAsia"/>
                <w:b/>
                <w:bCs/>
                <w:spacing w:val="-10"/>
                <w:szCs w:val="24"/>
              </w:rPr>
              <w:t>註銷數C</w:t>
            </w:r>
          </w:p>
        </w:tc>
        <w:tc>
          <w:tcPr>
            <w:tcW w:w="1134" w:type="dxa"/>
            <w:vAlign w:val="center"/>
          </w:tcPr>
          <w:p w:rsidR="00E73269" w:rsidRPr="00AB01E0" w:rsidRDefault="00E73269" w:rsidP="00CA4A5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AB01E0">
              <w:rPr>
                <w:rFonts w:hint="eastAsia"/>
                <w:b/>
                <w:bCs/>
                <w:spacing w:val="-10"/>
                <w:szCs w:val="24"/>
              </w:rPr>
              <w:t>保留數</w:t>
            </w:r>
          </w:p>
          <w:p w:rsidR="00E73269" w:rsidRPr="00AB01E0" w:rsidRDefault="00E73269" w:rsidP="00CA4A5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AB01E0">
              <w:rPr>
                <w:rFonts w:hint="eastAsia"/>
                <w:b/>
                <w:bCs/>
                <w:spacing w:val="-10"/>
                <w:szCs w:val="24"/>
              </w:rPr>
              <w:t>D=A-B-C</w:t>
            </w:r>
          </w:p>
        </w:tc>
        <w:tc>
          <w:tcPr>
            <w:tcW w:w="1587" w:type="dxa"/>
            <w:vAlign w:val="center"/>
          </w:tcPr>
          <w:p w:rsidR="00E73269" w:rsidRPr="00AB01E0" w:rsidRDefault="00E73269" w:rsidP="00CA4A5B">
            <w:pPr>
              <w:pStyle w:val="142"/>
              <w:ind w:left="196" w:hangingChars="100" w:hanging="196"/>
              <w:jc w:val="center"/>
              <w:rPr>
                <w:b/>
                <w:bCs/>
                <w:spacing w:val="-24"/>
                <w:szCs w:val="24"/>
              </w:rPr>
            </w:pPr>
            <w:r w:rsidRPr="00AB01E0">
              <w:rPr>
                <w:rFonts w:hint="eastAsia"/>
                <w:b/>
                <w:bCs/>
                <w:spacing w:val="-24"/>
                <w:szCs w:val="24"/>
              </w:rPr>
              <w:t>當年度可支用數</w:t>
            </w:r>
          </w:p>
          <w:p w:rsidR="00E73269" w:rsidRPr="00AB01E0" w:rsidRDefault="00E73269" w:rsidP="00CA4A5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AB01E0">
              <w:rPr>
                <w:rFonts w:hint="eastAsia"/>
                <w:b/>
                <w:bCs/>
                <w:spacing w:val="-10"/>
                <w:szCs w:val="24"/>
              </w:rPr>
              <w:t>E=A+前1年D</w:t>
            </w:r>
          </w:p>
        </w:tc>
        <w:tc>
          <w:tcPr>
            <w:tcW w:w="1106" w:type="dxa"/>
            <w:vAlign w:val="center"/>
          </w:tcPr>
          <w:p w:rsidR="00E73269" w:rsidRPr="00AB01E0" w:rsidRDefault="00E73269" w:rsidP="00CA4A5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AB01E0">
              <w:rPr>
                <w:rFonts w:hint="eastAsia"/>
                <w:b/>
                <w:bCs/>
                <w:spacing w:val="-10"/>
                <w:szCs w:val="24"/>
              </w:rPr>
              <w:t>執行率</w:t>
            </w:r>
          </w:p>
          <w:p w:rsidR="00E73269" w:rsidRPr="00AB01E0" w:rsidRDefault="00E73269" w:rsidP="00CA4A5B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AB01E0">
              <w:rPr>
                <w:rFonts w:hint="eastAsia"/>
                <w:b/>
                <w:bCs/>
                <w:spacing w:val="-10"/>
                <w:szCs w:val="24"/>
              </w:rPr>
              <w:t>F=B/E*100</w:t>
            </w:r>
          </w:p>
        </w:tc>
      </w:tr>
      <w:tr w:rsidR="00E73269" w:rsidRPr="003C65E1" w:rsidTr="00AB01E0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E73269" w:rsidRPr="008D377B" w:rsidRDefault="00E73269" w:rsidP="0026518B">
            <w:pPr>
              <w:pStyle w:val="142"/>
              <w:jc w:val="center"/>
              <w:rPr>
                <w:szCs w:val="24"/>
              </w:rPr>
            </w:pPr>
            <w:r w:rsidRPr="008D377B">
              <w:rPr>
                <w:rFonts w:hint="eastAsia"/>
                <w:szCs w:val="24"/>
              </w:rPr>
              <w:t>112</w:t>
            </w:r>
          </w:p>
        </w:tc>
        <w:tc>
          <w:tcPr>
            <w:tcW w:w="1275" w:type="dxa"/>
            <w:vAlign w:val="center"/>
          </w:tcPr>
          <w:p w:rsidR="00E73269" w:rsidRPr="00D35B67" w:rsidRDefault="00E73269" w:rsidP="0026518B">
            <w:pPr>
              <w:pStyle w:val="142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13,944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13,024</w:t>
            </w:r>
          </w:p>
        </w:tc>
        <w:tc>
          <w:tcPr>
            <w:tcW w:w="1276" w:type="dxa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920</w:t>
            </w:r>
          </w:p>
        </w:tc>
        <w:tc>
          <w:tcPr>
            <w:tcW w:w="1134" w:type="dxa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0</w:t>
            </w:r>
          </w:p>
        </w:tc>
        <w:tc>
          <w:tcPr>
            <w:tcW w:w="1587" w:type="dxa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13,944</w:t>
            </w:r>
          </w:p>
        </w:tc>
        <w:tc>
          <w:tcPr>
            <w:tcW w:w="1106" w:type="dxa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93.40</w:t>
            </w:r>
          </w:p>
        </w:tc>
      </w:tr>
      <w:tr w:rsidR="00E73269" w:rsidRPr="003C65E1" w:rsidTr="00AB01E0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E73269" w:rsidRPr="008D377B" w:rsidRDefault="00E73269" w:rsidP="0026518B">
            <w:pPr>
              <w:pStyle w:val="142"/>
              <w:jc w:val="center"/>
              <w:rPr>
                <w:szCs w:val="24"/>
              </w:rPr>
            </w:pPr>
            <w:r w:rsidRPr="008D377B">
              <w:rPr>
                <w:rFonts w:hint="eastAsia"/>
                <w:szCs w:val="24"/>
              </w:rPr>
              <w:t>113</w:t>
            </w:r>
          </w:p>
        </w:tc>
        <w:tc>
          <w:tcPr>
            <w:tcW w:w="1275" w:type="dxa"/>
            <w:vAlign w:val="center"/>
          </w:tcPr>
          <w:p w:rsidR="00E73269" w:rsidRPr="00D35B67" w:rsidRDefault="00E73269" w:rsidP="0026518B">
            <w:pPr>
              <w:pStyle w:val="142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227,494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142,083</w:t>
            </w:r>
          </w:p>
        </w:tc>
        <w:tc>
          <w:tcPr>
            <w:tcW w:w="1276" w:type="dxa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85,411</w:t>
            </w:r>
          </w:p>
        </w:tc>
        <w:tc>
          <w:tcPr>
            <w:tcW w:w="1587" w:type="dxa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227,494</w:t>
            </w:r>
          </w:p>
        </w:tc>
        <w:tc>
          <w:tcPr>
            <w:tcW w:w="1106" w:type="dxa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62.46</w:t>
            </w:r>
          </w:p>
        </w:tc>
      </w:tr>
      <w:tr w:rsidR="00E73269" w:rsidRPr="003C65E1" w:rsidTr="00AB01E0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E73269" w:rsidRPr="008D377B" w:rsidRDefault="00E73269" w:rsidP="0026518B">
            <w:pPr>
              <w:pStyle w:val="142"/>
              <w:jc w:val="center"/>
              <w:rPr>
                <w:szCs w:val="24"/>
              </w:rPr>
            </w:pPr>
            <w:r w:rsidRPr="008D377B">
              <w:rPr>
                <w:rFonts w:hint="eastAsia"/>
                <w:szCs w:val="24"/>
              </w:rPr>
              <w:t>114</w:t>
            </w:r>
          </w:p>
        </w:tc>
        <w:tc>
          <w:tcPr>
            <w:tcW w:w="1275" w:type="dxa"/>
            <w:vAlign w:val="center"/>
          </w:tcPr>
          <w:p w:rsidR="00E73269" w:rsidRPr="00D35B67" w:rsidRDefault="00E73269" w:rsidP="0026518B">
            <w:pPr>
              <w:pStyle w:val="142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24,580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10,188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-</w:t>
            </w:r>
          </w:p>
        </w:tc>
        <w:tc>
          <w:tcPr>
            <w:tcW w:w="1587" w:type="dxa"/>
            <w:tcBorders>
              <w:bottom w:val="single" w:sz="6" w:space="0" w:color="auto"/>
            </w:tcBorders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109,991</w:t>
            </w:r>
          </w:p>
        </w:tc>
        <w:tc>
          <w:tcPr>
            <w:tcW w:w="1106" w:type="dxa"/>
            <w:tcBorders>
              <w:bottom w:val="single" w:sz="6" w:space="0" w:color="auto"/>
            </w:tcBorders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9.26</w:t>
            </w:r>
          </w:p>
        </w:tc>
      </w:tr>
      <w:tr w:rsidR="00E73269" w:rsidRPr="003C65E1" w:rsidTr="00AB01E0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E73269" w:rsidRPr="008D377B" w:rsidRDefault="00E73269" w:rsidP="0026518B">
            <w:pPr>
              <w:pStyle w:val="142"/>
              <w:jc w:val="center"/>
              <w:rPr>
                <w:szCs w:val="24"/>
              </w:rPr>
            </w:pPr>
            <w:r w:rsidRPr="008D377B">
              <w:rPr>
                <w:rFonts w:hint="eastAsia"/>
                <w:szCs w:val="24"/>
              </w:rPr>
              <w:t>115</w:t>
            </w:r>
          </w:p>
        </w:tc>
        <w:tc>
          <w:tcPr>
            <w:tcW w:w="1275" w:type="dxa"/>
            <w:vAlign w:val="center"/>
          </w:tcPr>
          <w:p w:rsidR="00E73269" w:rsidRPr="00D35B67" w:rsidRDefault="00E73269" w:rsidP="0026518B">
            <w:pPr>
              <w:pStyle w:val="142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281,991</w:t>
            </w:r>
          </w:p>
        </w:tc>
        <w:tc>
          <w:tcPr>
            <w:tcW w:w="6379" w:type="dxa"/>
            <w:gridSpan w:val="5"/>
            <w:vMerge w:val="restart"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E73269" w:rsidRPr="00CA4A5B" w:rsidRDefault="00E73269" w:rsidP="0026518B">
            <w:pPr>
              <w:pStyle w:val="142"/>
              <w:ind w:left="223" w:hangingChars="100" w:hanging="223"/>
              <w:jc w:val="right"/>
              <w:rPr>
                <w:spacing w:val="-10"/>
                <w:szCs w:val="24"/>
              </w:rPr>
            </w:pPr>
          </w:p>
        </w:tc>
      </w:tr>
      <w:tr w:rsidR="00E73269" w:rsidRPr="003C65E1" w:rsidTr="00AB01E0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E73269" w:rsidRPr="008D377B" w:rsidRDefault="00E73269" w:rsidP="0026518B">
            <w:pPr>
              <w:pStyle w:val="142"/>
              <w:jc w:val="center"/>
              <w:rPr>
                <w:szCs w:val="24"/>
              </w:rPr>
            </w:pPr>
            <w:r w:rsidRPr="008D377B">
              <w:rPr>
                <w:rFonts w:hint="eastAsia"/>
                <w:szCs w:val="24"/>
              </w:rPr>
              <w:t>116</w:t>
            </w:r>
          </w:p>
        </w:tc>
        <w:tc>
          <w:tcPr>
            <w:tcW w:w="1275" w:type="dxa"/>
            <w:vAlign w:val="center"/>
          </w:tcPr>
          <w:p w:rsidR="00E73269" w:rsidRPr="00D35B67" w:rsidRDefault="00E73269" w:rsidP="0026518B">
            <w:pPr>
              <w:pStyle w:val="142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178,283</w:t>
            </w:r>
          </w:p>
        </w:tc>
        <w:tc>
          <w:tcPr>
            <w:tcW w:w="6379" w:type="dxa"/>
            <w:gridSpan w:val="5"/>
            <w:vMerge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E73269" w:rsidRPr="00CA4A5B" w:rsidRDefault="00E73269" w:rsidP="0026518B">
            <w:pPr>
              <w:pStyle w:val="142"/>
              <w:ind w:left="223" w:hangingChars="100" w:hanging="223"/>
              <w:jc w:val="right"/>
              <w:rPr>
                <w:spacing w:val="-10"/>
                <w:szCs w:val="24"/>
              </w:rPr>
            </w:pPr>
          </w:p>
        </w:tc>
      </w:tr>
      <w:tr w:rsidR="00E73269" w:rsidRPr="003C65E1" w:rsidTr="00AB01E0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E73269" w:rsidRPr="008D377B" w:rsidRDefault="00E73269" w:rsidP="0026518B">
            <w:pPr>
              <w:pStyle w:val="142"/>
              <w:jc w:val="center"/>
              <w:rPr>
                <w:szCs w:val="24"/>
              </w:rPr>
            </w:pPr>
            <w:r w:rsidRPr="008D377B">
              <w:rPr>
                <w:rFonts w:hint="eastAsia"/>
                <w:szCs w:val="24"/>
              </w:rPr>
              <w:t>117</w:t>
            </w:r>
          </w:p>
        </w:tc>
        <w:tc>
          <w:tcPr>
            <w:tcW w:w="1275" w:type="dxa"/>
            <w:vAlign w:val="center"/>
          </w:tcPr>
          <w:p w:rsidR="00E73269" w:rsidRPr="00D35B67" w:rsidRDefault="00E73269" w:rsidP="0026518B">
            <w:pPr>
              <w:pStyle w:val="142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137,319</w:t>
            </w:r>
          </w:p>
        </w:tc>
        <w:tc>
          <w:tcPr>
            <w:tcW w:w="6379" w:type="dxa"/>
            <w:gridSpan w:val="5"/>
            <w:vMerge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E73269" w:rsidRPr="00CA4A5B" w:rsidRDefault="00E73269" w:rsidP="0026518B">
            <w:pPr>
              <w:pStyle w:val="142"/>
              <w:ind w:left="223" w:hangingChars="100" w:hanging="223"/>
              <w:jc w:val="right"/>
              <w:rPr>
                <w:spacing w:val="-10"/>
                <w:szCs w:val="24"/>
              </w:rPr>
            </w:pPr>
          </w:p>
        </w:tc>
      </w:tr>
      <w:tr w:rsidR="00E73269" w:rsidRPr="003C65E1" w:rsidTr="00AB01E0">
        <w:trPr>
          <w:trHeight w:val="340"/>
        </w:trPr>
        <w:tc>
          <w:tcPr>
            <w:tcW w:w="851" w:type="dxa"/>
            <w:shd w:val="clear" w:color="auto" w:fill="auto"/>
            <w:vAlign w:val="center"/>
          </w:tcPr>
          <w:p w:rsidR="00E73269" w:rsidRDefault="00E73269" w:rsidP="0026518B">
            <w:pPr>
              <w:pStyle w:val="142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合計</w:t>
            </w:r>
          </w:p>
        </w:tc>
        <w:tc>
          <w:tcPr>
            <w:tcW w:w="1275" w:type="dxa"/>
            <w:vAlign w:val="center"/>
          </w:tcPr>
          <w:p w:rsidR="00E73269" w:rsidRPr="00D35B67" w:rsidRDefault="00E73269" w:rsidP="0026518B">
            <w:pPr>
              <w:pStyle w:val="142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863,611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165,295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E73269" w:rsidRPr="00D35B67" w:rsidRDefault="00E73269" w:rsidP="0026518B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D35B67">
              <w:rPr>
                <w:rFonts w:hint="eastAsia"/>
                <w:szCs w:val="24"/>
              </w:rPr>
              <w:t>920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E73269" w:rsidRPr="00CA4A5B" w:rsidRDefault="00E73269" w:rsidP="0026518B">
            <w:pPr>
              <w:pStyle w:val="142"/>
              <w:ind w:left="223" w:hangingChars="100" w:hanging="223"/>
              <w:jc w:val="right"/>
              <w:rPr>
                <w:spacing w:val="-10"/>
                <w:szCs w:val="24"/>
              </w:rPr>
            </w:pPr>
            <w:r>
              <w:rPr>
                <w:rFonts w:hint="eastAsia"/>
                <w:spacing w:val="-10"/>
                <w:szCs w:val="24"/>
              </w:rPr>
              <w:t>-</w:t>
            </w:r>
          </w:p>
        </w:tc>
        <w:tc>
          <w:tcPr>
            <w:tcW w:w="1587" w:type="dxa"/>
            <w:tcBorders>
              <w:top w:val="single" w:sz="6" w:space="0" w:color="auto"/>
            </w:tcBorders>
            <w:vAlign w:val="center"/>
          </w:tcPr>
          <w:p w:rsidR="00E73269" w:rsidRPr="00CA4A5B" w:rsidRDefault="00E73269" w:rsidP="0026518B">
            <w:pPr>
              <w:pStyle w:val="142"/>
              <w:ind w:left="223" w:hangingChars="100" w:hanging="223"/>
              <w:jc w:val="right"/>
              <w:rPr>
                <w:spacing w:val="-10"/>
                <w:szCs w:val="24"/>
              </w:rPr>
            </w:pPr>
            <w:r>
              <w:rPr>
                <w:rFonts w:hint="eastAsia"/>
                <w:spacing w:val="-10"/>
                <w:szCs w:val="24"/>
              </w:rPr>
              <w:t>-</w:t>
            </w:r>
          </w:p>
        </w:tc>
        <w:tc>
          <w:tcPr>
            <w:tcW w:w="1106" w:type="dxa"/>
            <w:tcBorders>
              <w:top w:val="single" w:sz="6" w:space="0" w:color="auto"/>
            </w:tcBorders>
            <w:vAlign w:val="center"/>
          </w:tcPr>
          <w:p w:rsidR="00E73269" w:rsidRPr="00CA4A5B" w:rsidRDefault="00E73269" w:rsidP="0026518B">
            <w:pPr>
              <w:pStyle w:val="142"/>
              <w:ind w:left="223" w:hangingChars="100" w:hanging="223"/>
              <w:jc w:val="right"/>
              <w:rPr>
                <w:spacing w:val="-10"/>
                <w:szCs w:val="24"/>
              </w:rPr>
            </w:pPr>
            <w:r>
              <w:rPr>
                <w:rFonts w:hint="eastAsia"/>
                <w:spacing w:val="-10"/>
                <w:szCs w:val="24"/>
              </w:rPr>
              <w:t>-</w:t>
            </w:r>
          </w:p>
        </w:tc>
      </w:tr>
    </w:tbl>
    <w:p w:rsidR="00E73269" w:rsidRDefault="00E73269" w:rsidP="008D377B">
      <w:pPr>
        <w:pStyle w:val="142"/>
      </w:pPr>
      <w:r w:rsidRPr="003862E9">
        <w:rPr>
          <w:rFonts w:hint="eastAsia"/>
        </w:rPr>
        <w:t>資料來</w:t>
      </w:r>
      <w:r>
        <w:rPr>
          <w:rFonts w:hAnsi="標楷體" w:hint="eastAsia"/>
        </w:rPr>
        <w:t>源</w:t>
      </w:r>
      <w:r>
        <w:rPr>
          <w:rFonts w:hint="eastAsia"/>
        </w:rPr>
        <w:t>：關務署。</w:t>
      </w:r>
    </w:p>
    <w:p w:rsidR="00E73269" w:rsidRDefault="00E73269" w:rsidP="006835E6">
      <w:pPr>
        <w:ind w:left="567" w:firstLine="567"/>
      </w:pPr>
      <w:r>
        <w:rPr>
          <w:rFonts w:hint="eastAsia"/>
        </w:rPr>
        <w:t>綜上，關務署辦理本計畫多次流標，</w:t>
      </w:r>
      <w:r w:rsidR="004E66F6">
        <w:rPr>
          <w:rFonts w:hint="eastAsia"/>
        </w:rPr>
        <w:t>經</w:t>
      </w:r>
      <w:r>
        <w:rPr>
          <w:rFonts w:hint="eastAsia"/>
        </w:rPr>
        <w:t>行政院</w:t>
      </w:r>
      <w:r w:rsidR="004E66F6">
        <w:rPr>
          <w:rFonts w:hint="eastAsia"/>
        </w:rPr>
        <w:t>核定</w:t>
      </w:r>
      <w:r>
        <w:rPr>
          <w:rFonts w:hint="eastAsia"/>
        </w:rPr>
        <w:t>修改計畫內容，截至114年7月底止，本計畫預算執行數占當年度可支用數比率僅9.26%，允宜積極辦理</w:t>
      </w:r>
      <w:r w:rsidR="004E66F6">
        <w:rPr>
          <w:rFonts w:hint="eastAsia"/>
        </w:rPr>
        <w:t>並</w:t>
      </w:r>
      <w:r w:rsidRPr="006835E6">
        <w:rPr>
          <w:rFonts w:hint="eastAsia"/>
        </w:rPr>
        <w:t>密切掌握及督辦各工作項目辦理進度，以利如期如質</w:t>
      </w:r>
      <w:r>
        <w:rPr>
          <w:rFonts w:hint="eastAsia"/>
        </w:rPr>
        <w:t>完成每年度規劃之工作項目。</w:t>
      </w:r>
    </w:p>
    <w:bookmarkEnd w:id="6"/>
    <w:bookmarkEnd w:id="7"/>
    <w:bookmarkEnd w:id="2"/>
    <w:bookmarkEnd w:id="3"/>
    <w:bookmarkEnd w:id="4"/>
    <w:bookmarkEnd w:id="5"/>
    <w:sectPr w:rsidR="00E73269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5151C5">
      <w:rPr>
        <w:rStyle w:val="af2"/>
        <w:rFonts w:ascii="標楷體" w:hAnsi="標楷體"/>
        <w:noProof/>
      </w:rPr>
      <w:t>3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1C5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B7228540-3E82-4651-9F3F-38E7B046C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63271-67EF-42D1-B158-27F97264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