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06" w:rsidRPr="00AF6460" w:rsidRDefault="001E579D" w:rsidP="001A3569">
      <w:pPr>
        <w:pStyle w:val="aa"/>
        <w:rPr>
          <w:rFonts w:hAnsi="標楷體" w:hint="eastAsia"/>
        </w:rPr>
      </w:pPr>
      <w:bookmarkStart w:id="0" w:name="_GoBack"/>
      <w:bookmarkEnd w:id="0"/>
      <w:r w:rsidRPr="00AF6460">
        <w:rPr>
          <w:rFonts w:hAnsi="標楷體" w:hint="eastAsia"/>
        </w:rPr>
        <w:t>外交部主管11</w:t>
      </w:r>
      <w:r w:rsidR="007D7E64" w:rsidRPr="00AF6460">
        <w:rPr>
          <w:rFonts w:hAnsi="標楷體" w:hint="eastAsia"/>
        </w:rPr>
        <w:t>5</w:t>
      </w:r>
      <w:r w:rsidRPr="00AF6460">
        <w:rPr>
          <w:rFonts w:hAnsi="標楷體" w:hint="eastAsia"/>
        </w:rPr>
        <w:t>年度單位預算評估報告</w:t>
      </w:r>
    </w:p>
    <w:p w:rsidR="00A72FE2" w:rsidRPr="00AF6460" w:rsidRDefault="001E579D" w:rsidP="001A3569">
      <w:pPr>
        <w:pStyle w:val="a8"/>
        <w:ind w:firstLine="566"/>
        <w:rPr>
          <w:rFonts w:hAnsi="標楷體"/>
        </w:rPr>
      </w:pPr>
      <w:bookmarkStart w:id="1" w:name="_Toc114479777"/>
      <w:r w:rsidRPr="00AF6460">
        <w:rPr>
          <w:rFonts w:hAnsi="標楷體" w:hint="eastAsia"/>
        </w:rPr>
        <w:t>外交部主管11</w:t>
      </w:r>
      <w:r w:rsidR="007F36D7" w:rsidRPr="00AF6460">
        <w:rPr>
          <w:rFonts w:hAnsi="標楷體" w:hint="eastAsia"/>
        </w:rPr>
        <w:t>5</w:t>
      </w:r>
      <w:r w:rsidRPr="00AF6460">
        <w:rPr>
          <w:rFonts w:hAnsi="標楷體" w:hint="eastAsia"/>
        </w:rPr>
        <w:t>年度預算案</w:t>
      </w:r>
      <w:r w:rsidR="00DE2C33" w:rsidRPr="00AF6460">
        <w:rPr>
          <w:rFonts w:hAnsi="標楷體" w:hint="eastAsia"/>
        </w:rPr>
        <w:t>歲入</w:t>
      </w:r>
      <w:r w:rsidRPr="00AF6460">
        <w:rPr>
          <w:rFonts w:hAnsi="標楷體" w:hint="eastAsia"/>
        </w:rPr>
        <w:t>編列</w:t>
      </w:r>
      <w:r w:rsidR="00C910F2" w:rsidRPr="00AF6460">
        <w:rPr>
          <w:rFonts w:hAnsi="標楷體" w:hint="eastAsia"/>
        </w:rPr>
        <w:t>39億3,805萬1</w:t>
      </w:r>
      <w:r w:rsidRPr="00AF6460">
        <w:rPr>
          <w:rFonts w:hAnsi="標楷體" w:hint="eastAsia"/>
        </w:rPr>
        <w:t>千元，較11</w:t>
      </w:r>
      <w:r w:rsidR="00501AF2" w:rsidRPr="00AF6460">
        <w:rPr>
          <w:rFonts w:hAnsi="標楷體" w:hint="eastAsia"/>
        </w:rPr>
        <w:t>4</w:t>
      </w:r>
      <w:r w:rsidRPr="00AF6460">
        <w:rPr>
          <w:rFonts w:hAnsi="標楷體" w:hint="eastAsia"/>
        </w:rPr>
        <w:t>年度預算數</w:t>
      </w:r>
      <w:r w:rsidR="00F212E1" w:rsidRPr="00AF6460">
        <w:rPr>
          <w:rFonts w:hAnsi="標楷體" w:hint="eastAsia"/>
        </w:rPr>
        <w:t>43億4,637萬9</w:t>
      </w:r>
      <w:r w:rsidR="00B93224" w:rsidRPr="00AF6460">
        <w:rPr>
          <w:rFonts w:hAnsi="標楷體" w:hint="eastAsia"/>
        </w:rPr>
        <w:t>千元</w:t>
      </w:r>
      <w:r w:rsidR="00882731" w:rsidRPr="00AF6460">
        <w:rPr>
          <w:rFonts w:hAnsi="標楷體" w:hint="eastAsia"/>
        </w:rPr>
        <w:t>減少</w:t>
      </w:r>
      <w:r w:rsidR="00D9394E" w:rsidRPr="00AF6460">
        <w:rPr>
          <w:rFonts w:hAnsi="標楷體" w:hint="eastAsia"/>
        </w:rPr>
        <w:t>4億832萬8千</w:t>
      </w:r>
      <w:r w:rsidRPr="00AF6460">
        <w:rPr>
          <w:rFonts w:hAnsi="標楷體" w:hint="eastAsia"/>
        </w:rPr>
        <w:t>元(</w:t>
      </w:r>
      <w:r w:rsidR="00A1587D" w:rsidRPr="00AF6460">
        <w:rPr>
          <w:rFonts w:hAnsi="標楷體" w:hint="eastAsia"/>
        </w:rPr>
        <w:t>減</w:t>
      </w:r>
      <w:r w:rsidRPr="00AF6460">
        <w:rPr>
          <w:rFonts w:hAnsi="標楷體" w:hint="eastAsia"/>
        </w:rPr>
        <w:t>幅</w:t>
      </w:r>
      <w:r w:rsidR="00D9394E" w:rsidRPr="00AF6460">
        <w:rPr>
          <w:rFonts w:hAnsi="標楷體" w:hint="eastAsia"/>
        </w:rPr>
        <w:t>9.39</w:t>
      </w:r>
      <w:r w:rsidRPr="00AF6460">
        <w:rPr>
          <w:rFonts w:hAnsi="標楷體" w:hint="eastAsia"/>
        </w:rPr>
        <w:t>%)</w:t>
      </w:r>
      <w:r w:rsidR="00645418" w:rsidRPr="00AF6460">
        <w:rPr>
          <w:rFonts w:hAnsi="標楷體" w:hint="eastAsia"/>
        </w:rPr>
        <w:t>，</w:t>
      </w:r>
      <w:r w:rsidR="00F212E1" w:rsidRPr="00AF6460">
        <w:rPr>
          <w:rFonts w:hAnsi="標楷體" w:hint="eastAsia"/>
        </w:rPr>
        <w:t>主要係減列護照收入所致；</w:t>
      </w:r>
      <w:r w:rsidRPr="00AF6460">
        <w:rPr>
          <w:rFonts w:hAnsi="標楷體" w:hint="eastAsia"/>
        </w:rPr>
        <w:t>歲出</w:t>
      </w:r>
      <w:r w:rsidR="00DE2C33" w:rsidRPr="00AF6460">
        <w:rPr>
          <w:rFonts w:hAnsi="標楷體" w:hint="eastAsia"/>
        </w:rPr>
        <w:t>編列</w:t>
      </w:r>
      <w:r w:rsidR="00E32D1D" w:rsidRPr="00AF6460">
        <w:rPr>
          <w:rFonts w:hAnsi="標楷體" w:hint="eastAsia"/>
        </w:rPr>
        <w:t>415億320萬5</w:t>
      </w:r>
      <w:r w:rsidRPr="00AF6460">
        <w:rPr>
          <w:rFonts w:hAnsi="標楷體" w:hint="eastAsia"/>
        </w:rPr>
        <w:t>千元，較</w:t>
      </w:r>
      <w:r w:rsidR="005E6783" w:rsidRPr="00AF6460">
        <w:rPr>
          <w:rFonts w:hAnsi="標楷體" w:hint="eastAsia"/>
        </w:rPr>
        <w:t>11</w:t>
      </w:r>
      <w:r w:rsidR="00E32D1D" w:rsidRPr="00AF6460">
        <w:rPr>
          <w:rFonts w:hAnsi="標楷體" w:hint="eastAsia"/>
        </w:rPr>
        <w:t>4</w:t>
      </w:r>
      <w:r w:rsidRPr="00AF6460">
        <w:rPr>
          <w:rFonts w:hAnsi="標楷體" w:hint="eastAsia"/>
        </w:rPr>
        <w:t>年度預算數</w:t>
      </w:r>
      <w:r w:rsidR="007A0942" w:rsidRPr="00AF6460">
        <w:rPr>
          <w:rFonts w:hAnsi="標楷體" w:hint="eastAsia"/>
        </w:rPr>
        <w:t>(含追加，下同)</w:t>
      </w:r>
      <w:r w:rsidR="00E32D1D" w:rsidRPr="00AF6460">
        <w:rPr>
          <w:rFonts w:hAnsi="標楷體" w:hint="eastAsia"/>
        </w:rPr>
        <w:t>3</w:t>
      </w:r>
      <w:r w:rsidR="00FE0332" w:rsidRPr="00AF6460">
        <w:rPr>
          <w:rFonts w:hAnsi="標楷體" w:hint="eastAsia"/>
        </w:rPr>
        <w:t>11</w:t>
      </w:r>
      <w:r w:rsidR="00E32D1D" w:rsidRPr="00AF6460">
        <w:rPr>
          <w:rFonts w:hAnsi="標楷體" w:hint="eastAsia"/>
        </w:rPr>
        <w:t>億</w:t>
      </w:r>
      <w:r w:rsidR="00FE0332" w:rsidRPr="00AF6460">
        <w:rPr>
          <w:rFonts w:hAnsi="標楷體" w:hint="eastAsia"/>
        </w:rPr>
        <w:t>7,473</w:t>
      </w:r>
      <w:r w:rsidR="00E32D1D" w:rsidRPr="00AF6460">
        <w:rPr>
          <w:rFonts w:hAnsi="標楷體" w:hint="eastAsia"/>
        </w:rPr>
        <w:t>萬</w:t>
      </w:r>
      <w:r w:rsidR="00B93224" w:rsidRPr="00AF6460">
        <w:rPr>
          <w:rFonts w:hAnsi="標楷體" w:hint="eastAsia"/>
        </w:rPr>
        <w:t>元</w:t>
      </w:r>
      <w:r w:rsidRPr="00AF6460">
        <w:rPr>
          <w:rFonts w:hAnsi="標楷體" w:hint="eastAsia"/>
        </w:rPr>
        <w:t>增加</w:t>
      </w:r>
      <w:r w:rsidR="00E32D1D" w:rsidRPr="00AF6460">
        <w:rPr>
          <w:rFonts w:hAnsi="標楷體" w:hint="eastAsia"/>
        </w:rPr>
        <w:t>10</w:t>
      </w:r>
      <w:r w:rsidR="00FE0332" w:rsidRPr="00AF6460">
        <w:rPr>
          <w:rFonts w:hAnsi="標楷體" w:hint="eastAsia"/>
        </w:rPr>
        <w:t>3</w:t>
      </w:r>
      <w:r w:rsidR="00E32D1D" w:rsidRPr="00AF6460">
        <w:rPr>
          <w:rFonts w:hAnsi="標楷體" w:hint="eastAsia"/>
        </w:rPr>
        <w:t>億</w:t>
      </w:r>
      <w:r w:rsidR="00FE0332" w:rsidRPr="00AF6460">
        <w:rPr>
          <w:rFonts w:hAnsi="標楷體" w:hint="eastAsia"/>
        </w:rPr>
        <w:t>2,847</w:t>
      </w:r>
      <w:r w:rsidR="00E32D1D" w:rsidRPr="00AF6460">
        <w:rPr>
          <w:rFonts w:hAnsi="標楷體" w:hint="eastAsia"/>
        </w:rPr>
        <w:t>萬</w:t>
      </w:r>
      <w:r w:rsidR="00FE0332" w:rsidRPr="00AF6460">
        <w:rPr>
          <w:rFonts w:hAnsi="標楷體" w:hint="eastAsia"/>
        </w:rPr>
        <w:t>5</w:t>
      </w:r>
      <w:r w:rsidRPr="00AF6460">
        <w:rPr>
          <w:rFonts w:hAnsi="標楷體" w:hint="eastAsia"/>
        </w:rPr>
        <w:t>千元(增幅</w:t>
      </w:r>
      <w:r w:rsidR="00C501CE" w:rsidRPr="00AF6460">
        <w:rPr>
          <w:rFonts w:hAnsi="標楷體" w:hint="eastAsia"/>
        </w:rPr>
        <w:t>3</w:t>
      </w:r>
      <w:r w:rsidR="00FE0332" w:rsidRPr="00AF6460">
        <w:rPr>
          <w:rFonts w:hAnsi="標楷體" w:hint="eastAsia"/>
        </w:rPr>
        <w:t>3.13</w:t>
      </w:r>
      <w:r w:rsidRPr="00AF6460">
        <w:rPr>
          <w:rFonts w:hAnsi="標楷體" w:hint="eastAsia"/>
        </w:rPr>
        <w:t>%)</w:t>
      </w:r>
      <w:r w:rsidR="00645418" w:rsidRPr="00AF6460">
        <w:rPr>
          <w:rFonts w:hAnsi="標楷體" w:hint="eastAsia"/>
        </w:rPr>
        <w:t>；</w:t>
      </w:r>
      <w:r w:rsidR="00DB14BD" w:rsidRPr="00AF6460">
        <w:rPr>
          <w:rFonts w:hAnsi="標楷體" w:hint="eastAsia"/>
        </w:rPr>
        <w:t>主要</w:t>
      </w:r>
      <w:r w:rsidR="007A66EF" w:rsidRPr="00AF6460">
        <w:rPr>
          <w:rFonts w:hAnsi="標楷體" w:hint="eastAsia"/>
        </w:rPr>
        <w:t>增</w:t>
      </w:r>
      <w:r w:rsidR="00B126C6" w:rsidRPr="00AF6460">
        <w:rPr>
          <w:rFonts w:hAnsi="標楷體" w:hint="eastAsia"/>
        </w:rPr>
        <w:t>加</w:t>
      </w:r>
      <w:r w:rsidR="007A66EF" w:rsidRPr="00AF6460">
        <w:rPr>
          <w:rFonts w:hAnsi="標楷體" w:hint="eastAsia"/>
        </w:rPr>
        <w:t>項目為</w:t>
      </w:r>
      <w:r w:rsidR="000F1900" w:rsidRPr="00AF6460">
        <w:rPr>
          <w:rFonts w:hAnsi="標楷體" w:hint="eastAsia"/>
        </w:rPr>
        <w:t>增列雙邊</w:t>
      </w:r>
      <w:r w:rsidR="0066367A" w:rsidRPr="00AF6460">
        <w:rPr>
          <w:rFonts w:hAnsi="標楷體" w:hint="eastAsia"/>
        </w:rPr>
        <w:t>及多邊</w:t>
      </w:r>
      <w:r w:rsidR="000F1900" w:rsidRPr="00AF6460">
        <w:rPr>
          <w:rFonts w:hAnsi="標楷體" w:hint="eastAsia"/>
        </w:rPr>
        <w:t>合作計畫、增列國際會議及交流經費、</w:t>
      </w:r>
      <w:r w:rsidR="00C501CE" w:rsidRPr="00AF6460">
        <w:rPr>
          <w:rFonts w:hAnsi="標楷體" w:hint="eastAsia"/>
        </w:rPr>
        <w:t>新增捐助財團法人國際合作發展基金會(下稱國合會)、</w:t>
      </w:r>
      <w:r w:rsidR="00D12636" w:rsidRPr="00AF6460">
        <w:rPr>
          <w:rFonts w:hAnsi="標楷體" w:hint="eastAsia"/>
        </w:rPr>
        <w:t>配合114年度軍公教人員</w:t>
      </w:r>
      <w:r w:rsidR="0020550F" w:rsidRPr="00AF6460">
        <w:rPr>
          <w:rFonts w:hAnsi="標楷體" w:hint="eastAsia"/>
        </w:rPr>
        <w:t>待遇</w:t>
      </w:r>
      <w:r w:rsidR="00D12636" w:rsidRPr="00AF6460">
        <w:rPr>
          <w:rFonts w:hAnsi="標楷體" w:hint="eastAsia"/>
        </w:rPr>
        <w:t>調</w:t>
      </w:r>
      <w:r w:rsidR="0020550F" w:rsidRPr="00AF6460">
        <w:rPr>
          <w:rFonts w:hAnsi="標楷體" w:hint="eastAsia"/>
        </w:rPr>
        <w:t>整</w:t>
      </w:r>
      <w:r w:rsidR="00D12636" w:rsidRPr="00AF6460">
        <w:rPr>
          <w:rFonts w:hAnsi="標楷體" w:hint="eastAsia"/>
        </w:rPr>
        <w:t>伸算</w:t>
      </w:r>
      <w:r w:rsidR="0020550F" w:rsidRPr="00AF6460">
        <w:rPr>
          <w:rFonts w:hAnsi="標楷體" w:hint="eastAsia"/>
        </w:rPr>
        <w:t>人事費</w:t>
      </w:r>
      <w:r w:rsidR="00D12636" w:rsidRPr="00AF6460">
        <w:rPr>
          <w:rStyle w:val="af2"/>
          <w:rFonts w:hAnsi="標楷體"/>
        </w:rPr>
        <w:footnoteReference w:id="1"/>
      </w:r>
      <w:r w:rsidR="00D12636" w:rsidRPr="00AF6460">
        <w:rPr>
          <w:rFonts w:hAnsi="標楷體" w:hint="eastAsia"/>
        </w:rPr>
        <w:t>及駐外人員健保補助</w:t>
      </w:r>
      <w:r w:rsidR="00DB14BD" w:rsidRPr="00AF6460">
        <w:rPr>
          <w:rFonts w:hAnsi="標楷體" w:hint="eastAsia"/>
        </w:rPr>
        <w:t>等</w:t>
      </w:r>
      <w:r w:rsidR="00645418" w:rsidRPr="00AF6460">
        <w:rPr>
          <w:rFonts w:hAnsi="標楷體" w:hint="eastAsia"/>
        </w:rPr>
        <w:t>經費</w:t>
      </w:r>
      <w:r w:rsidRPr="00AF6460">
        <w:rPr>
          <w:rFonts w:hAnsi="標楷體" w:hint="eastAsia"/>
        </w:rPr>
        <w:t>。</w:t>
      </w:r>
      <w:r w:rsidR="00085161" w:rsidRPr="00AF6460">
        <w:rPr>
          <w:rFonts w:hAnsi="標楷體" w:hint="eastAsia"/>
        </w:rPr>
        <w:t>謹就11</w:t>
      </w:r>
      <w:r w:rsidR="00D12636" w:rsidRPr="00AF6460">
        <w:rPr>
          <w:rFonts w:hAnsi="標楷體" w:hint="eastAsia"/>
        </w:rPr>
        <w:t>5</w:t>
      </w:r>
      <w:r w:rsidR="00085161" w:rsidRPr="00AF6460">
        <w:rPr>
          <w:rFonts w:hAnsi="標楷體" w:hint="eastAsia"/>
        </w:rPr>
        <w:t>年度預算案</w:t>
      </w:r>
      <w:r w:rsidR="00801BBD" w:rsidRPr="00AF6460">
        <w:rPr>
          <w:rFonts w:hAnsi="標楷體" w:hint="eastAsia"/>
        </w:rPr>
        <w:t>評析</w:t>
      </w:r>
      <w:r w:rsidR="00085161" w:rsidRPr="00AF6460">
        <w:rPr>
          <w:rFonts w:hAnsi="標楷體" w:hint="eastAsia"/>
        </w:rPr>
        <w:t>如下：</w:t>
      </w:r>
    </w:p>
    <w:p w:rsidR="001E720B" w:rsidRPr="00AF6460" w:rsidRDefault="001E720B" w:rsidP="001A3569">
      <w:pPr>
        <w:pStyle w:val="14"/>
        <w:ind w:left="567" w:hanging="567"/>
        <w:rPr>
          <w:rFonts w:hAnsi="標楷體" w:hint="eastAsia"/>
        </w:rPr>
      </w:pPr>
      <w:bookmarkStart w:id="2" w:name="_Toc143853829"/>
      <w:bookmarkStart w:id="3" w:name="_Toc148095060"/>
      <w:bookmarkStart w:id="4" w:name="_Toc213071604"/>
      <w:bookmarkEnd w:id="1"/>
      <w:r w:rsidRPr="00AF6460">
        <w:rPr>
          <w:rFonts w:hAnsi="標楷體" w:hint="eastAsia"/>
        </w:rPr>
        <w:t>二、近年國際合作及關懷預算保留數、比率及賸餘數大幅增加，允宜研酌</w:t>
      </w:r>
      <w:r w:rsidR="00ED378D" w:rsidRPr="00AF6460">
        <w:rPr>
          <w:rFonts w:hAnsi="標楷體" w:hint="eastAsia"/>
        </w:rPr>
        <w:t>按</w:t>
      </w:r>
      <w:r w:rsidR="00CD3154" w:rsidRPr="00AF6460">
        <w:rPr>
          <w:rFonts w:hAnsi="標楷體" w:hint="eastAsia"/>
        </w:rPr>
        <w:t>執行期程</w:t>
      </w:r>
      <w:r w:rsidRPr="00AF6460">
        <w:rPr>
          <w:rFonts w:hAnsi="標楷體" w:hint="eastAsia"/>
        </w:rPr>
        <w:t>分年編列預算，俾符實際</w:t>
      </w:r>
      <w:bookmarkEnd w:id="4"/>
    </w:p>
    <w:p w:rsidR="001E720B" w:rsidRPr="00AF6460" w:rsidRDefault="001E720B" w:rsidP="00CA5EC1">
      <w:pPr>
        <w:ind w:left="566" w:firstLine="566"/>
      </w:pPr>
      <w:r w:rsidRPr="00AF6460">
        <w:rPr>
          <w:rFonts w:hint="eastAsia"/>
        </w:rPr>
        <w:t>外交部115年度預算案編列「國際合作及關懷」業務計畫經費</w:t>
      </w:r>
      <w:r w:rsidR="001B1F91" w:rsidRPr="00AF6460">
        <w:rPr>
          <w:rFonts w:hint="eastAsia"/>
        </w:rPr>
        <w:t>202億8,484萬2</w:t>
      </w:r>
      <w:r w:rsidRPr="00AF6460">
        <w:rPr>
          <w:rFonts w:hint="eastAsia"/>
        </w:rPr>
        <w:t>千元，辦理駐外技術服務、雙邊及多邊合作計畫、</w:t>
      </w:r>
      <w:r w:rsidR="001B1F91" w:rsidRPr="00AF6460">
        <w:rPr>
          <w:rFonts w:hint="eastAsia"/>
        </w:rPr>
        <w:t>對國際之關懷救助及重建</w:t>
      </w:r>
      <w:r w:rsidRPr="00AF6460">
        <w:rPr>
          <w:rFonts w:hint="eastAsia"/>
        </w:rPr>
        <w:t>等事務，占1</w:t>
      </w:r>
      <w:r w:rsidRPr="00AF6460">
        <w:t>1</w:t>
      </w:r>
      <w:r w:rsidR="001B1F91" w:rsidRPr="00AF6460">
        <w:rPr>
          <w:rFonts w:hint="eastAsia"/>
        </w:rPr>
        <w:t>5</w:t>
      </w:r>
      <w:r w:rsidRPr="00AF6460">
        <w:rPr>
          <w:rFonts w:hint="eastAsia"/>
        </w:rPr>
        <w:t>年度歲出公開預算之</w:t>
      </w:r>
      <w:r w:rsidR="001B1F91" w:rsidRPr="00AF6460">
        <w:rPr>
          <w:rFonts w:hint="eastAsia"/>
        </w:rPr>
        <w:t>53.65</w:t>
      </w:r>
      <w:r w:rsidRPr="00AF6460">
        <w:rPr>
          <w:rFonts w:hint="eastAsia"/>
        </w:rPr>
        <w:t>%，較11</w:t>
      </w:r>
      <w:r w:rsidR="004D7C61" w:rsidRPr="00AF6460">
        <w:rPr>
          <w:rFonts w:hint="eastAsia"/>
        </w:rPr>
        <w:t>4</w:t>
      </w:r>
      <w:r w:rsidRPr="00AF6460">
        <w:rPr>
          <w:rFonts w:hint="eastAsia"/>
        </w:rPr>
        <w:t>年度預算數</w:t>
      </w:r>
      <w:r w:rsidR="00237947" w:rsidRPr="00AF6460">
        <w:rPr>
          <w:rFonts w:hint="eastAsia"/>
        </w:rPr>
        <w:t>118億461萬4</w:t>
      </w:r>
      <w:r w:rsidRPr="00AF6460">
        <w:rPr>
          <w:rFonts w:hint="eastAsia"/>
        </w:rPr>
        <w:t>千元</w:t>
      </w:r>
      <w:r w:rsidR="004D7C61" w:rsidRPr="00AF6460">
        <w:rPr>
          <w:rFonts w:hint="eastAsia"/>
        </w:rPr>
        <w:t>增加</w:t>
      </w:r>
      <w:r w:rsidR="00237947" w:rsidRPr="00AF6460">
        <w:rPr>
          <w:rFonts w:hint="eastAsia"/>
        </w:rPr>
        <w:t>84億8,022萬8千</w:t>
      </w:r>
      <w:r w:rsidRPr="00AF6460">
        <w:rPr>
          <w:rFonts w:hint="eastAsia"/>
        </w:rPr>
        <w:t>元(</w:t>
      </w:r>
      <w:r w:rsidR="00237947" w:rsidRPr="00AF6460">
        <w:rPr>
          <w:rFonts w:hint="eastAsia"/>
        </w:rPr>
        <w:t>增</w:t>
      </w:r>
      <w:r w:rsidRPr="00AF6460">
        <w:rPr>
          <w:rFonts w:hint="eastAsia"/>
        </w:rPr>
        <w:t>幅</w:t>
      </w:r>
      <w:r w:rsidR="00237947" w:rsidRPr="00AF6460">
        <w:rPr>
          <w:rFonts w:hint="eastAsia"/>
        </w:rPr>
        <w:t>71.84</w:t>
      </w:r>
      <w:r w:rsidRPr="00AF6460">
        <w:rPr>
          <w:rFonts w:hint="eastAsia"/>
        </w:rPr>
        <w:t>%)，係</w:t>
      </w:r>
      <w:r w:rsidR="001B1F91" w:rsidRPr="00AF6460">
        <w:rPr>
          <w:rFonts w:hint="eastAsia"/>
        </w:rPr>
        <w:t>增列捐助國合會與加強雙邊及多邊合作經費、減列國際重大災變救援款</w:t>
      </w:r>
      <w:r w:rsidRPr="00AF6460">
        <w:rPr>
          <w:rFonts w:hint="eastAsia"/>
        </w:rPr>
        <w:t>等。經查：</w:t>
      </w:r>
    </w:p>
    <w:p w:rsidR="001E720B" w:rsidRPr="00AF6460" w:rsidRDefault="001E720B" w:rsidP="001A3569">
      <w:pPr>
        <w:pStyle w:val="a4"/>
        <w:ind w:left="849" w:hanging="283"/>
        <w:rPr>
          <w:rFonts w:hAnsi="標楷體"/>
          <w:b/>
        </w:rPr>
      </w:pPr>
      <w:r w:rsidRPr="00AF6460">
        <w:rPr>
          <w:rFonts w:hAnsi="標楷體" w:hint="eastAsia"/>
          <w:b/>
        </w:rPr>
        <w:t>(一)近年國際合作及關懷預算保留數、比率及賸餘數大幅增加</w:t>
      </w:r>
    </w:p>
    <w:p w:rsidR="005D017D" w:rsidRPr="00AF6460" w:rsidRDefault="0013763F" w:rsidP="00CA5EC1">
      <w:pPr>
        <w:pStyle w:val="21"/>
        <w:ind w:left="850" w:firstLine="566"/>
      </w:pPr>
      <w:r w:rsidRPr="00AF6460">
        <w:rPr>
          <w:rFonts w:hint="eastAsia"/>
        </w:rPr>
        <w:t>自105年度以來，</w:t>
      </w:r>
      <w:r w:rsidR="001E720B" w:rsidRPr="00AF6460">
        <w:rPr>
          <w:rFonts w:hint="eastAsia"/>
        </w:rPr>
        <w:t>外交部「國際合作及關懷」業務計畫</w:t>
      </w:r>
      <w:r w:rsidRPr="00AF6460">
        <w:rPr>
          <w:rFonts w:hint="eastAsia"/>
        </w:rPr>
        <w:t>以109年度劃分，109年度前預算經費約90億餘元規模，自109年度起各年度因業務需求而有高低，惟規模皆高於百億元，最高為112年度</w:t>
      </w:r>
      <w:r w:rsidRPr="00AF6460">
        <w:t>142</w:t>
      </w:r>
      <w:r w:rsidRPr="00AF6460">
        <w:rPr>
          <w:rFonts w:hint="eastAsia"/>
        </w:rPr>
        <w:t>億</w:t>
      </w:r>
      <w:r w:rsidRPr="00AF6460">
        <w:t>6</w:t>
      </w:r>
      <w:r w:rsidRPr="00AF6460">
        <w:rPr>
          <w:rFonts w:hint="eastAsia"/>
        </w:rPr>
        <w:t>,</w:t>
      </w:r>
      <w:r w:rsidRPr="00AF6460">
        <w:t>570</w:t>
      </w:r>
      <w:r w:rsidRPr="00AF6460">
        <w:rPr>
          <w:rFonts w:hint="eastAsia"/>
        </w:rPr>
        <w:t>萬</w:t>
      </w:r>
      <w:r w:rsidRPr="00AF6460">
        <w:t>8</w:t>
      </w:r>
      <w:r w:rsidRPr="00AF6460">
        <w:rPr>
          <w:rFonts w:hint="eastAsia"/>
        </w:rPr>
        <w:t>千元</w:t>
      </w:r>
      <w:r w:rsidR="003C619D" w:rsidRPr="00AF6460">
        <w:rPr>
          <w:rFonts w:hint="eastAsia"/>
        </w:rPr>
        <w:t>；</w:t>
      </w:r>
      <w:r w:rsidR="001E720B" w:rsidRPr="00AF6460">
        <w:rPr>
          <w:rFonts w:hint="eastAsia"/>
        </w:rPr>
        <w:t>揆以執行結果，105及106年度</w:t>
      </w:r>
      <w:r w:rsidR="007A0942">
        <w:rPr>
          <w:rFonts w:hint="eastAsia"/>
        </w:rPr>
        <w:t>恐</w:t>
      </w:r>
      <w:r w:rsidRPr="00AF6460">
        <w:rPr>
          <w:rFonts w:hint="eastAsia"/>
        </w:rPr>
        <w:t>因預算較低使</w:t>
      </w:r>
      <w:r w:rsidR="001E720B" w:rsidRPr="00AF6460">
        <w:rPr>
          <w:rFonts w:hint="eastAsia"/>
        </w:rPr>
        <w:t>實現比率</w:t>
      </w:r>
      <w:r w:rsidR="003C619D" w:rsidRPr="00AF6460">
        <w:rPr>
          <w:rFonts w:hint="eastAsia"/>
        </w:rPr>
        <w:t>得</w:t>
      </w:r>
      <w:r w:rsidR="001E720B" w:rsidRPr="00AF6460">
        <w:rPr>
          <w:rFonts w:hint="eastAsia"/>
        </w:rPr>
        <w:t>高於</w:t>
      </w:r>
      <w:r w:rsidRPr="00AF6460">
        <w:rPr>
          <w:rFonts w:hint="eastAsia"/>
        </w:rPr>
        <w:t>七成</w:t>
      </w:r>
      <w:r w:rsidR="001E720B" w:rsidRPr="00AF6460">
        <w:rPr>
          <w:rFonts w:hint="eastAsia"/>
        </w:rPr>
        <w:t>，</w:t>
      </w:r>
      <w:r w:rsidR="003C619D" w:rsidRPr="00AF6460">
        <w:rPr>
          <w:rFonts w:hint="eastAsia"/>
        </w:rPr>
        <w:t>其後</w:t>
      </w:r>
      <w:r w:rsidR="001E720B" w:rsidRPr="00AF6460">
        <w:rPr>
          <w:rFonts w:hint="eastAsia"/>
        </w:rPr>
        <w:t>遞減至110年度</w:t>
      </w:r>
      <w:r w:rsidR="001E720B" w:rsidRPr="00AF6460">
        <w:t>34.02</w:t>
      </w:r>
      <w:r w:rsidR="001E720B" w:rsidRPr="00AF6460">
        <w:rPr>
          <w:rFonts w:hint="eastAsia"/>
        </w:rPr>
        <w:t>%，</w:t>
      </w:r>
      <w:r w:rsidR="003C619D" w:rsidRPr="00AF6460">
        <w:rPr>
          <w:rFonts w:hint="eastAsia"/>
        </w:rPr>
        <w:t>111至113</w:t>
      </w:r>
      <w:r w:rsidR="001E720B" w:rsidRPr="00AF6460">
        <w:rPr>
          <w:rFonts w:hint="eastAsia"/>
        </w:rPr>
        <w:t>年度</w:t>
      </w:r>
      <w:r w:rsidR="003C619D" w:rsidRPr="00AF6460">
        <w:rPr>
          <w:rFonts w:hint="eastAsia"/>
        </w:rPr>
        <w:t>雖回升卻仍</w:t>
      </w:r>
      <w:r w:rsidR="00741212" w:rsidRPr="00AF6460">
        <w:rPr>
          <w:rFonts w:hint="eastAsia"/>
        </w:rPr>
        <w:t>未能高</w:t>
      </w:r>
      <w:r w:rsidR="003C619D" w:rsidRPr="00AF6460">
        <w:rPr>
          <w:rFonts w:hint="eastAsia"/>
        </w:rPr>
        <w:t>於五成</w:t>
      </w:r>
      <w:r w:rsidR="001E720B" w:rsidRPr="00AF6460">
        <w:rPr>
          <w:rFonts w:hint="eastAsia"/>
        </w:rPr>
        <w:t>，11</w:t>
      </w:r>
      <w:r w:rsidR="00920EDF" w:rsidRPr="00AF6460">
        <w:rPr>
          <w:rFonts w:hint="eastAsia"/>
        </w:rPr>
        <w:t>4</w:t>
      </w:r>
      <w:r w:rsidR="001E720B" w:rsidRPr="00AF6460">
        <w:rPr>
          <w:rFonts w:hint="eastAsia"/>
        </w:rPr>
        <w:t>年度</w:t>
      </w:r>
      <w:r w:rsidR="001C399B" w:rsidRPr="00AF6460">
        <w:rPr>
          <w:rFonts w:hint="eastAsia"/>
        </w:rPr>
        <w:t>至</w:t>
      </w:r>
      <w:r w:rsidR="001E720B" w:rsidRPr="00AF6460">
        <w:rPr>
          <w:rFonts w:hint="eastAsia"/>
        </w:rPr>
        <w:t>7月僅12.02%</w:t>
      </w:r>
      <w:r w:rsidR="005D017D" w:rsidRPr="00AF6460">
        <w:rPr>
          <w:rFonts w:hint="eastAsia"/>
        </w:rPr>
        <w:t>(詳表1)</w:t>
      </w:r>
      <w:r w:rsidR="003C619D" w:rsidRPr="00AF6460">
        <w:rPr>
          <w:rFonts w:hint="eastAsia"/>
        </w:rPr>
        <w:t>，</w:t>
      </w:r>
      <w:r w:rsidR="007A0942">
        <w:rPr>
          <w:rFonts w:hint="eastAsia"/>
        </w:rPr>
        <w:t>預算實現比率</w:t>
      </w:r>
      <w:r w:rsidR="003C619D" w:rsidRPr="00AF6460">
        <w:rPr>
          <w:rFonts w:hint="eastAsia"/>
        </w:rPr>
        <w:t>欠佳</w:t>
      </w:r>
      <w:r w:rsidR="005D017D" w:rsidRPr="00AF6460">
        <w:rPr>
          <w:rFonts w:hint="eastAsia"/>
        </w:rPr>
        <w:t>。</w:t>
      </w:r>
    </w:p>
    <w:p w:rsidR="001E720B" w:rsidRPr="00AF6460" w:rsidRDefault="00A33A37" w:rsidP="00CA5EC1">
      <w:pPr>
        <w:pStyle w:val="21"/>
        <w:ind w:left="850" w:firstLine="566"/>
      </w:pPr>
      <w:r w:rsidRPr="00AF6460">
        <w:rPr>
          <w:rFonts w:hint="eastAsia"/>
        </w:rPr>
        <w:lastRenderedPageBreak/>
        <w:t>另</w:t>
      </w:r>
      <w:r w:rsidR="008E7A45" w:rsidRPr="00AF6460">
        <w:rPr>
          <w:rFonts w:hint="eastAsia"/>
        </w:rPr>
        <w:t>保留數隨著經費規模成長大為增加，</w:t>
      </w:r>
      <w:r w:rsidR="001E720B" w:rsidRPr="00AF6460">
        <w:rPr>
          <w:rFonts w:hint="eastAsia"/>
        </w:rPr>
        <w:t>11</w:t>
      </w:r>
      <w:r w:rsidR="003C619D" w:rsidRPr="00AF6460">
        <w:rPr>
          <w:rFonts w:hint="eastAsia"/>
        </w:rPr>
        <w:t>3</w:t>
      </w:r>
      <w:r w:rsidR="001E720B" w:rsidRPr="00AF6460">
        <w:rPr>
          <w:rFonts w:hint="eastAsia"/>
        </w:rPr>
        <w:t>年度保留數</w:t>
      </w:r>
      <w:r w:rsidR="003C619D" w:rsidRPr="00AF6460">
        <w:t>60</w:t>
      </w:r>
      <w:r w:rsidR="003C619D" w:rsidRPr="00AF6460">
        <w:rPr>
          <w:rFonts w:hint="eastAsia"/>
        </w:rPr>
        <w:t>億</w:t>
      </w:r>
      <w:r w:rsidR="003C619D" w:rsidRPr="00AF6460">
        <w:t>5,540</w:t>
      </w:r>
      <w:r w:rsidR="003C619D" w:rsidRPr="00AF6460">
        <w:rPr>
          <w:rFonts w:hint="eastAsia"/>
        </w:rPr>
        <w:t>萬</w:t>
      </w:r>
      <w:r w:rsidR="003C619D" w:rsidRPr="00AF6460">
        <w:t>5</w:t>
      </w:r>
      <w:r w:rsidR="001E720B" w:rsidRPr="00AF6460">
        <w:rPr>
          <w:rFonts w:hint="eastAsia"/>
        </w:rPr>
        <w:t>千元</w:t>
      </w:r>
      <w:r w:rsidR="003C619D" w:rsidRPr="00AF6460">
        <w:rPr>
          <w:rFonts w:hint="eastAsia"/>
        </w:rPr>
        <w:t>雖低於112年度，卻</w:t>
      </w:r>
      <w:r w:rsidR="007A0942">
        <w:rPr>
          <w:rFonts w:hint="eastAsia"/>
        </w:rPr>
        <w:t>較</w:t>
      </w:r>
      <w:r w:rsidR="001E720B" w:rsidRPr="00AF6460">
        <w:rPr>
          <w:rFonts w:hint="eastAsia"/>
        </w:rPr>
        <w:t>105年度15億1,563萬6千元</w:t>
      </w:r>
      <w:r w:rsidR="007A0942" w:rsidRPr="00AF6460">
        <w:rPr>
          <w:rFonts w:hint="eastAsia"/>
        </w:rPr>
        <w:t>高出</w:t>
      </w:r>
      <w:r w:rsidR="001E720B" w:rsidRPr="00AF6460">
        <w:rPr>
          <w:rFonts w:hint="eastAsia"/>
        </w:rPr>
        <w:t>近</w:t>
      </w:r>
      <w:r w:rsidR="003C619D" w:rsidRPr="00AF6460">
        <w:rPr>
          <w:rFonts w:hint="eastAsia"/>
        </w:rPr>
        <w:t>3</w:t>
      </w:r>
      <w:r w:rsidR="001E720B" w:rsidRPr="00AF6460">
        <w:rPr>
          <w:rFonts w:hint="eastAsia"/>
        </w:rPr>
        <w:t>倍，保留比率自105年度16.54%上升至11</w:t>
      </w:r>
      <w:r w:rsidR="003C619D" w:rsidRPr="00AF6460">
        <w:rPr>
          <w:rFonts w:hint="eastAsia"/>
        </w:rPr>
        <w:t>2</w:t>
      </w:r>
      <w:r w:rsidR="001E720B" w:rsidRPr="00AF6460">
        <w:rPr>
          <w:rFonts w:hint="eastAsia"/>
        </w:rPr>
        <w:t>年度</w:t>
      </w:r>
      <w:r w:rsidR="003C619D" w:rsidRPr="00AF6460">
        <w:rPr>
          <w:rFonts w:hint="eastAsia"/>
        </w:rPr>
        <w:t>51.53</w:t>
      </w:r>
      <w:r w:rsidR="001E720B" w:rsidRPr="00AF6460">
        <w:rPr>
          <w:rFonts w:hint="eastAsia"/>
        </w:rPr>
        <w:t>%</w:t>
      </w:r>
      <w:r w:rsidR="003C619D" w:rsidRPr="00AF6460">
        <w:rPr>
          <w:rFonts w:hint="eastAsia"/>
        </w:rPr>
        <w:t>後未能有效下降</w:t>
      </w:r>
      <w:r w:rsidR="0069019F" w:rsidRPr="00AF6460">
        <w:rPr>
          <w:rFonts w:hint="eastAsia"/>
        </w:rPr>
        <w:t>，113</w:t>
      </w:r>
      <w:r w:rsidR="0069019F" w:rsidRPr="00AF6460">
        <w:t>年度仍為</w:t>
      </w:r>
      <w:r w:rsidR="0069019F" w:rsidRPr="00AF6460">
        <w:rPr>
          <w:rFonts w:hint="eastAsia"/>
        </w:rPr>
        <w:t>45.69%</w:t>
      </w:r>
      <w:r w:rsidR="001E720B" w:rsidRPr="00AF6460">
        <w:rPr>
          <w:rFonts w:hint="eastAsia"/>
        </w:rPr>
        <w:t>，</w:t>
      </w:r>
      <w:r w:rsidR="00705659" w:rsidRPr="00AF6460">
        <w:rPr>
          <w:rFonts w:hint="eastAsia"/>
        </w:rPr>
        <w:t>且</w:t>
      </w:r>
      <w:r w:rsidR="001E720B" w:rsidRPr="00AF6460">
        <w:rPr>
          <w:rFonts w:hint="eastAsia"/>
        </w:rPr>
        <w:t>賸餘數自109年度起超逾10億元</w:t>
      </w:r>
      <w:r w:rsidR="003C619D" w:rsidRPr="00AF6460">
        <w:rPr>
          <w:rFonts w:hint="eastAsia"/>
        </w:rPr>
        <w:t>，113年度達</w:t>
      </w:r>
      <w:r w:rsidR="003C619D" w:rsidRPr="00AF6460">
        <w:t>22</w:t>
      </w:r>
      <w:r w:rsidR="003C619D" w:rsidRPr="00AF6460">
        <w:rPr>
          <w:rFonts w:hint="eastAsia"/>
        </w:rPr>
        <w:t>億</w:t>
      </w:r>
      <w:r w:rsidR="003C619D" w:rsidRPr="00AF6460">
        <w:t>5,383</w:t>
      </w:r>
      <w:r w:rsidR="003C619D" w:rsidRPr="00AF6460">
        <w:rPr>
          <w:rFonts w:hint="eastAsia"/>
        </w:rPr>
        <w:t>萬元</w:t>
      </w:r>
      <w:r w:rsidR="001E720B" w:rsidRPr="00AF6460">
        <w:rPr>
          <w:rFonts w:hint="eastAsia"/>
        </w:rPr>
        <w:t>(詳表1</w:t>
      </w:r>
      <w:r w:rsidR="001E720B" w:rsidRPr="00AF6460">
        <w:t>)</w:t>
      </w:r>
      <w:r w:rsidR="001E720B" w:rsidRPr="00AF6460">
        <w:rPr>
          <w:rFonts w:hint="eastAsia"/>
        </w:rPr>
        <w:t>，</w:t>
      </w:r>
      <w:r w:rsidR="003C619D" w:rsidRPr="00AF6460">
        <w:rPr>
          <w:rFonts w:hint="eastAsia"/>
        </w:rPr>
        <w:t>預算編列與實際需求容有未合</w:t>
      </w:r>
      <w:r w:rsidR="001E720B" w:rsidRPr="00AF6460">
        <w:rPr>
          <w:rFonts w:hint="eastAsia"/>
        </w:rPr>
        <w:t>。</w:t>
      </w:r>
    </w:p>
    <w:p w:rsidR="0013763F" w:rsidRPr="00AF6460" w:rsidRDefault="001E720B" w:rsidP="001A3569">
      <w:pPr>
        <w:pStyle w:val="ac"/>
        <w:ind w:left="638" w:hangingChars="225" w:hanging="638"/>
        <w:rPr>
          <w:rStyle w:val="2"/>
          <w:rFonts w:hAnsi="標楷體"/>
          <w:b/>
        </w:rPr>
      </w:pPr>
      <w:r w:rsidRPr="00AF6460">
        <w:rPr>
          <w:rStyle w:val="2"/>
          <w:rFonts w:hAnsi="標楷體" w:hint="eastAsia"/>
          <w:b/>
        </w:rPr>
        <w:t>表1</w:t>
      </w:r>
      <w:r w:rsidRPr="00AF6460">
        <w:rPr>
          <w:rStyle w:val="2"/>
          <w:rFonts w:hAnsi="標楷體"/>
          <w:b/>
        </w:rPr>
        <w:t xml:space="preserve"> </w:t>
      </w:r>
      <w:r w:rsidRPr="00AF6460">
        <w:rPr>
          <w:rStyle w:val="2"/>
          <w:rFonts w:hAnsi="標楷體" w:hint="eastAsia"/>
          <w:b/>
        </w:rPr>
        <w:t>外交部</w:t>
      </w:r>
      <w:r w:rsidR="0013763F" w:rsidRPr="00AF6460">
        <w:rPr>
          <w:rStyle w:val="2"/>
          <w:rFonts w:hAnsi="標楷體" w:hint="eastAsia"/>
          <w:b/>
        </w:rPr>
        <w:t>近年度「</w:t>
      </w:r>
      <w:r w:rsidRPr="00AF6460">
        <w:rPr>
          <w:rStyle w:val="2"/>
          <w:rFonts w:hAnsi="標楷體" w:hint="eastAsia"/>
          <w:b/>
        </w:rPr>
        <w:t>國際合作及關懷」業務計畫預算執行情形表</w:t>
      </w:r>
    </w:p>
    <w:p w:rsidR="001E720B" w:rsidRPr="00AF6460" w:rsidRDefault="001E720B" w:rsidP="001A3569">
      <w:pPr>
        <w:pStyle w:val="142"/>
        <w:jc w:val="right"/>
        <w:rPr>
          <w:rStyle w:val="143"/>
        </w:rPr>
      </w:pPr>
      <w:r w:rsidRPr="00AF6460">
        <w:rPr>
          <w:rStyle w:val="2"/>
          <w:rFonts w:hAnsi="標楷體" w:hint="eastAsia"/>
          <w:b/>
        </w:rPr>
        <w:t xml:space="preserve">                                   </w:t>
      </w:r>
      <w:r w:rsidRPr="00AF6460">
        <w:rPr>
          <w:rStyle w:val="143"/>
          <w:rFonts w:hint="eastAsia"/>
        </w:rPr>
        <w:t xml:space="preserve"> </w:t>
      </w:r>
      <w:r w:rsidRPr="00AF6460">
        <w:rPr>
          <w:rStyle w:val="143"/>
        </w:rPr>
        <w:t>單</w:t>
      </w:r>
      <w:r w:rsidRPr="00AF6460">
        <w:rPr>
          <w:rStyle w:val="143"/>
          <w:rFonts w:hint="eastAsia"/>
        </w:rPr>
        <w:t>位：新臺幣千元；%</w:t>
      </w:r>
    </w:p>
    <w:tbl>
      <w:tblPr>
        <w:tblW w:w="5000" w:type="pct"/>
        <w:tblCellMar>
          <w:left w:w="28" w:type="dxa"/>
          <w:right w:w="28" w:type="dxa"/>
        </w:tblCellMar>
        <w:tblLook w:val="04A0" w:firstRow="1" w:lastRow="0" w:firstColumn="1" w:lastColumn="0" w:noHBand="0" w:noVBand="1"/>
      </w:tblPr>
      <w:tblGrid>
        <w:gridCol w:w="704"/>
        <w:gridCol w:w="1495"/>
        <w:gridCol w:w="1337"/>
        <w:gridCol w:w="784"/>
        <w:gridCol w:w="1337"/>
        <w:gridCol w:w="784"/>
        <w:gridCol w:w="1337"/>
        <w:gridCol w:w="782"/>
      </w:tblGrid>
      <w:tr w:rsidR="00705659" w:rsidRPr="00AF6460" w:rsidTr="008E0AFA">
        <w:trPr>
          <w:trHeight w:val="278"/>
        </w:trPr>
        <w:tc>
          <w:tcPr>
            <w:tcW w:w="411" w:type="pct"/>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rsidR="0013763F" w:rsidRPr="00AF6460" w:rsidRDefault="0013763F" w:rsidP="001A3569">
            <w:pPr>
              <w:pStyle w:val="142"/>
              <w:jc w:val="center"/>
              <w:rPr>
                <w:rFonts w:hAnsi="標楷體"/>
                <w:b/>
                <w:bCs/>
                <w:snapToGrid/>
              </w:rPr>
            </w:pPr>
            <w:r w:rsidRPr="00AF6460">
              <w:rPr>
                <w:rFonts w:hAnsi="標楷體" w:hint="eastAsia"/>
                <w:b/>
                <w:bCs/>
                <w:snapToGrid/>
              </w:rPr>
              <w:t>年度</w:t>
            </w:r>
          </w:p>
        </w:tc>
        <w:tc>
          <w:tcPr>
            <w:tcW w:w="873" w:type="pct"/>
            <w:vMerge w:val="restart"/>
            <w:tcBorders>
              <w:top w:val="single" w:sz="12" w:space="0" w:color="auto"/>
              <w:left w:val="nil"/>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預算</w:t>
            </w:r>
          </w:p>
        </w:tc>
        <w:tc>
          <w:tcPr>
            <w:tcW w:w="1239" w:type="pct"/>
            <w:gridSpan w:val="2"/>
            <w:tcBorders>
              <w:top w:val="single" w:sz="12" w:space="0" w:color="auto"/>
              <w:left w:val="nil"/>
              <w:bottom w:val="single" w:sz="8" w:space="0" w:color="auto"/>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實現數</w:t>
            </w:r>
          </w:p>
        </w:tc>
        <w:tc>
          <w:tcPr>
            <w:tcW w:w="1239" w:type="pct"/>
            <w:gridSpan w:val="2"/>
            <w:tcBorders>
              <w:top w:val="single" w:sz="12" w:space="0" w:color="auto"/>
              <w:left w:val="nil"/>
              <w:bottom w:val="single" w:sz="8" w:space="0" w:color="auto"/>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保留數</w:t>
            </w:r>
          </w:p>
        </w:tc>
        <w:tc>
          <w:tcPr>
            <w:tcW w:w="1239" w:type="pct"/>
            <w:gridSpan w:val="2"/>
            <w:tcBorders>
              <w:top w:val="single" w:sz="12" w:space="0" w:color="auto"/>
              <w:left w:val="nil"/>
              <w:bottom w:val="single" w:sz="8" w:space="0" w:color="auto"/>
              <w:right w:val="single" w:sz="12"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賸餘數</w:t>
            </w:r>
          </w:p>
        </w:tc>
      </w:tr>
      <w:tr w:rsidR="00705659" w:rsidRPr="00AF6460" w:rsidTr="008E0AFA">
        <w:trPr>
          <w:trHeight w:val="278"/>
        </w:trPr>
        <w:tc>
          <w:tcPr>
            <w:tcW w:w="411" w:type="pct"/>
            <w:vMerge/>
            <w:tcBorders>
              <w:top w:val="single" w:sz="12" w:space="0" w:color="auto"/>
              <w:left w:val="single" w:sz="12" w:space="0" w:color="auto"/>
              <w:bottom w:val="single" w:sz="8" w:space="0" w:color="000000"/>
              <w:right w:val="single" w:sz="8" w:space="0" w:color="auto"/>
            </w:tcBorders>
            <w:vAlign w:val="center"/>
            <w:hideMark/>
          </w:tcPr>
          <w:p w:rsidR="0013763F" w:rsidRPr="00AF6460" w:rsidRDefault="0013763F" w:rsidP="001A3569">
            <w:pPr>
              <w:pStyle w:val="142"/>
              <w:jc w:val="center"/>
              <w:rPr>
                <w:rFonts w:hAnsi="標楷體"/>
                <w:b/>
                <w:bCs/>
                <w:snapToGrid/>
              </w:rPr>
            </w:pPr>
          </w:p>
        </w:tc>
        <w:tc>
          <w:tcPr>
            <w:tcW w:w="873" w:type="pct"/>
            <w:vMerge/>
            <w:tcBorders>
              <w:left w:val="nil"/>
              <w:bottom w:val="single" w:sz="8" w:space="0" w:color="auto"/>
              <w:right w:val="single" w:sz="8" w:space="0" w:color="000000"/>
            </w:tcBorders>
            <w:shd w:val="clear" w:color="auto" w:fill="auto"/>
            <w:vAlign w:val="center"/>
            <w:hideMark/>
          </w:tcPr>
          <w:p w:rsidR="0013763F" w:rsidRPr="00AF6460" w:rsidRDefault="0013763F" w:rsidP="001A3569">
            <w:pPr>
              <w:pStyle w:val="142"/>
              <w:jc w:val="center"/>
              <w:rPr>
                <w:rFonts w:hAnsi="標楷體" w:hint="eastAsia"/>
                <w:b/>
                <w:bCs/>
                <w:snapToGrid/>
              </w:rPr>
            </w:pPr>
          </w:p>
        </w:tc>
        <w:tc>
          <w:tcPr>
            <w:tcW w:w="781" w:type="pct"/>
            <w:tcBorders>
              <w:top w:val="nil"/>
              <w:left w:val="single" w:sz="8" w:space="0" w:color="000000"/>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金額</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占比</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金額</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占比</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金額</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center"/>
              <w:rPr>
                <w:rFonts w:hAnsi="標楷體" w:hint="eastAsia"/>
                <w:b/>
                <w:bCs/>
                <w:snapToGrid/>
              </w:rPr>
            </w:pPr>
            <w:r w:rsidRPr="00AF6460">
              <w:rPr>
                <w:rFonts w:hAnsi="標楷體" w:hint="eastAsia"/>
                <w:b/>
                <w:bCs/>
                <w:snapToGrid/>
              </w:rPr>
              <w:t>占比</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hint="eastAsia"/>
                <w:snapToGrid/>
              </w:rPr>
            </w:pPr>
            <w:r w:rsidRPr="00AF6460">
              <w:rPr>
                <w:rFonts w:hAnsi="標楷體"/>
                <w:snapToGrid/>
              </w:rPr>
              <w:t>105</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9,161,788</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7,623,050</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83.2</w:t>
            </w:r>
            <w:r w:rsidRPr="00AF6460">
              <w:rPr>
                <w:rFonts w:hAnsi="標楷體" w:hint="eastAsia"/>
                <w:snapToGrid/>
              </w:rPr>
              <w:t xml:space="preserve"> </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1,515,636</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16.54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23,102</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0.25</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106</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9,123,261</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6,685,167</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73.28</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2,364,105</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25.91</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73,989</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0.81</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107</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9,817,980</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6,367,475</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64.86</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2,998,676</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30.54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451,829</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4.6</w:t>
            </w:r>
            <w:r w:rsidRPr="00AF6460">
              <w:rPr>
                <w:rFonts w:hAnsi="標楷體" w:hint="eastAsia"/>
                <w:snapToGrid/>
              </w:rPr>
              <w:t xml:space="preserve"> </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108</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9,569,100</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5,354,235</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55.95</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3,218,160</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33.63</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996,705</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10.42</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109</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11,657,619</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5,770,391</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49.5</w:t>
            </w:r>
            <w:r w:rsidRPr="00AF6460">
              <w:rPr>
                <w:rFonts w:hAnsi="標楷體" w:hint="eastAsia"/>
                <w:snapToGrid/>
              </w:rPr>
              <w:t xml:space="preserve"> </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4,030,643</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34.58</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1,856,585</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15.93</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110</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13,171,022</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4,480,609</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34.02</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6,013,184</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45.65</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2,677,229</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20.33</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111</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12,687,584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4,647,961</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36.63</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6,399,738</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50.44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1,639,885</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12.93</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112</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bookmarkStart w:id="5" w:name="_Hlk209806722"/>
            <w:r w:rsidRPr="00AF6460">
              <w:rPr>
                <w:rFonts w:hAnsi="標楷體"/>
                <w:b/>
                <w:bCs/>
                <w:snapToGrid/>
              </w:rPr>
              <w:t>14,265,708</w:t>
            </w:r>
            <w:bookmarkEnd w:id="5"/>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5,729,507</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40.16</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7,350,594</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51.53</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1,185,607</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8.31</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113</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13,252,829</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4,943,594</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37.3</w:t>
            </w:r>
            <w:r w:rsidRPr="00AF6460">
              <w:rPr>
                <w:rFonts w:hAnsi="標楷體" w:hint="eastAsia"/>
                <w:snapToGrid/>
              </w:rPr>
              <w:t xml:space="preserve"> </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bookmarkStart w:id="6" w:name="_Hlk209807339"/>
            <w:r w:rsidRPr="00AF6460">
              <w:rPr>
                <w:rFonts w:hAnsi="標楷體"/>
                <w:b/>
                <w:bCs/>
                <w:snapToGrid/>
              </w:rPr>
              <w:t>6,055,405</w:t>
            </w:r>
            <w:bookmarkEnd w:id="6"/>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45.69</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2,253,830</w:t>
            </w:r>
          </w:p>
        </w:tc>
        <w:tc>
          <w:tcPr>
            <w:tcW w:w="458" w:type="pct"/>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17.01</w:t>
            </w:r>
          </w:p>
        </w:tc>
      </w:tr>
      <w:tr w:rsidR="00705659" w:rsidRPr="00AF6460" w:rsidTr="008E0AFA">
        <w:trPr>
          <w:trHeight w:val="278"/>
        </w:trPr>
        <w:tc>
          <w:tcPr>
            <w:tcW w:w="411" w:type="pct"/>
            <w:tcBorders>
              <w:top w:val="nil"/>
              <w:left w:val="single" w:sz="12" w:space="0" w:color="auto"/>
              <w:bottom w:val="single" w:sz="8" w:space="0" w:color="auto"/>
              <w:right w:val="single" w:sz="8"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snapToGrid/>
              </w:rPr>
              <w:t>114</w:t>
            </w:r>
          </w:p>
        </w:tc>
        <w:tc>
          <w:tcPr>
            <w:tcW w:w="873"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11,804,614</w:t>
            </w:r>
          </w:p>
        </w:tc>
        <w:tc>
          <w:tcPr>
            <w:tcW w:w="781"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snapToGrid/>
              </w:rPr>
            </w:pPr>
            <w:r w:rsidRPr="00AF6460">
              <w:rPr>
                <w:rFonts w:hAnsi="標楷體"/>
                <w:snapToGrid/>
              </w:rPr>
              <w:t>1,430,599</w:t>
            </w:r>
          </w:p>
        </w:tc>
        <w:tc>
          <w:tcPr>
            <w:tcW w:w="458" w:type="pct"/>
            <w:tcBorders>
              <w:top w:val="nil"/>
              <w:left w:val="nil"/>
              <w:bottom w:val="single" w:sz="8" w:space="0" w:color="auto"/>
              <w:right w:val="single" w:sz="8" w:space="0" w:color="auto"/>
            </w:tcBorders>
            <w:shd w:val="clear" w:color="auto" w:fill="auto"/>
            <w:vAlign w:val="center"/>
            <w:hideMark/>
          </w:tcPr>
          <w:p w:rsidR="0013763F" w:rsidRPr="00AF6460" w:rsidRDefault="0013763F" w:rsidP="001A3569">
            <w:pPr>
              <w:pStyle w:val="142"/>
              <w:jc w:val="right"/>
              <w:rPr>
                <w:rFonts w:hAnsi="標楷體"/>
                <w:b/>
                <w:bCs/>
                <w:snapToGrid/>
              </w:rPr>
            </w:pPr>
            <w:r w:rsidRPr="00AF6460">
              <w:rPr>
                <w:rFonts w:hAnsi="標楷體"/>
                <w:b/>
                <w:bCs/>
                <w:snapToGrid/>
              </w:rPr>
              <w:t>12.12</w:t>
            </w:r>
          </w:p>
        </w:tc>
        <w:tc>
          <w:tcPr>
            <w:tcW w:w="2477" w:type="pct"/>
            <w:gridSpan w:val="4"/>
            <w:tcBorders>
              <w:top w:val="nil"/>
              <w:left w:val="nil"/>
              <w:bottom w:val="single" w:sz="8" w:space="0" w:color="auto"/>
              <w:right w:val="single" w:sz="12" w:space="0" w:color="auto"/>
            </w:tcBorders>
            <w:shd w:val="clear" w:color="auto" w:fill="auto"/>
            <w:vAlign w:val="center"/>
            <w:hideMark/>
          </w:tcPr>
          <w:p w:rsidR="0013763F" w:rsidRPr="00AF6460" w:rsidRDefault="0013763F" w:rsidP="001A3569">
            <w:pPr>
              <w:pStyle w:val="142"/>
              <w:jc w:val="center"/>
              <w:rPr>
                <w:rFonts w:hAnsi="標楷體"/>
                <w:snapToGrid/>
              </w:rPr>
            </w:pPr>
            <w:r w:rsidRPr="00AF6460">
              <w:rPr>
                <w:rFonts w:hAnsi="標楷體" w:hint="eastAsia"/>
                <w:snapToGrid/>
              </w:rPr>
              <w:t>詳說明</w:t>
            </w:r>
          </w:p>
        </w:tc>
      </w:tr>
    </w:tbl>
    <w:p w:rsidR="001E720B" w:rsidRPr="00AF6460" w:rsidRDefault="001E720B" w:rsidP="001A3569">
      <w:pPr>
        <w:pStyle w:val="142"/>
        <w:ind w:leftChars="-5" w:left="1175" w:hangingChars="489" w:hanging="1189"/>
        <w:rPr>
          <w:rFonts w:hAnsi="標楷體"/>
        </w:rPr>
      </w:pPr>
      <w:r w:rsidRPr="00AF6460">
        <w:rPr>
          <w:rFonts w:hAnsi="標楷體"/>
        </w:rPr>
        <w:t>說</w:t>
      </w:r>
      <w:r w:rsidRPr="00AF6460">
        <w:rPr>
          <w:rFonts w:hAnsi="標楷體" w:hint="eastAsia"/>
        </w:rPr>
        <w:t xml:space="preserve"> </w:t>
      </w:r>
      <w:r w:rsidRPr="00AF6460">
        <w:rPr>
          <w:rFonts w:hAnsi="標楷體"/>
        </w:rPr>
        <w:t xml:space="preserve">   明</w:t>
      </w:r>
      <w:r w:rsidRPr="00AF6460">
        <w:rPr>
          <w:rFonts w:hAnsi="標楷體" w:hint="eastAsia"/>
        </w:rPr>
        <w:t>：11</w:t>
      </w:r>
      <w:r w:rsidR="0013763F" w:rsidRPr="00AF6460">
        <w:rPr>
          <w:rFonts w:hAnsi="標楷體" w:hint="eastAsia"/>
        </w:rPr>
        <w:t>4</w:t>
      </w:r>
      <w:r w:rsidRPr="00AF6460">
        <w:rPr>
          <w:rFonts w:hAnsi="標楷體" w:hint="eastAsia"/>
        </w:rPr>
        <w:t>年度實現數為截至7月底止數據，另因年度尚未終結爰無保留數及賸餘數。</w:t>
      </w:r>
    </w:p>
    <w:p w:rsidR="001E720B" w:rsidRPr="00AF6460" w:rsidRDefault="001E720B" w:rsidP="001A3569">
      <w:pPr>
        <w:pStyle w:val="142"/>
        <w:rPr>
          <w:rFonts w:hAnsi="標楷體"/>
        </w:rPr>
      </w:pPr>
      <w:r w:rsidRPr="00AF6460">
        <w:rPr>
          <w:rFonts w:hAnsi="標楷體" w:hint="eastAsia"/>
        </w:rPr>
        <w:t>資料來源：外交部。</w:t>
      </w:r>
    </w:p>
    <w:p w:rsidR="001E720B" w:rsidRPr="00AF6460" w:rsidRDefault="001E720B" w:rsidP="001A3569">
      <w:pPr>
        <w:pStyle w:val="a4"/>
        <w:ind w:left="849" w:hanging="283"/>
        <w:rPr>
          <w:rFonts w:hAnsi="標楷體"/>
          <w:b/>
        </w:rPr>
      </w:pPr>
      <w:r w:rsidRPr="00AF6460">
        <w:rPr>
          <w:rFonts w:hAnsi="標楷體" w:hint="eastAsia"/>
          <w:b/>
        </w:rPr>
        <w:t>(二)允宜研酌比照預算法規定</w:t>
      </w:r>
      <w:r w:rsidR="00CD3154" w:rsidRPr="00AF6460">
        <w:rPr>
          <w:rFonts w:hAnsi="標楷體" w:hint="eastAsia"/>
          <w:b/>
        </w:rPr>
        <w:t>按進度</w:t>
      </w:r>
      <w:r w:rsidRPr="00AF6460">
        <w:rPr>
          <w:rFonts w:hAnsi="標楷體" w:hint="eastAsia"/>
          <w:b/>
        </w:rPr>
        <w:t>分年編列，俾符實需</w:t>
      </w:r>
    </w:p>
    <w:p w:rsidR="001E720B" w:rsidRPr="00AF6460" w:rsidRDefault="001E720B" w:rsidP="001A3569">
      <w:pPr>
        <w:pStyle w:val="21"/>
        <w:ind w:left="850" w:firstLine="566"/>
        <w:rPr>
          <w:rFonts w:hAnsi="標楷體"/>
        </w:rPr>
      </w:pPr>
      <w:r w:rsidRPr="00AF6460">
        <w:rPr>
          <w:rFonts w:hAnsi="標楷體" w:hint="eastAsia"/>
        </w:rPr>
        <w:t>參據外交部提供預算實現數偏低原因(詳表2)，係該部執行國際合作及關懷業務</w:t>
      </w:r>
      <w:r w:rsidR="0069019F" w:rsidRPr="00AF6460">
        <w:rPr>
          <w:rFonts w:hAnsi="標楷體" w:hint="eastAsia"/>
        </w:rPr>
        <w:t>取決</w:t>
      </w:r>
      <w:r w:rsidRPr="00AF6460">
        <w:rPr>
          <w:rFonts w:hAnsi="標楷體" w:hint="eastAsia"/>
        </w:rPr>
        <w:t>於與友邦</w:t>
      </w:r>
      <w:r w:rsidR="00FA6735" w:rsidRPr="00AF6460">
        <w:rPr>
          <w:rFonts w:hAnsi="標楷體" w:hint="eastAsia"/>
        </w:rPr>
        <w:t>(合作國家)、</w:t>
      </w:r>
      <w:r w:rsidRPr="00AF6460">
        <w:rPr>
          <w:rFonts w:hAnsi="標楷體" w:hint="eastAsia"/>
        </w:rPr>
        <w:t>當地</w:t>
      </w:r>
      <w:r w:rsidR="00FA6735" w:rsidRPr="00AF6460">
        <w:rPr>
          <w:rFonts w:hAnsi="標楷體" w:hint="eastAsia"/>
        </w:rPr>
        <w:t>單位及廠商</w:t>
      </w:r>
      <w:r w:rsidRPr="00AF6460">
        <w:rPr>
          <w:rFonts w:hAnsi="標楷體" w:hint="eastAsia"/>
        </w:rPr>
        <w:t>合作關係</w:t>
      </w:r>
      <w:r w:rsidR="0069019F" w:rsidRPr="00AF6460">
        <w:rPr>
          <w:rFonts w:hAnsi="標楷體" w:hint="eastAsia"/>
        </w:rPr>
        <w:t>，並</w:t>
      </w:r>
      <w:r w:rsidRPr="00AF6460">
        <w:rPr>
          <w:rFonts w:hAnsi="標楷體" w:hint="eastAsia"/>
        </w:rPr>
        <w:t>受</w:t>
      </w:r>
      <w:r w:rsidR="00FA6735" w:rsidRPr="00AF6460">
        <w:rPr>
          <w:rFonts w:hAnsi="標楷體" w:hint="eastAsia"/>
        </w:rPr>
        <w:t>國際情勢、政局、選舉、行政效率、協調時間、所在地理位置、採購及運輸時差等</w:t>
      </w:r>
      <w:r w:rsidRPr="00AF6460">
        <w:rPr>
          <w:rFonts w:hAnsi="標楷體" w:hint="eastAsia"/>
        </w:rPr>
        <w:t>因素影響，部分計畫</w:t>
      </w:r>
      <w:r w:rsidR="00FA6735" w:rsidRPr="00AF6460">
        <w:rPr>
          <w:rFonts w:hAnsi="標楷體" w:hint="eastAsia"/>
        </w:rPr>
        <w:t>耗時或</w:t>
      </w:r>
      <w:r w:rsidRPr="00AF6460">
        <w:rPr>
          <w:rFonts w:hAnsi="標楷體" w:hint="eastAsia"/>
        </w:rPr>
        <w:t>按</w:t>
      </w:r>
      <w:r w:rsidR="00FA6735" w:rsidRPr="00AF6460">
        <w:rPr>
          <w:rFonts w:hAnsi="標楷體" w:hint="eastAsia"/>
        </w:rPr>
        <w:t>推案時程</w:t>
      </w:r>
      <w:r w:rsidRPr="00AF6460">
        <w:rPr>
          <w:rFonts w:hAnsi="標楷體" w:hint="eastAsia"/>
        </w:rPr>
        <w:t>執行，致相關預算難於當年度如數執行。</w:t>
      </w:r>
    </w:p>
    <w:p w:rsidR="001E720B" w:rsidRPr="00AF6460" w:rsidRDefault="001E720B" w:rsidP="001A3569">
      <w:pPr>
        <w:pStyle w:val="21"/>
        <w:ind w:left="850" w:firstLine="566"/>
        <w:rPr>
          <w:rFonts w:hAnsi="標楷體"/>
        </w:rPr>
      </w:pPr>
      <w:r w:rsidRPr="00AF6460">
        <w:rPr>
          <w:rFonts w:hAnsi="標楷體" w:hint="eastAsia"/>
        </w:rPr>
        <w:t>按預算法第5條第1項第2款規定：「</w:t>
      </w:r>
      <w:r w:rsidRPr="00AF6460">
        <w:rPr>
          <w:rFonts w:hAnsi="標楷體"/>
        </w:rPr>
        <w:t>…</w:t>
      </w:r>
      <w:r w:rsidRPr="00AF6460">
        <w:rPr>
          <w:rFonts w:hAnsi="標楷體" w:hint="eastAsia"/>
        </w:rPr>
        <w:t>二、繼續經費，依設定之條件或期限，分期繼續支用。</w:t>
      </w:r>
      <w:r w:rsidRPr="00AF6460">
        <w:rPr>
          <w:rFonts w:hAnsi="標楷體"/>
        </w:rPr>
        <w:t>…</w:t>
      </w:r>
      <w:r w:rsidRPr="00AF6460">
        <w:rPr>
          <w:rFonts w:hAnsi="標楷體" w:hint="eastAsia"/>
        </w:rPr>
        <w:t>」同法第39條規定：「繼續經費預算之編製，應列明全部計畫之內容、經費總額、執行期間及各年度之分配額，依各年度之分配額，編列各該年度預</w:t>
      </w:r>
      <w:r w:rsidRPr="00AF6460">
        <w:rPr>
          <w:rFonts w:hAnsi="標楷體" w:hint="eastAsia"/>
        </w:rPr>
        <w:lastRenderedPageBreak/>
        <w:t>算。」</w:t>
      </w:r>
      <w:r w:rsidR="00FA6735" w:rsidRPr="00AF6460">
        <w:rPr>
          <w:rFonts w:hAnsi="標楷體" w:hint="eastAsia"/>
        </w:rPr>
        <w:t>為有效解決上開問題並提高預算執行率，</w:t>
      </w:r>
      <w:r w:rsidRPr="00AF6460">
        <w:rPr>
          <w:rFonts w:hAnsi="標楷體" w:hint="eastAsia"/>
        </w:rPr>
        <w:t>該部宜嚴謹評估政治、環境、各項風險及障礙因素，並比照預算法第39條規定</w:t>
      </w:r>
      <w:r w:rsidRPr="00AF6460">
        <w:rPr>
          <w:rStyle w:val="af2"/>
          <w:rFonts w:hAnsi="標楷體"/>
        </w:rPr>
        <w:footnoteReference w:id="2"/>
      </w:r>
      <w:r w:rsidRPr="00AF6460">
        <w:rPr>
          <w:rFonts w:hAnsi="標楷體" w:hint="eastAsia"/>
        </w:rPr>
        <w:t>編列具體可行之</w:t>
      </w:r>
      <w:r w:rsidR="007A0942">
        <w:rPr>
          <w:rFonts w:hAnsi="標楷體" w:hint="eastAsia"/>
        </w:rPr>
        <w:t>跨</w:t>
      </w:r>
      <w:r w:rsidRPr="00AF6460">
        <w:rPr>
          <w:rFonts w:hAnsi="標楷體" w:hint="eastAsia"/>
        </w:rPr>
        <w:t>年期計畫，且依進度分期支用，俾符實況，以提升預算管控，避免保留情形加</w:t>
      </w:r>
      <w:r w:rsidR="000B406C" w:rsidRPr="00AF6460">
        <w:rPr>
          <w:rFonts w:hAnsi="標楷體" w:hint="eastAsia"/>
        </w:rPr>
        <w:t>劇</w:t>
      </w:r>
      <w:r w:rsidRPr="00AF6460">
        <w:rPr>
          <w:rFonts w:hAnsi="標楷體" w:hint="eastAsia"/>
        </w:rPr>
        <w:t>。</w:t>
      </w:r>
    </w:p>
    <w:p w:rsidR="001E720B" w:rsidRPr="00AF6460" w:rsidRDefault="001E720B" w:rsidP="001A3569">
      <w:pPr>
        <w:pStyle w:val="ac"/>
        <w:ind w:left="283" w:hanging="283"/>
        <w:rPr>
          <w:rFonts w:hAnsi="標楷體"/>
        </w:rPr>
      </w:pPr>
      <w:r w:rsidRPr="00AF6460">
        <w:rPr>
          <w:rStyle w:val="2"/>
          <w:rFonts w:hAnsi="標楷體" w:hint="eastAsia"/>
          <w:b/>
        </w:rPr>
        <w:t>表</w:t>
      </w:r>
      <w:r w:rsidRPr="00AF6460">
        <w:rPr>
          <w:rStyle w:val="2"/>
          <w:rFonts w:hAnsi="標楷體"/>
          <w:b/>
        </w:rPr>
        <w:t xml:space="preserve">2 </w:t>
      </w:r>
      <w:r w:rsidRPr="00AF6460">
        <w:rPr>
          <w:rStyle w:val="2"/>
          <w:rFonts w:hAnsi="標楷體" w:hint="eastAsia"/>
          <w:b/>
        </w:rPr>
        <w:t>外交部「國際合作及關懷」業務計畫實現數未如預期原因</w:t>
      </w:r>
      <w:r w:rsidR="000B406C" w:rsidRPr="00AF6460">
        <w:rPr>
          <w:rStyle w:val="2"/>
          <w:rFonts w:hAnsi="標楷體" w:hint="eastAsia"/>
          <w:b/>
        </w:rPr>
        <w:t>簡述</w:t>
      </w:r>
      <w:r w:rsidRPr="00AF6460">
        <w:rPr>
          <w:rStyle w:val="2"/>
          <w:rFonts w:hAnsi="標楷體"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6662"/>
      </w:tblGrid>
      <w:tr w:rsidR="001E720B" w:rsidRPr="00AF6460" w:rsidTr="008E0AFA">
        <w:trPr>
          <w:tblHeader/>
        </w:trPr>
        <w:tc>
          <w:tcPr>
            <w:tcW w:w="1843" w:type="dxa"/>
            <w:shd w:val="clear" w:color="auto" w:fill="auto"/>
          </w:tcPr>
          <w:p w:rsidR="001E720B" w:rsidRPr="00AF6460" w:rsidRDefault="001E720B" w:rsidP="001A3569">
            <w:pPr>
              <w:pStyle w:val="142"/>
              <w:jc w:val="center"/>
              <w:rPr>
                <w:rFonts w:hAnsi="標楷體" w:hint="eastAsia"/>
                <w:b/>
              </w:rPr>
            </w:pPr>
            <w:r w:rsidRPr="00AF6460">
              <w:rPr>
                <w:rFonts w:hAnsi="標楷體" w:hint="eastAsia"/>
                <w:b/>
              </w:rPr>
              <w:t>地</w:t>
            </w:r>
            <w:r w:rsidR="00B23BA4" w:rsidRPr="00AF6460">
              <w:rPr>
                <w:rFonts w:hAnsi="標楷體" w:hint="eastAsia"/>
                <w:b/>
              </w:rPr>
              <w:t>區</w:t>
            </w:r>
            <w:r w:rsidRPr="00AF6460">
              <w:rPr>
                <w:rFonts w:hAnsi="標楷體" w:hint="eastAsia"/>
                <w:b/>
              </w:rPr>
              <w:t>/組織別</w:t>
            </w:r>
          </w:p>
        </w:tc>
        <w:tc>
          <w:tcPr>
            <w:tcW w:w="6662" w:type="dxa"/>
            <w:shd w:val="clear" w:color="auto" w:fill="auto"/>
          </w:tcPr>
          <w:p w:rsidR="001E720B" w:rsidRPr="00AF6460" w:rsidRDefault="001E720B" w:rsidP="001A3569">
            <w:pPr>
              <w:pStyle w:val="142"/>
              <w:jc w:val="center"/>
              <w:rPr>
                <w:rFonts w:hAnsi="標楷體" w:hint="eastAsia"/>
                <w:b/>
              </w:rPr>
            </w:pPr>
            <w:r w:rsidRPr="00AF6460">
              <w:rPr>
                <w:rFonts w:hAnsi="標楷體" w:hint="eastAsia"/>
                <w:b/>
              </w:rPr>
              <w:t>實現數未如預期原因</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亞太地區</w:t>
            </w:r>
          </w:p>
        </w:tc>
        <w:tc>
          <w:tcPr>
            <w:tcW w:w="6662" w:type="dxa"/>
            <w:shd w:val="clear" w:color="auto" w:fill="auto"/>
          </w:tcPr>
          <w:p w:rsidR="007C753F" w:rsidRPr="00AF6460" w:rsidRDefault="007C753F" w:rsidP="001A3569">
            <w:pPr>
              <w:pStyle w:val="142"/>
              <w:ind w:left="243" w:hangingChars="100" w:hanging="243"/>
              <w:jc w:val="both"/>
              <w:rPr>
                <w:rFonts w:hAnsi="標楷體"/>
              </w:rPr>
            </w:pPr>
            <w:r w:rsidRPr="00AF6460">
              <w:rPr>
                <w:rFonts w:hAnsi="標楷體" w:hint="eastAsia"/>
              </w:rPr>
              <w:t>1.</w:t>
            </w:r>
            <w:r w:rsidR="00263AC1" w:rsidRPr="00AF6460">
              <w:rPr>
                <w:rFonts w:hAnsi="標楷體" w:hint="eastAsia"/>
              </w:rPr>
              <w:t>國際情勢與合作國政局、選舉及行政效率等政情均影響</w:t>
            </w:r>
            <w:r w:rsidRPr="00AF6460">
              <w:rPr>
                <w:rFonts w:hAnsi="標楷體" w:hint="eastAsia"/>
              </w:rPr>
              <w:t>合作國</w:t>
            </w:r>
            <w:r w:rsidR="00263AC1" w:rsidRPr="00AF6460">
              <w:rPr>
                <w:rFonts w:hAnsi="標楷體" w:hint="eastAsia"/>
              </w:rPr>
              <w:t>家</w:t>
            </w:r>
            <w:r w:rsidRPr="00AF6460">
              <w:rPr>
                <w:rFonts w:hAnsi="標楷體" w:hint="eastAsia"/>
              </w:rPr>
              <w:t>政策走向及</w:t>
            </w:r>
            <w:r w:rsidR="00263AC1" w:rsidRPr="00AF6460">
              <w:rPr>
                <w:rFonts w:hAnsi="標楷體" w:hint="eastAsia"/>
              </w:rPr>
              <w:t>基礎建設計畫</w:t>
            </w:r>
            <w:r w:rsidRPr="00AF6460">
              <w:rPr>
                <w:rFonts w:hAnsi="標楷體" w:hint="eastAsia"/>
              </w:rPr>
              <w:t>執行進度。</w:t>
            </w:r>
          </w:p>
          <w:p w:rsidR="007C753F" w:rsidRPr="00AF6460" w:rsidRDefault="007C753F" w:rsidP="001A3569">
            <w:pPr>
              <w:pStyle w:val="142"/>
              <w:ind w:left="243" w:hangingChars="100" w:hanging="243"/>
              <w:jc w:val="both"/>
              <w:rPr>
                <w:rFonts w:hAnsi="標楷體"/>
              </w:rPr>
            </w:pPr>
            <w:r w:rsidRPr="00AF6460">
              <w:rPr>
                <w:rFonts w:hAnsi="標楷體" w:hint="eastAsia"/>
              </w:rPr>
              <w:t>2.醫療合作、氣候變遷及潔淨能源等項目與美國、澳洲等理念相近國家進行多邊合作，尚需協調時間。</w:t>
            </w:r>
          </w:p>
          <w:p w:rsidR="001E720B" w:rsidRPr="00AF6460" w:rsidRDefault="007C753F" w:rsidP="001A3569">
            <w:pPr>
              <w:pStyle w:val="142"/>
              <w:ind w:left="243" w:hangingChars="100" w:hanging="243"/>
              <w:jc w:val="both"/>
              <w:rPr>
                <w:rFonts w:hAnsi="標楷體" w:hint="eastAsia"/>
              </w:rPr>
            </w:pPr>
            <w:r w:rsidRPr="00AF6460">
              <w:rPr>
                <w:rFonts w:hAnsi="標楷體" w:hint="eastAsia"/>
              </w:rPr>
              <w:t>3.太平洋友邦地理位置遙遠、人口稀少，願意承攬之合格承作廠商較少，難以同時進行建設項目，致工程延宕</w:t>
            </w:r>
            <w:r w:rsidR="00263AC1" w:rsidRPr="00AF6460">
              <w:rPr>
                <w:rFonts w:hAnsi="標楷體" w:hint="eastAsia"/>
              </w:rPr>
              <w:t>並保留相關預算</w:t>
            </w:r>
            <w:r w:rsidRPr="00AF6460">
              <w:rPr>
                <w:rFonts w:hAnsi="標楷體" w:hint="eastAsia"/>
              </w:rPr>
              <w:t>。</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亞非地區</w:t>
            </w:r>
          </w:p>
        </w:tc>
        <w:tc>
          <w:tcPr>
            <w:tcW w:w="6662" w:type="dxa"/>
            <w:shd w:val="clear" w:color="auto" w:fill="auto"/>
          </w:tcPr>
          <w:p w:rsidR="001E720B" w:rsidRPr="00AF6460" w:rsidRDefault="00263AC1" w:rsidP="001A3569">
            <w:pPr>
              <w:pStyle w:val="142"/>
              <w:jc w:val="both"/>
              <w:rPr>
                <w:rFonts w:hAnsi="標楷體" w:hint="eastAsia"/>
              </w:rPr>
            </w:pPr>
            <w:r w:rsidRPr="00AF6460">
              <w:rPr>
                <w:rFonts w:hAnsi="標楷體" w:hint="eastAsia"/>
              </w:rPr>
              <w:t>計畫案推動尚需時間推動，故時有年末未能取得單據核結，將推進並持續改善。</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歐洲地區</w:t>
            </w:r>
          </w:p>
        </w:tc>
        <w:tc>
          <w:tcPr>
            <w:tcW w:w="6662" w:type="dxa"/>
            <w:shd w:val="clear" w:color="auto" w:fill="auto"/>
          </w:tcPr>
          <w:p w:rsidR="001E720B" w:rsidRPr="00AF6460" w:rsidRDefault="007C753F" w:rsidP="001A3569">
            <w:pPr>
              <w:pStyle w:val="142"/>
              <w:jc w:val="both"/>
              <w:rPr>
                <w:rFonts w:hAnsi="標楷體" w:hint="eastAsia"/>
              </w:rPr>
            </w:pPr>
            <w:r w:rsidRPr="00AF6460">
              <w:rPr>
                <w:rFonts w:hAnsi="標楷體" w:hint="eastAsia"/>
              </w:rPr>
              <w:t>人道援助烏克蘭重建等各項專案計畫，需配合國外合作單位之實際需求並研提推案時程，執行率或將於第3季至第4季反應推案進度</w:t>
            </w:r>
            <w:r w:rsidR="00263AC1" w:rsidRPr="00AF6460">
              <w:rPr>
                <w:rFonts w:hAnsi="標楷體" w:hint="eastAsia"/>
              </w:rPr>
              <w:t>，將持續加緊推動，未執行數則辦理保留。</w:t>
            </w:r>
          </w:p>
        </w:tc>
      </w:tr>
      <w:tr w:rsidR="00FA6735" w:rsidRPr="00AF6460" w:rsidTr="008E0AFA">
        <w:tc>
          <w:tcPr>
            <w:tcW w:w="1843" w:type="dxa"/>
            <w:shd w:val="clear" w:color="auto" w:fill="auto"/>
          </w:tcPr>
          <w:p w:rsidR="001E720B" w:rsidRPr="00AF6460" w:rsidRDefault="001E720B" w:rsidP="001A3569">
            <w:pPr>
              <w:pStyle w:val="142"/>
              <w:rPr>
                <w:rFonts w:hAnsi="標楷體" w:hint="eastAsia"/>
              </w:rPr>
            </w:pPr>
            <w:r w:rsidRPr="00AF6460">
              <w:rPr>
                <w:rFonts w:hAnsi="標楷體" w:hint="eastAsia"/>
              </w:rPr>
              <w:t>拉丁美洲地區</w:t>
            </w:r>
          </w:p>
        </w:tc>
        <w:tc>
          <w:tcPr>
            <w:tcW w:w="6662" w:type="dxa"/>
            <w:shd w:val="clear" w:color="auto" w:fill="auto"/>
          </w:tcPr>
          <w:p w:rsidR="007C753F" w:rsidRPr="00AF6460" w:rsidRDefault="007C753F" w:rsidP="001A3569">
            <w:pPr>
              <w:pStyle w:val="142"/>
              <w:ind w:left="243" w:hangingChars="100" w:hanging="243"/>
              <w:jc w:val="both"/>
              <w:rPr>
                <w:rFonts w:hAnsi="標楷體" w:hint="eastAsia"/>
              </w:rPr>
            </w:pPr>
            <w:r w:rsidRPr="00AF6460">
              <w:rPr>
                <w:rFonts w:hAnsi="標楷體" w:hint="eastAsia"/>
              </w:rPr>
              <w:t>1.友邦政情變化致計畫延宕:如海地政局持續動盪、貝里斯因2025年上半年甫結束大選重新組閣致進度稍緩，</w:t>
            </w:r>
            <w:r w:rsidR="00263AC1" w:rsidRPr="00AF6460">
              <w:rPr>
                <w:rFonts w:hAnsi="標楷體" w:hint="eastAsia"/>
              </w:rPr>
              <w:t>雖為</w:t>
            </w:r>
            <w:r w:rsidRPr="00AF6460">
              <w:rPr>
                <w:rFonts w:hAnsi="標楷體" w:hint="eastAsia"/>
              </w:rPr>
              <w:t>短期現象，</w:t>
            </w:r>
            <w:r w:rsidR="00263AC1" w:rsidRPr="00AF6460">
              <w:rPr>
                <w:rFonts w:hAnsi="標楷體" w:hint="eastAsia"/>
              </w:rPr>
              <w:t>卻</w:t>
            </w:r>
            <w:r w:rsidRPr="00AF6460">
              <w:rPr>
                <w:rFonts w:hAnsi="標楷體" w:hint="eastAsia"/>
              </w:rPr>
              <w:t>影響相關合作計畫推動及執行優先順序。</w:t>
            </w:r>
          </w:p>
          <w:p w:rsidR="007C753F" w:rsidRPr="00AF6460" w:rsidRDefault="007C753F" w:rsidP="001A3569">
            <w:pPr>
              <w:pStyle w:val="142"/>
              <w:ind w:left="243" w:hangingChars="100" w:hanging="243"/>
              <w:jc w:val="both"/>
              <w:rPr>
                <w:rFonts w:hAnsi="標楷體" w:hint="eastAsia"/>
              </w:rPr>
            </w:pPr>
            <w:r w:rsidRPr="00AF6460">
              <w:rPr>
                <w:rFonts w:hAnsi="標楷體" w:hint="eastAsia"/>
              </w:rPr>
              <w:t>2.跨國協調期程長：部分計畫</w:t>
            </w:r>
            <w:r w:rsidR="00263AC1" w:rsidRPr="00AF6460">
              <w:rPr>
                <w:rFonts w:hAnsi="標楷體" w:hint="eastAsia"/>
              </w:rPr>
              <w:t>需</w:t>
            </w:r>
            <w:r w:rsidRPr="00AF6460">
              <w:rPr>
                <w:rFonts w:hAnsi="標楷體" w:hint="eastAsia"/>
              </w:rPr>
              <w:t>與友邦政府跨部會協商確認細節，且須配合其預算審查及行政流程，程序冗長。</w:t>
            </w:r>
          </w:p>
          <w:p w:rsidR="00263AC1" w:rsidRPr="00AF6460" w:rsidRDefault="007C753F" w:rsidP="0069019F">
            <w:pPr>
              <w:pStyle w:val="142"/>
              <w:ind w:left="243" w:hangingChars="100" w:hanging="243"/>
              <w:jc w:val="both"/>
              <w:rPr>
                <w:rFonts w:hAnsi="標楷體" w:hint="eastAsia"/>
              </w:rPr>
            </w:pPr>
            <w:r w:rsidRPr="00AF6460">
              <w:rPr>
                <w:rFonts w:hAnsi="標楷體" w:hint="eastAsia"/>
              </w:rPr>
              <w:t>3.採購及運輸時差：設備及物資多仰賴國際採購，駐在國海運及清關程序耗時，影響款項撥付進度。</w:t>
            </w:r>
          </w:p>
        </w:tc>
      </w:tr>
    </w:tbl>
    <w:p w:rsidR="001E720B" w:rsidRPr="00AF6460" w:rsidRDefault="001E720B" w:rsidP="001A3569">
      <w:pPr>
        <w:pStyle w:val="142"/>
        <w:ind w:left="567" w:hanging="567"/>
        <w:rPr>
          <w:rFonts w:hAnsi="標楷體"/>
        </w:rPr>
      </w:pPr>
      <w:r w:rsidRPr="00AF6460">
        <w:rPr>
          <w:rFonts w:hAnsi="標楷體" w:hint="eastAsia"/>
        </w:rPr>
        <w:t>資料來源：整理自外交部資料。</w:t>
      </w:r>
    </w:p>
    <w:p w:rsidR="001E720B" w:rsidRPr="00AF6460" w:rsidRDefault="001E720B" w:rsidP="001A3569">
      <w:pPr>
        <w:ind w:left="566" w:firstLine="566"/>
      </w:pPr>
      <w:r w:rsidRPr="00AF6460">
        <w:rPr>
          <w:rFonts w:hint="eastAsia"/>
        </w:rPr>
        <w:t>綜上，外交部歷年編列鉅額「國際合作及關懷」業務計畫經費，11</w:t>
      </w:r>
      <w:r w:rsidR="00741212" w:rsidRPr="00AF6460">
        <w:rPr>
          <w:rFonts w:hint="eastAsia"/>
        </w:rPr>
        <w:t>5</w:t>
      </w:r>
      <w:r w:rsidRPr="00AF6460">
        <w:rPr>
          <w:rFonts w:hint="eastAsia"/>
        </w:rPr>
        <w:t>年度預算案數達</w:t>
      </w:r>
      <w:r w:rsidR="00741212" w:rsidRPr="00AF6460">
        <w:rPr>
          <w:rFonts w:hint="eastAsia"/>
        </w:rPr>
        <w:t>202億8,484萬2千元</w:t>
      </w:r>
      <w:r w:rsidRPr="00AF6460">
        <w:rPr>
          <w:rFonts w:hint="eastAsia"/>
        </w:rPr>
        <w:t>，</w:t>
      </w:r>
      <w:r w:rsidR="00741212" w:rsidRPr="00AF6460">
        <w:rPr>
          <w:rFonts w:hint="eastAsia"/>
        </w:rPr>
        <w:t>隨著預算規模</w:t>
      </w:r>
      <w:r w:rsidR="008E7A45" w:rsidRPr="00AF6460">
        <w:rPr>
          <w:rFonts w:hint="eastAsia"/>
        </w:rPr>
        <w:t>擴增</w:t>
      </w:r>
      <w:r w:rsidR="00741212" w:rsidRPr="00AF6460">
        <w:rPr>
          <w:rFonts w:hint="eastAsia"/>
        </w:rPr>
        <w:t>，近年保留數、比率及賸餘數均較105年度大幅增加</w:t>
      </w:r>
      <w:r w:rsidR="008E7A45" w:rsidRPr="00AF6460">
        <w:rPr>
          <w:rFonts w:hint="eastAsia"/>
        </w:rPr>
        <w:t>，113年度保留數高出105年度近3倍，賸餘數達22億5,383萬元。</w:t>
      </w:r>
      <w:r w:rsidRPr="00AF6460">
        <w:rPr>
          <w:rFonts w:hint="eastAsia"/>
        </w:rPr>
        <w:t>基於該項經費受當地政治、環境及合作關係影響，難於當年度如數執行，為提升預算管控功能，該部爰宜比照預算法第</w:t>
      </w:r>
      <w:r w:rsidRPr="00AF6460">
        <w:t>39</w:t>
      </w:r>
      <w:r w:rsidRPr="00AF6460">
        <w:rPr>
          <w:rFonts w:hint="eastAsia"/>
        </w:rPr>
        <w:t>條規定，</w:t>
      </w:r>
      <w:r w:rsidR="00CD3154" w:rsidRPr="00AF6460">
        <w:rPr>
          <w:rFonts w:hint="eastAsia"/>
        </w:rPr>
        <w:t>按進度</w:t>
      </w:r>
      <w:r w:rsidRPr="00AF6460">
        <w:rPr>
          <w:rFonts w:hint="eastAsia"/>
        </w:rPr>
        <w:lastRenderedPageBreak/>
        <w:t>分年編列跨年期計畫預算，俾符實需。</w:t>
      </w:r>
    </w:p>
    <w:bookmarkEnd w:id="2"/>
    <w:bookmarkEnd w:id="3"/>
    <w:sectPr w:rsidR="001E720B" w:rsidRPr="00AF6460" w:rsidSect="00D05E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538" w:rsidRDefault="00864538" w:rsidP="002C78D6">
      <w:pPr>
        <w:spacing w:line="240" w:lineRule="auto"/>
        <w:ind w:left="560" w:firstLine="560"/>
      </w:pPr>
      <w:r>
        <w:separator/>
      </w:r>
    </w:p>
    <w:p w:rsidR="00864538" w:rsidRDefault="00864538">
      <w:pPr>
        <w:ind w:left="560" w:firstLine="560"/>
      </w:pPr>
    </w:p>
  </w:endnote>
  <w:endnote w:type="continuationSeparator" w:id="0">
    <w:p w:rsidR="00864538" w:rsidRDefault="00864538" w:rsidP="002C78D6">
      <w:pPr>
        <w:spacing w:line="240" w:lineRule="auto"/>
        <w:ind w:left="560" w:firstLine="560"/>
      </w:pPr>
      <w:r>
        <w:continuationSeparator/>
      </w:r>
    </w:p>
    <w:p w:rsidR="00864538" w:rsidRDefault="00864538">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Pr="000E4396" w:rsidRDefault="00B0521C" w:rsidP="00D40AED">
    <w:pPr>
      <w:pStyle w:val="af0"/>
      <w:ind w:leftChars="0" w:left="0" w:firstLineChars="0" w:firstLine="0"/>
      <w:jc w:val="center"/>
      <w:rPr>
        <w:rFonts w:ascii="標楷體" w:hAnsi="標楷體"/>
      </w:rPr>
    </w:pPr>
    <w:r w:rsidRPr="000E4396">
      <w:rPr>
        <w:rFonts w:ascii="標楷體" w:hAnsi="標楷體"/>
      </w:rPr>
      <w:fldChar w:fldCharType="begin"/>
    </w:r>
    <w:r w:rsidRPr="000E4396">
      <w:rPr>
        <w:rFonts w:ascii="標楷體" w:hAnsi="標楷體"/>
      </w:rPr>
      <w:instrText>PAGE   \* MERGEFORMAT</w:instrText>
    </w:r>
    <w:r w:rsidRPr="000E4396">
      <w:rPr>
        <w:rFonts w:ascii="標楷體" w:hAnsi="標楷體"/>
      </w:rPr>
      <w:fldChar w:fldCharType="separate"/>
    </w:r>
    <w:r w:rsidR="007D14DF" w:rsidRPr="007D14DF">
      <w:rPr>
        <w:rFonts w:ascii="標楷體" w:hAnsi="標楷體"/>
        <w:noProof/>
        <w:lang w:val="zh-TW"/>
      </w:rPr>
      <w:t>3</w:t>
    </w:r>
    <w:r w:rsidRPr="000E4396">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538" w:rsidRDefault="00864538" w:rsidP="002C78D6">
      <w:pPr>
        <w:spacing w:line="240" w:lineRule="auto"/>
        <w:ind w:left="560" w:firstLine="560"/>
      </w:pPr>
      <w:r>
        <w:separator/>
      </w:r>
    </w:p>
  </w:footnote>
  <w:footnote w:type="continuationSeparator" w:id="0">
    <w:p w:rsidR="00864538" w:rsidRDefault="00864538" w:rsidP="002C78D6">
      <w:pPr>
        <w:spacing w:line="240" w:lineRule="auto"/>
        <w:ind w:left="560" w:firstLine="560"/>
      </w:pPr>
      <w:r>
        <w:continuationSeparator/>
      </w:r>
    </w:p>
  </w:footnote>
  <w:footnote w:id="1">
    <w:p w:rsidR="00D12636" w:rsidRPr="00D12636" w:rsidRDefault="00D12636" w:rsidP="00D12636">
      <w:pPr>
        <w:pStyle w:val="142"/>
        <w:rPr>
          <w:rFonts w:hint="eastAsia"/>
        </w:rPr>
      </w:pPr>
      <w:r>
        <w:rPr>
          <w:rStyle w:val="af2"/>
        </w:rPr>
        <w:footnoteRef/>
      </w:r>
      <w:r>
        <w:rPr>
          <w:rFonts w:hint="eastAsia"/>
        </w:rPr>
        <w:t>配合行政院114年4月22日及6月30日函令辦理國內外人員待遇調整作業。</w:t>
      </w:r>
    </w:p>
  </w:footnote>
  <w:footnote w:id="2">
    <w:p w:rsidR="001E720B" w:rsidRPr="00921936" w:rsidRDefault="001E720B" w:rsidP="00FB462D">
      <w:pPr>
        <w:pStyle w:val="af5"/>
        <w:spacing w:line="240" w:lineRule="auto"/>
        <w:ind w:leftChars="0" w:left="51" w:hangingChars="25" w:hanging="51"/>
        <w:jc w:val="both"/>
        <w:rPr>
          <w:rFonts w:hint="eastAsia"/>
        </w:rPr>
      </w:pPr>
      <w:r>
        <w:rPr>
          <w:rStyle w:val="af2"/>
        </w:rPr>
        <w:footnoteRef/>
      </w:r>
      <w:r w:rsidRPr="00921936">
        <w:rPr>
          <w:rStyle w:val="143"/>
          <w:rFonts w:hint="eastAsia"/>
        </w:rPr>
        <w:t>各機關編製11</w:t>
      </w:r>
      <w:r w:rsidR="0022237C">
        <w:rPr>
          <w:rStyle w:val="143"/>
          <w:rFonts w:hint="eastAsia"/>
        </w:rPr>
        <w:t>5</w:t>
      </w:r>
      <w:r w:rsidRPr="00921936">
        <w:rPr>
          <w:rStyle w:val="143"/>
          <w:rFonts w:hint="eastAsia"/>
        </w:rPr>
        <w:t>年度單位預算案應行注意辦理事項第十項</w:t>
      </w:r>
      <w:r w:rsidR="00881EC1">
        <w:rPr>
          <w:rStyle w:val="143"/>
          <w:rFonts w:hint="eastAsia"/>
        </w:rPr>
        <w:t>、</w:t>
      </w:r>
      <w:r w:rsidRPr="00921936">
        <w:rPr>
          <w:rStyle w:val="143"/>
          <w:rFonts w:hint="eastAsia"/>
        </w:rPr>
        <w:t>(十一)規定：「</w:t>
      </w:r>
      <w:r w:rsidR="00FB462D" w:rsidRPr="00FB462D">
        <w:rPr>
          <w:rStyle w:val="143"/>
          <w:rFonts w:hint="eastAsia"/>
        </w:rPr>
        <w:t>各機關跨年期計畫應儘早研擬及完成核定程序，並應比照預算法第</w:t>
      </w:r>
      <w:r w:rsidR="00FB462D">
        <w:rPr>
          <w:rStyle w:val="143"/>
          <w:rFonts w:hint="eastAsia"/>
        </w:rPr>
        <w:t>39</w:t>
      </w:r>
      <w:r w:rsidR="00FB462D" w:rsidRPr="00FB462D">
        <w:rPr>
          <w:rStyle w:val="143"/>
          <w:rFonts w:hint="eastAsia"/>
        </w:rPr>
        <w:t>條有關繼續經費之規定，依事實情形除於總預算案歲出機關別預算表與單位預算書列明計畫名稱、經費總額、執行期間、本年度編列數及以前年度法定預算數總數</w:t>
      </w:r>
      <w:r w:rsidR="00FB462D">
        <w:rPr>
          <w:rStyle w:val="143"/>
          <w:rFonts w:hint="eastAsia"/>
        </w:rPr>
        <w:t>(</w:t>
      </w:r>
      <w:r w:rsidR="00FB462D" w:rsidRPr="00FB462D">
        <w:rPr>
          <w:rStyle w:val="143"/>
          <w:rFonts w:hint="eastAsia"/>
        </w:rPr>
        <w:t>含動支預備金</w:t>
      </w:r>
      <w:r w:rsidR="00FB462D">
        <w:rPr>
          <w:rStyle w:val="143"/>
          <w:rFonts w:hint="eastAsia"/>
        </w:rPr>
        <w:t>)</w:t>
      </w:r>
      <w:r w:rsidR="00FB462D" w:rsidRPr="00FB462D">
        <w:rPr>
          <w:rStyle w:val="143"/>
          <w:rFonts w:hint="eastAsia"/>
        </w:rPr>
        <w:t>外</w:t>
      </w:r>
      <w:r w:rsidRPr="00921936">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21C" w:rsidRDefault="00B0521C" w:rsidP="00D40AED">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3D93"/>
    <w:multiLevelType w:val="hybridMultilevel"/>
    <w:tmpl w:val="A356CBC6"/>
    <w:lvl w:ilvl="0" w:tplc="BBB235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3BF72AA"/>
    <w:multiLevelType w:val="hybridMultilevel"/>
    <w:tmpl w:val="B2F021E0"/>
    <w:lvl w:ilvl="0" w:tplc="A43ACB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335C6"/>
    <w:multiLevelType w:val="hybridMultilevel"/>
    <w:tmpl w:val="E12AA52C"/>
    <w:lvl w:ilvl="0" w:tplc="21029E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EC1CD1"/>
    <w:multiLevelType w:val="hybridMultilevel"/>
    <w:tmpl w:val="41F81464"/>
    <w:lvl w:ilvl="0" w:tplc="44AE1F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A1E41EE"/>
    <w:multiLevelType w:val="hybridMultilevel"/>
    <w:tmpl w:val="9F305EDC"/>
    <w:lvl w:ilvl="0" w:tplc="5DF032A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3BD52151"/>
    <w:multiLevelType w:val="hybridMultilevel"/>
    <w:tmpl w:val="DEEEF064"/>
    <w:lvl w:ilvl="0" w:tplc="00F649D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7996B84"/>
    <w:multiLevelType w:val="hybridMultilevel"/>
    <w:tmpl w:val="B4547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7723FB4"/>
    <w:multiLevelType w:val="hybridMultilevel"/>
    <w:tmpl w:val="420AF75A"/>
    <w:lvl w:ilvl="0" w:tplc="04090001">
      <w:start w:val="1"/>
      <w:numFmt w:val="bullet"/>
      <w:lvlText w:val=""/>
      <w:lvlJc w:val="left"/>
      <w:pPr>
        <w:ind w:left="480" w:hanging="480"/>
      </w:pPr>
      <w:rPr>
        <w:rFonts w:ascii="細明體" w:hAnsi="細明體" w:hint="default"/>
      </w:rPr>
    </w:lvl>
    <w:lvl w:ilvl="1" w:tplc="04090003" w:tentative="1">
      <w:start w:val="1"/>
      <w:numFmt w:val="bullet"/>
      <w:lvlText w:val=""/>
      <w:lvlJc w:val="left"/>
      <w:pPr>
        <w:ind w:left="960" w:hanging="480"/>
      </w:pPr>
      <w:rPr>
        <w:rFonts w:ascii="細明體" w:hAnsi="細明體" w:hint="default"/>
      </w:rPr>
    </w:lvl>
    <w:lvl w:ilvl="2" w:tplc="04090005" w:tentative="1">
      <w:start w:val="1"/>
      <w:numFmt w:val="bullet"/>
      <w:lvlText w:val=""/>
      <w:lvlJc w:val="left"/>
      <w:pPr>
        <w:ind w:left="1440" w:hanging="480"/>
      </w:pPr>
      <w:rPr>
        <w:rFonts w:ascii="細明體" w:hAnsi="細明體" w:hint="default"/>
      </w:rPr>
    </w:lvl>
    <w:lvl w:ilvl="3" w:tplc="04090001" w:tentative="1">
      <w:start w:val="1"/>
      <w:numFmt w:val="bullet"/>
      <w:lvlText w:val=""/>
      <w:lvlJc w:val="left"/>
      <w:pPr>
        <w:ind w:left="1920" w:hanging="480"/>
      </w:pPr>
      <w:rPr>
        <w:rFonts w:ascii="細明體" w:hAnsi="細明體" w:hint="default"/>
      </w:rPr>
    </w:lvl>
    <w:lvl w:ilvl="4" w:tplc="04090003" w:tentative="1">
      <w:start w:val="1"/>
      <w:numFmt w:val="bullet"/>
      <w:lvlText w:val=""/>
      <w:lvlJc w:val="left"/>
      <w:pPr>
        <w:ind w:left="2400" w:hanging="480"/>
      </w:pPr>
      <w:rPr>
        <w:rFonts w:ascii="細明體" w:hAnsi="細明體" w:hint="default"/>
      </w:rPr>
    </w:lvl>
    <w:lvl w:ilvl="5" w:tplc="04090005" w:tentative="1">
      <w:start w:val="1"/>
      <w:numFmt w:val="bullet"/>
      <w:lvlText w:val=""/>
      <w:lvlJc w:val="left"/>
      <w:pPr>
        <w:ind w:left="2880" w:hanging="480"/>
      </w:pPr>
      <w:rPr>
        <w:rFonts w:ascii="細明體" w:hAnsi="細明體" w:hint="default"/>
      </w:rPr>
    </w:lvl>
    <w:lvl w:ilvl="6" w:tplc="04090001" w:tentative="1">
      <w:start w:val="1"/>
      <w:numFmt w:val="bullet"/>
      <w:lvlText w:val=""/>
      <w:lvlJc w:val="left"/>
      <w:pPr>
        <w:ind w:left="3360" w:hanging="480"/>
      </w:pPr>
      <w:rPr>
        <w:rFonts w:ascii="細明體" w:hAnsi="細明體" w:hint="default"/>
      </w:rPr>
    </w:lvl>
    <w:lvl w:ilvl="7" w:tplc="04090003" w:tentative="1">
      <w:start w:val="1"/>
      <w:numFmt w:val="bullet"/>
      <w:lvlText w:val=""/>
      <w:lvlJc w:val="left"/>
      <w:pPr>
        <w:ind w:left="3840" w:hanging="480"/>
      </w:pPr>
      <w:rPr>
        <w:rFonts w:ascii="細明體" w:hAnsi="細明體" w:hint="default"/>
      </w:rPr>
    </w:lvl>
    <w:lvl w:ilvl="8" w:tplc="04090005" w:tentative="1">
      <w:start w:val="1"/>
      <w:numFmt w:val="bullet"/>
      <w:lvlText w:val=""/>
      <w:lvlJc w:val="left"/>
      <w:pPr>
        <w:ind w:left="4320" w:hanging="480"/>
      </w:pPr>
      <w:rPr>
        <w:rFonts w:ascii="細明體" w:hAnsi="細明體" w:hint="default"/>
      </w:rPr>
    </w:lvl>
  </w:abstractNum>
  <w:abstractNum w:abstractNumId="8" w15:restartNumberingAfterBreak="0">
    <w:nsid w:val="6BE740FB"/>
    <w:multiLevelType w:val="hybridMultilevel"/>
    <w:tmpl w:val="D21E7EF4"/>
    <w:lvl w:ilvl="0" w:tplc="83EED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8"/>
  </w:num>
  <w:num w:numId="4">
    <w:abstractNumId w:val="0"/>
  </w:num>
  <w:num w:numId="5">
    <w:abstractNumId w:val="3"/>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74606"/>
    <w:rsid w:val="00001000"/>
    <w:rsid w:val="00001498"/>
    <w:rsid w:val="00001831"/>
    <w:rsid w:val="000018BB"/>
    <w:rsid w:val="00002556"/>
    <w:rsid w:val="00002C47"/>
    <w:rsid w:val="000030C3"/>
    <w:rsid w:val="00003182"/>
    <w:rsid w:val="00003BD2"/>
    <w:rsid w:val="0000416C"/>
    <w:rsid w:val="0000423E"/>
    <w:rsid w:val="0000447D"/>
    <w:rsid w:val="000049CD"/>
    <w:rsid w:val="00005C3A"/>
    <w:rsid w:val="000061E5"/>
    <w:rsid w:val="0000799A"/>
    <w:rsid w:val="00007BAA"/>
    <w:rsid w:val="000116B7"/>
    <w:rsid w:val="00011E80"/>
    <w:rsid w:val="00011E9E"/>
    <w:rsid w:val="000138FB"/>
    <w:rsid w:val="00013D1E"/>
    <w:rsid w:val="00014266"/>
    <w:rsid w:val="00014345"/>
    <w:rsid w:val="00014787"/>
    <w:rsid w:val="0001579F"/>
    <w:rsid w:val="0001585C"/>
    <w:rsid w:val="000163AE"/>
    <w:rsid w:val="00016768"/>
    <w:rsid w:val="00016E56"/>
    <w:rsid w:val="00020BDF"/>
    <w:rsid w:val="000213C7"/>
    <w:rsid w:val="000216EF"/>
    <w:rsid w:val="0002200F"/>
    <w:rsid w:val="0002226F"/>
    <w:rsid w:val="00023759"/>
    <w:rsid w:val="00023A98"/>
    <w:rsid w:val="00023C0D"/>
    <w:rsid w:val="0002429A"/>
    <w:rsid w:val="00024F29"/>
    <w:rsid w:val="0002511E"/>
    <w:rsid w:val="000253D5"/>
    <w:rsid w:val="000254A7"/>
    <w:rsid w:val="00026543"/>
    <w:rsid w:val="00026ACC"/>
    <w:rsid w:val="00027038"/>
    <w:rsid w:val="00027E31"/>
    <w:rsid w:val="0003070A"/>
    <w:rsid w:val="00030E4F"/>
    <w:rsid w:val="0003114C"/>
    <w:rsid w:val="00031390"/>
    <w:rsid w:val="00031561"/>
    <w:rsid w:val="00031863"/>
    <w:rsid w:val="000318C4"/>
    <w:rsid w:val="00031AA8"/>
    <w:rsid w:val="00032336"/>
    <w:rsid w:val="000342E9"/>
    <w:rsid w:val="00034D7B"/>
    <w:rsid w:val="00035130"/>
    <w:rsid w:val="000360DC"/>
    <w:rsid w:val="00036405"/>
    <w:rsid w:val="000406B3"/>
    <w:rsid w:val="000408A3"/>
    <w:rsid w:val="000412E6"/>
    <w:rsid w:val="00041D20"/>
    <w:rsid w:val="00041DA7"/>
    <w:rsid w:val="00042428"/>
    <w:rsid w:val="00042E00"/>
    <w:rsid w:val="00043BF6"/>
    <w:rsid w:val="00043D0E"/>
    <w:rsid w:val="00043DE6"/>
    <w:rsid w:val="00043EF5"/>
    <w:rsid w:val="00043FC4"/>
    <w:rsid w:val="00043FCB"/>
    <w:rsid w:val="000446CD"/>
    <w:rsid w:val="00044A50"/>
    <w:rsid w:val="00045D30"/>
    <w:rsid w:val="00046759"/>
    <w:rsid w:val="000467A4"/>
    <w:rsid w:val="0004691E"/>
    <w:rsid w:val="00046E8E"/>
    <w:rsid w:val="0004789C"/>
    <w:rsid w:val="000478B4"/>
    <w:rsid w:val="00050537"/>
    <w:rsid w:val="000508AF"/>
    <w:rsid w:val="00050BC1"/>
    <w:rsid w:val="00051A2C"/>
    <w:rsid w:val="000522FC"/>
    <w:rsid w:val="000543DB"/>
    <w:rsid w:val="00054EFE"/>
    <w:rsid w:val="00054F9C"/>
    <w:rsid w:val="0005526A"/>
    <w:rsid w:val="00055410"/>
    <w:rsid w:val="0005546A"/>
    <w:rsid w:val="00055A52"/>
    <w:rsid w:val="000562FA"/>
    <w:rsid w:val="00056700"/>
    <w:rsid w:val="00056989"/>
    <w:rsid w:val="00056F3F"/>
    <w:rsid w:val="00057A08"/>
    <w:rsid w:val="00057BA1"/>
    <w:rsid w:val="00057DB8"/>
    <w:rsid w:val="000602CF"/>
    <w:rsid w:val="000604E8"/>
    <w:rsid w:val="00062529"/>
    <w:rsid w:val="00062AF0"/>
    <w:rsid w:val="00064142"/>
    <w:rsid w:val="000648AE"/>
    <w:rsid w:val="00064A98"/>
    <w:rsid w:val="00065601"/>
    <w:rsid w:val="000662E4"/>
    <w:rsid w:val="0006666F"/>
    <w:rsid w:val="0006712D"/>
    <w:rsid w:val="00067A5C"/>
    <w:rsid w:val="00067AE7"/>
    <w:rsid w:val="00067BBF"/>
    <w:rsid w:val="00067FCB"/>
    <w:rsid w:val="000716E1"/>
    <w:rsid w:val="00071BD5"/>
    <w:rsid w:val="00071C1F"/>
    <w:rsid w:val="00072170"/>
    <w:rsid w:val="00072C93"/>
    <w:rsid w:val="00073E4F"/>
    <w:rsid w:val="00075732"/>
    <w:rsid w:val="00075B04"/>
    <w:rsid w:val="00075C16"/>
    <w:rsid w:val="00076080"/>
    <w:rsid w:val="00077A0F"/>
    <w:rsid w:val="00077A95"/>
    <w:rsid w:val="00080EB0"/>
    <w:rsid w:val="0008110F"/>
    <w:rsid w:val="0008173B"/>
    <w:rsid w:val="000824E5"/>
    <w:rsid w:val="00082547"/>
    <w:rsid w:val="000834FC"/>
    <w:rsid w:val="0008354F"/>
    <w:rsid w:val="00083991"/>
    <w:rsid w:val="00083E50"/>
    <w:rsid w:val="0008411A"/>
    <w:rsid w:val="00084181"/>
    <w:rsid w:val="00084E89"/>
    <w:rsid w:val="00085161"/>
    <w:rsid w:val="00085E79"/>
    <w:rsid w:val="00085EEC"/>
    <w:rsid w:val="00085FA3"/>
    <w:rsid w:val="000861AA"/>
    <w:rsid w:val="000861E8"/>
    <w:rsid w:val="00086C1C"/>
    <w:rsid w:val="00086FED"/>
    <w:rsid w:val="000871D9"/>
    <w:rsid w:val="000872D3"/>
    <w:rsid w:val="0008746D"/>
    <w:rsid w:val="0008763D"/>
    <w:rsid w:val="00087FDD"/>
    <w:rsid w:val="00087FF9"/>
    <w:rsid w:val="000902FA"/>
    <w:rsid w:val="0009037F"/>
    <w:rsid w:val="00091E2F"/>
    <w:rsid w:val="00092B18"/>
    <w:rsid w:val="00092CC7"/>
    <w:rsid w:val="00092F42"/>
    <w:rsid w:val="00093853"/>
    <w:rsid w:val="000938D7"/>
    <w:rsid w:val="00093D38"/>
    <w:rsid w:val="00095795"/>
    <w:rsid w:val="000959CC"/>
    <w:rsid w:val="0009785F"/>
    <w:rsid w:val="00097CE8"/>
    <w:rsid w:val="000A043C"/>
    <w:rsid w:val="000A0BE0"/>
    <w:rsid w:val="000A1040"/>
    <w:rsid w:val="000A163D"/>
    <w:rsid w:val="000A1952"/>
    <w:rsid w:val="000A1CE3"/>
    <w:rsid w:val="000A2230"/>
    <w:rsid w:val="000A264E"/>
    <w:rsid w:val="000A2AAB"/>
    <w:rsid w:val="000A357B"/>
    <w:rsid w:val="000A3971"/>
    <w:rsid w:val="000A3D3D"/>
    <w:rsid w:val="000A4AB3"/>
    <w:rsid w:val="000A5008"/>
    <w:rsid w:val="000A61D9"/>
    <w:rsid w:val="000A696B"/>
    <w:rsid w:val="000A6A0C"/>
    <w:rsid w:val="000A7072"/>
    <w:rsid w:val="000A729F"/>
    <w:rsid w:val="000A7757"/>
    <w:rsid w:val="000A7F19"/>
    <w:rsid w:val="000B04FD"/>
    <w:rsid w:val="000B12C2"/>
    <w:rsid w:val="000B14DC"/>
    <w:rsid w:val="000B2209"/>
    <w:rsid w:val="000B22AD"/>
    <w:rsid w:val="000B247F"/>
    <w:rsid w:val="000B3AE5"/>
    <w:rsid w:val="000B406C"/>
    <w:rsid w:val="000B530E"/>
    <w:rsid w:val="000B531D"/>
    <w:rsid w:val="000B587F"/>
    <w:rsid w:val="000B68E8"/>
    <w:rsid w:val="000B6C91"/>
    <w:rsid w:val="000C0360"/>
    <w:rsid w:val="000C2521"/>
    <w:rsid w:val="000C2651"/>
    <w:rsid w:val="000C313D"/>
    <w:rsid w:val="000C43D6"/>
    <w:rsid w:val="000C4FD1"/>
    <w:rsid w:val="000C5351"/>
    <w:rsid w:val="000C54A5"/>
    <w:rsid w:val="000C6AF3"/>
    <w:rsid w:val="000C7971"/>
    <w:rsid w:val="000C7F90"/>
    <w:rsid w:val="000D0099"/>
    <w:rsid w:val="000D16CE"/>
    <w:rsid w:val="000D1B36"/>
    <w:rsid w:val="000D24A6"/>
    <w:rsid w:val="000D71DD"/>
    <w:rsid w:val="000D7A7E"/>
    <w:rsid w:val="000D7BD8"/>
    <w:rsid w:val="000E132A"/>
    <w:rsid w:val="000E2CEC"/>
    <w:rsid w:val="000E326B"/>
    <w:rsid w:val="000E3F87"/>
    <w:rsid w:val="000E4396"/>
    <w:rsid w:val="000E47A3"/>
    <w:rsid w:val="000E5021"/>
    <w:rsid w:val="000E5FC8"/>
    <w:rsid w:val="000E5FEE"/>
    <w:rsid w:val="000E6C07"/>
    <w:rsid w:val="000E71BE"/>
    <w:rsid w:val="000E7478"/>
    <w:rsid w:val="000E74BD"/>
    <w:rsid w:val="000F01CE"/>
    <w:rsid w:val="000F0B26"/>
    <w:rsid w:val="000F0E66"/>
    <w:rsid w:val="000F12F0"/>
    <w:rsid w:val="000F1900"/>
    <w:rsid w:val="000F25AD"/>
    <w:rsid w:val="000F25FE"/>
    <w:rsid w:val="000F2E4E"/>
    <w:rsid w:val="000F39AB"/>
    <w:rsid w:val="000F46E7"/>
    <w:rsid w:val="000F4A58"/>
    <w:rsid w:val="000F4EB7"/>
    <w:rsid w:val="000F535A"/>
    <w:rsid w:val="000F5823"/>
    <w:rsid w:val="000F5888"/>
    <w:rsid w:val="000F630F"/>
    <w:rsid w:val="000F722C"/>
    <w:rsid w:val="000F7503"/>
    <w:rsid w:val="000F76DF"/>
    <w:rsid w:val="000F774B"/>
    <w:rsid w:val="000F7B84"/>
    <w:rsid w:val="0010000A"/>
    <w:rsid w:val="001002A3"/>
    <w:rsid w:val="00100CA3"/>
    <w:rsid w:val="00100D8E"/>
    <w:rsid w:val="00101569"/>
    <w:rsid w:val="00101AA4"/>
    <w:rsid w:val="00101F86"/>
    <w:rsid w:val="00102A67"/>
    <w:rsid w:val="00102ADC"/>
    <w:rsid w:val="00102E9B"/>
    <w:rsid w:val="00102FE5"/>
    <w:rsid w:val="00103691"/>
    <w:rsid w:val="00103FA9"/>
    <w:rsid w:val="00104563"/>
    <w:rsid w:val="00104B55"/>
    <w:rsid w:val="00104E6A"/>
    <w:rsid w:val="0010516B"/>
    <w:rsid w:val="001052E3"/>
    <w:rsid w:val="001054B0"/>
    <w:rsid w:val="001057E6"/>
    <w:rsid w:val="00106FE7"/>
    <w:rsid w:val="0010740B"/>
    <w:rsid w:val="001077A7"/>
    <w:rsid w:val="00111862"/>
    <w:rsid w:val="0011281A"/>
    <w:rsid w:val="00112A7C"/>
    <w:rsid w:val="00112F72"/>
    <w:rsid w:val="00113135"/>
    <w:rsid w:val="001137D8"/>
    <w:rsid w:val="00113CB1"/>
    <w:rsid w:val="001146B7"/>
    <w:rsid w:val="001148EF"/>
    <w:rsid w:val="00114902"/>
    <w:rsid w:val="00114B33"/>
    <w:rsid w:val="00115188"/>
    <w:rsid w:val="00117006"/>
    <w:rsid w:val="001170B2"/>
    <w:rsid w:val="001172B8"/>
    <w:rsid w:val="0011794D"/>
    <w:rsid w:val="00117A2A"/>
    <w:rsid w:val="00117A9E"/>
    <w:rsid w:val="0012065A"/>
    <w:rsid w:val="0012180A"/>
    <w:rsid w:val="00121D3E"/>
    <w:rsid w:val="0012295F"/>
    <w:rsid w:val="001239C4"/>
    <w:rsid w:val="00123ACB"/>
    <w:rsid w:val="00123BFC"/>
    <w:rsid w:val="001243E8"/>
    <w:rsid w:val="0012471D"/>
    <w:rsid w:val="00124C3A"/>
    <w:rsid w:val="00124F72"/>
    <w:rsid w:val="00124FE6"/>
    <w:rsid w:val="00125DBD"/>
    <w:rsid w:val="00126B5A"/>
    <w:rsid w:val="00130B4A"/>
    <w:rsid w:val="00130B76"/>
    <w:rsid w:val="00131BDA"/>
    <w:rsid w:val="001328A7"/>
    <w:rsid w:val="00133663"/>
    <w:rsid w:val="00133C5E"/>
    <w:rsid w:val="0013505F"/>
    <w:rsid w:val="00136E83"/>
    <w:rsid w:val="0013763F"/>
    <w:rsid w:val="00137875"/>
    <w:rsid w:val="00137B1D"/>
    <w:rsid w:val="001404C8"/>
    <w:rsid w:val="00140624"/>
    <w:rsid w:val="00140895"/>
    <w:rsid w:val="00140C42"/>
    <w:rsid w:val="00141650"/>
    <w:rsid w:val="001426C5"/>
    <w:rsid w:val="00142BEC"/>
    <w:rsid w:val="00143015"/>
    <w:rsid w:val="00143301"/>
    <w:rsid w:val="00143D35"/>
    <w:rsid w:val="00143F87"/>
    <w:rsid w:val="001445C3"/>
    <w:rsid w:val="00144C0C"/>
    <w:rsid w:val="0014558E"/>
    <w:rsid w:val="00145E38"/>
    <w:rsid w:val="00145E4A"/>
    <w:rsid w:val="001462D5"/>
    <w:rsid w:val="00146DAF"/>
    <w:rsid w:val="00147F1B"/>
    <w:rsid w:val="00150581"/>
    <w:rsid w:val="00150B56"/>
    <w:rsid w:val="0015160F"/>
    <w:rsid w:val="00151DF4"/>
    <w:rsid w:val="001520E7"/>
    <w:rsid w:val="00152282"/>
    <w:rsid w:val="001522EB"/>
    <w:rsid w:val="00152B7A"/>
    <w:rsid w:val="00152C2D"/>
    <w:rsid w:val="00153024"/>
    <w:rsid w:val="00153698"/>
    <w:rsid w:val="00153DF7"/>
    <w:rsid w:val="00154601"/>
    <w:rsid w:val="001546D9"/>
    <w:rsid w:val="001550E8"/>
    <w:rsid w:val="00155862"/>
    <w:rsid w:val="0015627E"/>
    <w:rsid w:val="00157107"/>
    <w:rsid w:val="001575BD"/>
    <w:rsid w:val="001576E0"/>
    <w:rsid w:val="0016005F"/>
    <w:rsid w:val="001602C2"/>
    <w:rsid w:val="00160462"/>
    <w:rsid w:val="00161A24"/>
    <w:rsid w:val="00162493"/>
    <w:rsid w:val="001636AF"/>
    <w:rsid w:val="0016381C"/>
    <w:rsid w:val="00163A26"/>
    <w:rsid w:val="00163C39"/>
    <w:rsid w:val="00163CFA"/>
    <w:rsid w:val="00164727"/>
    <w:rsid w:val="001648DA"/>
    <w:rsid w:val="00165886"/>
    <w:rsid w:val="001662CE"/>
    <w:rsid w:val="001674BE"/>
    <w:rsid w:val="00167747"/>
    <w:rsid w:val="0016785B"/>
    <w:rsid w:val="001701DB"/>
    <w:rsid w:val="00170691"/>
    <w:rsid w:val="0017115B"/>
    <w:rsid w:val="00172A35"/>
    <w:rsid w:val="00172DBC"/>
    <w:rsid w:val="00173FD4"/>
    <w:rsid w:val="0017528D"/>
    <w:rsid w:val="0017639F"/>
    <w:rsid w:val="001767CF"/>
    <w:rsid w:val="00177498"/>
    <w:rsid w:val="00177998"/>
    <w:rsid w:val="00177B0D"/>
    <w:rsid w:val="00177D73"/>
    <w:rsid w:val="00180F49"/>
    <w:rsid w:val="00181820"/>
    <w:rsid w:val="00181C69"/>
    <w:rsid w:val="00183327"/>
    <w:rsid w:val="00183EE3"/>
    <w:rsid w:val="001840B0"/>
    <w:rsid w:val="00184280"/>
    <w:rsid w:val="001842B6"/>
    <w:rsid w:val="001855A0"/>
    <w:rsid w:val="001855CB"/>
    <w:rsid w:val="00185945"/>
    <w:rsid w:val="001859E3"/>
    <w:rsid w:val="00185F59"/>
    <w:rsid w:val="00186762"/>
    <w:rsid w:val="001867B8"/>
    <w:rsid w:val="00187118"/>
    <w:rsid w:val="00187C46"/>
    <w:rsid w:val="00190E94"/>
    <w:rsid w:val="001910E5"/>
    <w:rsid w:val="00191188"/>
    <w:rsid w:val="00191685"/>
    <w:rsid w:val="0019169E"/>
    <w:rsid w:val="001917DF"/>
    <w:rsid w:val="001921A8"/>
    <w:rsid w:val="0019300E"/>
    <w:rsid w:val="00193398"/>
    <w:rsid w:val="00193A45"/>
    <w:rsid w:val="00193D1A"/>
    <w:rsid w:val="00193F8F"/>
    <w:rsid w:val="001942BE"/>
    <w:rsid w:val="00194768"/>
    <w:rsid w:val="00194AB8"/>
    <w:rsid w:val="00194B0A"/>
    <w:rsid w:val="00194D94"/>
    <w:rsid w:val="001957CD"/>
    <w:rsid w:val="001958C7"/>
    <w:rsid w:val="001961DF"/>
    <w:rsid w:val="00196223"/>
    <w:rsid w:val="0019630A"/>
    <w:rsid w:val="001A0630"/>
    <w:rsid w:val="001A2079"/>
    <w:rsid w:val="001A2815"/>
    <w:rsid w:val="001A2C55"/>
    <w:rsid w:val="001A2FB8"/>
    <w:rsid w:val="001A31AD"/>
    <w:rsid w:val="001A3569"/>
    <w:rsid w:val="001A3703"/>
    <w:rsid w:val="001A46B2"/>
    <w:rsid w:val="001A4A42"/>
    <w:rsid w:val="001A4F06"/>
    <w:rsid w:val="001A5059"/>
    <w:rsid w:val="001A519E"/>
    <w:rsid w:val="001A5376"/>
    <w:rsid w:val="001A6197"/>
    <w:rsid w:val="001A63BB"/>
    <w:rsid w:val="001A68C8"/>
    <w:rsid w:val="001A6B14"/>
    <w:rsid w:val="001A70DD"/>
    <w:rsid w:val="001A7682"/>
    <w:rsid w:val="001A7B6C"/>
    <w:rsid w:val="001B101C"/>
    <w:rsid w:val="001B135F"/>
    <w:rsid w:val="001B1977"/>
    <w:rsid w:val="001B1F91"/>
    <w:rsid w:val="001B2A86"/>
    <w:rsid w:val="001B3035"/>
    <w:rsid w:val="001B453E"/>
    <w:rsid w:val="001B4910"/>
    <w:rsid w:val="001B4F76"/>
    <w:rsid w:val="001B5879"/>
    <w:rsid w:val="001B7287"/>
    <w:rsid w:val="001B7B9C"/>
    <w:rsid w:val="001C00CC"/>
    <w:rsid w:val="001C0595"/>
    <w:rsid w:val="001C0AA0"/>
    <w:rsid w:val="001C1AD2"/>
    <w:rsid w:val="001C2149"/>
    <w:rsid w:val="001C2B6D"/>
    <w:rsid w:val="001C352C"/>
    <w:rsid w:val="001C3859"/>
    <w:rsid w:val="001C399B"/>
    <w:rsid w:val="001C481F"/>
    <w:rsid w:val="001C4BAF"/>
    <w:rsid w:val="001C4CF5"/>
    <w:rsid w:val="001C5950"/>
    <w:rsid w:val="001C5B15"/>
    <w:rsid w:val="001C6D5F"/>
    <w:rsid w:val="001C71EB"/>
    <w:rsid w:val="001D3CBB"/>
    <w:rsid w:val="001D3DEE"/>
    <w:rsid w:val="001D40DE"/>
    <w:rsid w:val="001D41C3"/>
    <w:rsid w:val="001D4A8E"/>
    <w:rsid w:val="001D4C5E"/>
    <w:rsid w:val="001D543A"/>
    <w:rsid w:val="001D6A21"/>
    <w:rsid w:val="001D6B12"/>
    <w:rsid w:val="001D7856"/>
    <w:rsid w:val="001D7B7D"/>
    <w:rsid w:val="001E07C8"/>
    <w:rsid w:val="001E0E73"/>
    <w:rsid w:val="001E1728"/>
    <w:rsid w:val="001E37D6"/>
    <w:rsid w:val="001E3AB6"/>
    <w:rsid w:val="001E3FA5"/>
    <w:rsid w:val="001E40BE"/>
    <w:rsid w:val="001E4112"/>
    <w:rsid w:val="001E45A0"/>
    <w:rsid w:val="001E56CF"/>
    <w:rsid w:val="001E579D"/>
    <w:rsid w:val="001E6995"/>
    <w:rsid w:val="001E720B"/>
    <w:rsid w:val="001E783F"/>
    <w:rsid w:val="001E7D28"/>
    <w:rsid w:val="001F0B85"/>
    <w:rsid w:val="001F0D06"/>
    <w:rsid w:val="001F21E6"/>
    <w:rsid w:val="001F2F09"/>
    <w:rsid w:val="001F3C7A"/>
    <w:rsid w:val="001F3D53"/>
    <w:rsid w:val="001F50F7"/>
    <w:rsid w:val="001F5950"/>
    <w:rsid w:val="001F649D"/>
    <w:rsid w:val="001F77A1"/>
    <w:rsid w:val="001F7A19"/>
    <w:rsid w:val="001F7E8A"/>
    <w:rsid w:val="002005AF"/>
    <w:rsid w:val="00201074"/>
    <w:rsid w:val="0020142C"/>
    <w:rsid w:val="0020191B"/>
    <w:rsid w:val="0020197A"/>
    <w:rsid w:val="002021F5"/>
    <w:rsid w:val="002022CF"/>
    <w:rsid w:val="00202561"/>
    <w:rsid w:val="00202BD7"/>
    <w:rsid w:val="00203627"/>
    <w:rsid w:val="00203649"/>
    <w:rsid w:val="0020406D"/>
    <w:rsid w:val="002041EB"/>
    <w:rsid w:val="0020550F"/>
    <w:rsid w:val="00205933"/>
    <w:rsid w:val="002078ED"/>
    <w:rsid w:val="00210A2B"/>
    <w:rsid w:val="00210ACD"/>
    <w:rsid w:val="00210B18"/>
    <w:rsid w:val="00210E3E"/>
    <w:rsid w:val="00211193"/>
    <w:rsid w:val="00211975"/>
    <w:rsid w:val="002120D8"/>
    <w:rsid w:val="002127B4"/>
    <w:rsid w:val="0021283B"/>
    <w:rsid w:val="00213140"/>
    <w:rsid w:val="00213A0E"/>
    <w:rsid w:val="00213C91"/>
    <w:rsid w:val="0021548D"/>
    <w:rsid w:val="0021735D"/>
    <w:rsid w:val="002173EE"/>
    <w:rsid w:val="00217DFA"/>
    <w:rsid w:val="00220280"/>
    <w:rsid w:val="00220570"/>
    <w:rsid w:val="00220F04"/>
    <w:rsid w:val="00221061"/>
    <w:rsid w:val="00221ACA"/>
    <w:rsid w:val="0022237C"/>
    <w:rsid w:val="00222A41"/>
    <w:rsid w:val="00223417"/>
    <w:rsid w:val="00223EBD"/>
    <w:rsid w:val="0022494F"/>
    <w:rsid w:val="002249B9"/>
    <w:rsid w:val="00225B76"/>
    <w:rsid w:val="0022704D"/>
    <w:rsid w:val="00227DC9"/>
    <w:rsid w:val="00227E88"/>
    <w:rsid w:val="00227EF9"/>
    <w:rsid w:val="00230BF2"/>
    <w:rsid w:val="00231A1B"/>
    <w:rsid w:val="0023217F"/>
    <w:rsid w:val="002326A9"/>
    <w:rsid w:val="00232B7A"/>
    <w:rsid w:val="002331CD"/>
    <w:rsid w:val="00233C07"/>
    <w:rsid w:val="00234626"/>
    <w:rsid w:val="0023487B"/>
    <w:rsid w:val="00234CE6"/>
    <w:rsid w:val="00235D97"/>
    <w:rsid w:val="00237947"/>
    <w:rsid w:val="00237F92"/>
    <w:rsid w:val="00240706"/>
    <w:rsid w:val="00240A40"/>
    <w:rsid w:val="00241BFE"/>
    <w:rsid w:val="002426C3"/>
    <w:rsid w:val="00242C5C"/>
    <w:rsid w:val="00242D04"/>
    <w:rsid w:val="002433DD"/>
    <w:rsid w:val="00243B17"/>
    <w:rsid w:val="00243D8A"/>
    <w:rsid w:val="0024406E"/>
    <w:rsid w:val="00244933"/>
    <w:rsid w:val="002464ED"/>
    <w:rsid w:val="002468F2"/>
    <w:rsid w:val="0025099A"/>
    <w:rsid w:val="002516F2"/>
    <w:rsid w:val="00251DB3"/>
    <w:rsid w:val="00252332"/>
    <w:rsid w:val="0025332E"/>
    <w:rsid w:val="0025406D"/>
    <w:rsid w:val="002542CB"/>
    <w:rsid w:val="00254E84"/>
    <w:rsid w:val="00255315"/>
    <w:rsid w:val="002565B3"/>
    <w:rsid w:val="00256CEF"/>
    <w:rsid w:val="00256CF0"/>
    <w:rsid w:val="00256F7D"/>
    <w:rsid w:val="0025774F"/>
    <w:rsid w:val="00260EFE"/>
    <w:rsid w:val="00261473"/>
    <w:rsid w:val="00261788"/>
    <w:rsid w:val="002617BD"/>
    <w:rsid w:val="00261CA1"/>
    <w:rsid w:val="0026257D"/>
    <w:rsid w:val="002626A3"/>
    <w:rsid w:val="002626F0"/>
    <w:rsid w:val="00262971"/>
    <w:rsid w:val="00262AE9"/>
    <w:rsid w:val="00262CE5"/>
    <w:rsid w:val="00263AC1"/>
    <w:rsid w:val="00263EFF"/>
    <w:rsid w:val="00264A6A"/>
    <w:rsid w:val="002659B4"/>
    <w:rsid w:val="00266344"/>
    <w:rsid w:val="00266B51"/>
    <w:rsid w:val="00267710"/>
    <w:rsid w:val="00267F99"/>
    <w:rsid w:val="002700BA"/>
    <w:rsid w:val="002710A3"/>
    <w:rsid w:val="002711D5"/>
    <w:rsid w:val="00271856"/>
    <w:rsid w:val="00271F7D"/>
    <w:rsid w:val="00272972"/>
    <w:rsid w:val="00273B78"/>
    <w:rsid w:val="00273BCA"/>
    <w:rsid w:val="0027546C"/>
    <w:rsid w:val="00275DCA"/>
    <w:rsid w:val="00276291"/>
    <w:rsid w:val="00276AAE"/>
    <w:rsid w:val="00276CEF"/>
    <w:rsid w:val="00276F8C"/>
    <w:rsid w:val="00276FD7"/>
    <w:rsid w:val="00277110"/>
    <w:rsid w:val="002779F0"/>
    <w:rsid w:val="00277CBE"/>
    <w:rsid w:val="0028019C"/>
    <w:rsid w:val="002810BC"/>
    <w:rsid w:val="0028225E"/>
    <w:rsid w:val="00282C6D"/>
    <w:rsid w:val="00283215"/>
    <w:rsid w:val="00283497"/>
    <w:rsid w:val="002834E5"/>
    <w:rsid w:val="00283A55"/>
    <w:rsid w:val="00283ED1"/>
    <w:rsid w:val="00283F67"/>
    <w:rsid w:val="002842B7"/>
    <w:rsid w:val="00284343"/>
    <w:rsid w:val="00284AF7"/>
    <w:rsid w:val="00286095"/>
    <w:rsid w:val="00286D72"/>
    <w:rsid w:val="002878DA"/>
    <w:rsid w:val="00290653"/>
    <w:rsid w:val="00290811"/>
    <w:rsid w:val="00290BF8"/>
    <w:rsid w:val="002914E4"/>
    <w:rsid w:val="00291FAD"/>
    <w:rsid w:val="00292063"/>
    <w:rsid w:val="0029239B"/>
    <w:rsid w:val="0029297C"/>
    <w:rsid w:val="002929C2"/>
    <w:rsid w:val="00292D7B"/>
    <w:rsid w:val="00292FAD"/>
    <w:rsid w:val="0029387D"/>
    <w:rsid w:val="002939D5"/>
    <w:rsid w:val="00293A0E"/>
    <w:rsid w:val="00295FE3"/>
    <w:rsid w:val="00296570"/>
    <w:rsid w:val="0029688C"/>
    <w:rsid w:val="00296CC2"/>
    <w:rsid w:val="00296DFE"/>
    <w:rsid w:val="00297385"/>
    <w:rsid w:val="00297530"/>
    <w:rsid w:val="002979F6"/>
    <w:rsid w:val="00297C75"/>
    <w:rsid w:val="002A1024"/>
    <w:rsid w:val="002A1BCF"/>
    <w:rsid w:val="002A1E94"/>
    <w:rsid w:val="002A2357"/>
    <w:rsid w:val="002A3073"/>
    <w:rsid w:val="002A393B"/>
    <w:rsid w:val="002A4264"/>
    <w:rsid w:val="002A50A4"/>
    <w:rsid w:val="002A5D8A"/>
    <w:rsid w:val="002A5E80"/>
    <w:rsid w:val="002A5FE6"/>
    <w:rsid w:val="002A74FE"/>
    <w:rsid w:val="002A7DCA"/>
    <w:rsid w:val="002B1FAB"/>
    <w:rsid w:val="002B21F8"/>
    <w:rsid w:val="002B2351"/>
    <w:rsid w:val="002B2A1E"/>
    <w:rsid w:val="002B300F"/>
    <w:rsid w:val="002B3EC3"/>
    <w:rsid w:val="002B45A7"/>
    <w:rsid w:val="002B5FF7"/>
    <w:rsid w:val="002B6E87"/>
    <w:rsid w:val="002B7639"/>
    <w:rsid w:val="002B7FFC"/>
    <w:rsid w:val="002C1847"/>
    <w:rsid w:val="002C1BB0"/>
    <w:rsid w:val="002C1D6B"/>
    <w:rsid w:val="002C1FBB"/>
    <w:rsid w:val="002C2412"/>
    <w:rsid w:val="002C264E"/>
    <w:rsid w:val="002C285B"/>
    <w:rsid w:val="002C3428"/>
    <w:rsid w:val="002C3AD2"/>
    <w:rsid w:val="002C4594"/>
    <w:rsid w:val="002C4A98"/>
    <w:rsid w:val="002C4C16"/>
    <w:rsid w:val="002C4D12"/>
    <w:rsid w:val="002C4DE1"/>
    <w:rsid w:val="002C4ED1"/>
    <w:rsid w:val="002C4F30"/>
    <w:rsid w:val="002C51E2"/>
    <w:rsid w:val="002C5D95"/>
    <w:rsid w:val="002C63ED"/>
    <w:rsid w:val="002C6836"/>
    <w:rsid w:val="002C6F30"/>
    <w:rsid w:val="002C782A"/>
    <w:rsid w:val="002C78D6"/>
    <w:rsid w:val="002C7992"/>
    <w:rsid w:val="002C7E1C"/>
    <w:rsid w:val="002D018F"/>
    <w:rsid w:val="002D035E"/>
    <w:rsid w:val="002D05F1"/>
    <w:rsid w:val="002D1173"/>
    <w:rsid w:val="002D126A"/>
    <w:rsid w:val="002D16C4"/>
    <w:rsid w:val="002D17DA"/>
    <w:rsid w:val="002D1FC5"/>
    <w:rsid w:val="002D27BF"/>
    <w:rsid w:val="002D281D"/>
    <w:rsid w:val="002D2AF7"/>
    <w:rsid w:val="002D3D71"/>
    <w:rsid w:val="002D4118"/>
    <w:rsid w:val="002D464F"/>
    <w:rsid w:val="002D636C"/>
    <w:rsid w:val="002D63C0"/>
    <w:rsid w:val="002D67D6"/>
    <w:rsid w:val="002D6C91"/>
    <w:rsid w:val="002D7391"/>
    <w:rsid w:val="002D77B4"/>
    <w:rsid w:val="002D7858"/>
    <w:rsid w:val="002E128C"/>
    <w:rsid w:val="002E1643"/>
    <w:rsid w:val="002E1C48"/>
    <w:rsid w:val="002E2B2D"/>
    <w:rsid w:val="002E2ECF"/>
    <w:rsid w:val="002E33D5"/>
    <w:rsid w:val="002E33EA"/>
    <w:rsid w:val="002E374E"/>
    <w:rsid w:val="002E421C"/>
    <w:rsid w:val="002E569A"/>
    <w:rsid w:val="002E56E9"/>
    <w:rsid w:val="002E6311"/>
    <w:rsid w:val="002E75F6"/>
    <w:rsid w:val="002E7821"/>
    <w:rsid w:val="002F01C1"/>
    <w:rsid w:val="002F16A4"/>
    <w:rsid w:val="002F31D6"/>
    <w:rsid w:val="002F3211"/>
    <w:rsid w:val="002F3B71"/>
    <w:rsid w:val="002F44E1"/>
    <w:rsid w:val="002F5AAD"/>
    <w:rsid w:val="002F755E"/>
    <w:rsid w:val="00300B2C"/>
    <w:rsid w:val="00302A47"/>
    <w:rsid w:val="00302BD3"/>
    <w:rsid w:val="00303125"/>
    <w:rsid w:val="003031A8"/>
    <w:rsid w:val="003032BF"/>
    <w:rsid w:val="0030370C"/>
    <w:rsid w:val="00305250"/>
    <w:rsid w:val="003056BF"/>
    <w:rsid w:val="003058EC"/>
    <w:rsid w:val="00306449"/>
    <w:rsid w:val="003064B3"/>
    <w:rsid w:val="00307665"/>
    <w:rsid w:val="003101EF"/>
    <w:rsid w:val="003104DE"/>
    <w:rsid w:val="003116CE"/>
    <w:rsid w:val="00312798"/>
    <w:rsid w:val="0031358B"/>
    <w:rsid w:val="003139D4"/>
    <w:rsid w:val="00313DF3"/>
    <w:rsid w:val="0031554F"/>
    <w:rsid w:val="00315E56"/>
    <w:rsid w:val="00316BDA"/>
    <w:rsid w:val="0031712C"/>
    <w:rsid w:val="003206A7"/>
    <w:rsid w:val="003219AD"/>
    <w:rsid w:val="003226F1"/>
    <w:rsid w:val="00322752"/>
    <w:rsid w:val="00322997"/>
    <w:rsid w:val="00322BA5"/>
    <w:rsid w:val="003230D0"/>
    <w:rsid w:val="00323A8A"/>
    <w:rsid w:val="00323F87"/>
    <w:rsid w:val="00324247"/>
    <w:rsid w:val="003247B7"/>
    <w:rsid w:val="00324DE6"/>
    <w:rsid w:val="003257E2"/>
    <w:rsid w:val="00325E75"/>
    <w:rsid w:val="00325FB1"/>
    <w:rsid w:val="003262E0"/>
    <w:rsid w:val="00327724"/>
    <w:rsid w:val="00327ED3"/>
    <w:rsid w:val="00330E84"/>
    <w:rsid w:val="00330FF2"/>
    <w:rsid w:val="00331677"/>
    <w:rsid w:val="00332498"/>
    <w:rsid w:val="00333A99"/>
    <w:rsid w:val="00333E44"/>
    <w:rsid w:val="003342A3"/>
    <w:rsid w:val="00334A68"/>
    <w:rsid w:val="00335185"/>
    <w:rsid w:val="003356C7"/>
    <w:rsid w:val="00335812"/>
    <w:rsid w:val="003358F3"/>
    <w:rsid w:val="00335E6C"/>
    <w:rsid w:val="00336109"/>
    <w:rsid w:val="00336343"/>
    <w:rsid w:val="0033744A"/>
    <w:rsid w:val="00337656"/>
    <w:rsid w:val="0034001A"/>
    <w:rsid w:val="00340382"/>
    <w:rsid w:val="0034109D"/>
    <w:rsid w:val="003426E1"/>
    <w:rsid w:val="0034278C"/>
    <w:rsid w:val="00342CD1"/>
    <w:rsid w:val="00343429"/>
    <w:rsid w:val="00343554"/>
    <w:rsid w:val="00343B15"/>
    <w:rsid w:val="00343FAD"/>
    <w:rsid w:val="003452B5"/>
    <w:rsid w:val="00345E4D"/>
    <w:rsid w:val="003469AE"/>
    <w:rsid w:val="003501CF"/>
    <w:rsid w:val="00351577"/>
    <w:rsid w:val="003518EE"/>
    <w:rsid w:val="00352BC0"/>
    <w:rsid w:val="00353E0A"/>
    <w:rsid w:val="00354256"/>
    <w:rsid w:val="0035433A"/>
    <w:rsid w:val="00354852"/>
    <w:rsid w:val="00354D68"/>
    <w:rsid w:val="0035548A"/>
    <w:rsid w:val="00356D65"/>
    <w:rsid w:val="003607A9"/>
    <w:rsid w:val="0036090D"/>
    <w:rsid w:val="00361B04"/>
    <w:rsid w:val="00361BB2"/>
    <w:rsid w:val="0036233B"/>
    <w:rsid w:val="0036301E"/>
    <w:rsid w:val="0036461A"/>
    <w:rsid w:val="00364919"/>
    <w:rsid w:val="00364F19"/>
    <w:rsid w:val="00365799"/>
    <w:rsid w:val="003659B8"/>
    <w:rsid w:val="00365B65"/>
    <w:rsid w:val="00365BD8"/>
    <w:rsid w:val="00366E29"/>
    <w:rsid w:val="00366F16"/>
    <w:rsid w:val="003679E9"/>
    <w:rsid w:val="003703EA"/>
    <w:rsid w:val="00370B4F"/>
    <w:rsid w:val="00371066"/>
    <w:rsid w:val="00372353"/>
    <w:rsid w:val="003735C2"/>
    <w:rsid w:val="00374086"/>
    <w:rsid w:val="003744DD"/>
    <w:rsid w:val="00374B3C"/>
    <w:rsid w:val="0037585C"/>
    <w:rsid w:val="00375D72"/>
    <w:rsid w:val="00375EF7"/>
    <w:rsid w:val="00380F5C"/>
    <w:rsid w:val="00381AA7"/>
    <w:rsid w:val="003824CD"/>
    <w:rsid w:val="00382AAE"/>
    <w:rsid w:val="00384F54"/>
    <w:rsid w:val="003853F9"/>
    <w:rsid w:val="00385C65"/>
    <w:rsid w:val="00385D9C"/>
    <w:rsid w:val="00385DC5"/>
    <w:rsid w:val="00386667"/>
    <w:rsid w:val="00386743"/>
    <w:rsid w:val="003870F5"/>
    <w:rsid w:val="00387B4D"/>
    <w:rsid w:val="0039016C"/>
    <w:rsid w:val="00390302"/>
    <w:rsid w:val="00390524"/>
    <w:rsid w:val="003907AC"/>
    <w:rsid w:val="00391498"/>
    <w:rsid w:val="00391532"/>
    <w:rsid w:val="00391ED8"/>
    <w:rsid w:val="003921F8"/>
    <w:rsid w:val="0039241C"/>
    <w:rsid w:val="00392868"/>
    <w:rsid w:val="0039431A"/>
    <w:rsid w:val="003947DB"/>
    <w:rsid w:val="00394A0C"/>
    <w:rsid w:val="00395319"/>
    <w:rsid w:val="003965EC"/>
    <w:rsid w:val="00396A03"/>
    <w:rsid w:val="003976B1"/>
    <w:rsid w:val="003A0C8A"/>
    <w:rsid w:val="003A1894"/>
    <w:rsid w:val="003A18E2"/>
    <w:rsid w:val="003A22C3"/>
    <w:rsid w:val="003A29DD"/>
    <w:rsid w:val="003A2B1C"/>
    <w:rsid w:val="003A2BE2"/>
    <w:rsid w:val="003A3BC5"/>
    <w:rsid w:val="003A4FCD"/>
    <w:rsid w:val="003A5129"/>
    <w:rsid w:val="003A551D"/>
    <w:rsid w:val="003A6C20"/>
    <w:rsid w:val="003A6C71"/>
    <w:rsid w:val="003A6EC8"/>
    <w:rsid w:val="003A76FB"/>
    <w:rsid w:val="003B0A02"/>
    <w:rsid w:val="003B0FFE"/>
    <w:rsid w:val="003B119A"/>
    <w:rsid w:val="003B148B"/>
    <w:rsid w:val="003B148C"/>
    <w:rsid w:val="003B2AF7"/>
    <w:rsid w:val="003B3F22"/>
    <w:rsid w:val="003B52A1"/>
    <w:rsid w:val="003B57C5"/>
    <w:rsid w:val="003B5E79"/>
    <w:rsid w:val="003B691D"/>
    <w:rsid w:val="003B79C1"/>
    <w:rsid w:val="003B7D0F"/>
    <w:rsid w:val="003C0DE8"/>
    <w:rsid w:val="003C0EA0"/>
    <w:rsid w:val="003C0EAD"/>
    <w:rsid w:val="003C25E4"/>
    <w:rsid w:val="003C27DE"/>
    <w:rsid w:val="003C2C5D"/>
    <w:rsid w:val="003C619D"/>
    <w:rsid w:val="003C6BDD"/>
    <w:rsid w:val="003C7161"/>
    <w:rsid w:val="003C7F16"/>
    <w:rsid w:val="003D1115"/>
    <w:rsid w:val="003D1128"/>
    <w:rsid w:val="003D198B"/>
    <w:rsid w:val="003D1AFA"/>
    <w:rsid w:val="003D1E47"/>
    <w:rsid w:val="003D2074"/>
    <w:rsid w:val="003D2778"/>
    <w:rsid w:val="003D2B6D"/>
    <w:rsid w:val="003D2F59"/>
    <w:rsid w:val="003D2F5B"/>
    <w:rsid w:val="003D3337"/>
    <w:rsid w:val="003D341D"/>
    <w:rsid w:val="003D3B17"/>
    <w:rsid w:val="003D4E22"/>
    <w:rsid w:val="003D5269"/>
    <w:rsid w:val="003D54CC"/>
    <w:rsid w:val="003D5645"/>
    <w:rsid w:val="003D64CF"/>
    <w:rsid w:val="003D7869"/>
    <w:rsid w:val="003E022A"/>
    <w:rsid w:val="003E0907"/>
    <w:rsid w:val="003E0D09"/>
    <w:rsid w:val="003E10A8"/>
    <w:rsid w:val="003E16BB"/>
    <w:rsid w:val="003E18D8"/>
    <w:rsid w:val="003E2524"/>
    <w:rsid w:val="003E3760"/>
    <w:rsid w:val="003E3C07"/>
    <w:rsid w:val="003E3DAE"/>
    <w:rsid w:val="003E4672"/>
    <w:rsid w:val="003E51B3"/>
    <w:rsid w:val="003E5E19"/>
    <w:rsid w:val="003E5E3B"/>
    <w:rsid w:val="003E6B06"/>
    <w:rsid w:val="003E73E4"/>
    <w:rsid w:val="003F0443"/>
    <w:rsid w:val="003F0446"/>
    <w:rsid w:val="003F19EF"/>
    <w:rsid w:val="003F1E1E"/>
    <w:rsid w:val="003F229D"/>
    <w:rsid w:val="003F232D"/>
    <w:rsid w:val="003F2DDC"/>
    <w:rsid w:val="003F4144"/>
    <w:rsid w:val="003F53F0"/>
    <w:rsid w:val="003F56C3"/>
    <w:rsid w:val="003F5972"/>
    <w:rsid w:val="003F73CC"/>
    <w:rsid w:val="00400832"/>
    <w:rsid w:val="00400C3A"/>
    <w:rsid w:val="00400FD1"/>
    <w:rsid w:val="004012D7"/>
    <w:rsid w:val="00401486"/>
    <w:rsid w:val="00402C83"/>
    <w:rsid w:val="00403074"/>
    <w:rsid w:val="00403C25"/>
    <w:rsid w:val="0040423B"/>
    <w:rsid w:val="004042B9"/>
    <w:rsid w:val="00406202"/>
    <w:rsid w:val="0040671E"/>
    <w:rsid w:val="00406CAA"/>
    <w:rsid w:val="004073E9"/>
    <w:rsid w:val="0040784D"/>
    <w:rsid w:val="004112B3"/>
    <w:rsid w:val="00411783"/>
    <w:rsid w:val="0041257B"/>
    <w:rsid w:val="00413560"/>
    <w:rsid w:val="00413C27"/>
    <w:rsid w:val="00413C87"/>
    <w:rsid w:val="00413C9B"/>
    <w:rsid w:val="004140EF"/>
    <w:rsid w:val="004141D0"/>
    <w:rsid w:val="004145D1"/>
    <w:rsid w:val="004148B7"/>
    <w:rsid w:val="0041494C"/>
    <w:rsid w:val="00415F9D"/>
    <w:rsid w:val="004166E2"/>
    <w:rsid w:val="00416F47"/>
    <w:rsid w:val="0041716D"/>
    <w:rsid w:val="0041749B"/>
    <w:rsid w:val="00420DFA"/>
    <w:rsid w:val="00420EA1"/>
    <w:rsid w:val="004221D1"/>
    <w:rsid w:val="00422947"/>
    <w:rsid w:val="0042360C"/>
    <w:rsid w:val="004239D5"/>
    <w:rsid w:val="00423A14"/>
    <w:rsid w:val="00424160"/>
    <w:rsid w:val="0042483A"/>
    <w:rsid w:val="00424958"/>
    <w:rsid w:val="00424ECB"/>
    <w:rsid w:val="00424F97"/>
    <w:rsid w:val="00425420"/>
    <w:rsid w:val="00425741"/>
    <w:rsid w:val="00425943"/>
    <w:rsid w:val="004267B9"/>
    <w:rsid w:val="004267E8"/>
    <w:rsid w:val="00426E06"/>
    <w:rsid w:val="00430472"/>
    <w:rsid w:val="00430633"/>
    <w:rsid w:val="00430E45"/>
    <w:rsid w:val="00431025"/>
    <w:rsid w:val="00431036"/>
    <w:rsid w:val="00431192"/>
    <w:rsid w:val="004315C6"/>
    <w:rsid w:val="004327AA"/>
    <w:rsid w:val="00432E2C"/>
    <w:rsid w:val="00433A1F"/>
    <w:rsid w:val="004342D2"/>
    <w:rsid w:val="00435758"/>
    <w:rsid w:val="0043711E"/>
    <w:rsid w:val="00440114"/>
    <w:rsid w:val="004403B7"/>
    <w:rsid w:val="00441484"/>
    <w:rsid w:val="004414B3"/>
    <w:rsid w:val="00441F5E"/>
    <w:rsid w:val="004439A6"/>
    <w:rsid w:val="004442E0"/>
    <w:rsid w:val="0044461D"/>
    <w:rsid w:val="0044479F"/>
    <w:rsid w:val="0044505C"/>
    <w:rsid w:val="0044572B"/>
    <w:rsid w:val="0044628C"/>
    <w:rsid w:val="004462C4"/>
    <w:rsid w:val="004462CB"/>
    <w:rsid w:val="0044792C"/>
    <w:rsid w:val="00447DE9"/>
    <w:rsid w:val="00447F48"/>
    <w:rsid w:val="004510F3"/>
    <w:rsid w:val="004513D9"/>
    <w:rsid w:val="00451B3D"/>
    <w:rsid w:val="00452C56"/>
    <w:rsid w:val="00452D66"/>
    <w:rsid w:val="00453119"/>
    <w:rsid w:val="00454131"/>
    <w:rsid w:val="00454952"/>
    <w:rsid w:val="00454B33"/>
    <w:rsid w:val="00454BA4"/>
    <w:rsid w:val="00454C23"/>
    <w:rsid w:val="00454EE3"/>
    <w:rsid w:val="00455069"/>
    <w:rsid w:val="00455495"/>
    <w:rsid w:val="00455D2B"/>
    <w:rsid w:val="0045616D"/>
    <w:rsid w:val="004561E9"/>
    <w:rsid w:val="00456304"/>
    <w:rsid w:val="00456305"/>
    <w:rsid w:val="00456844"/>
    <w:rsid w:val="0045719F"/>
    <w:rsid w:val="00457841"/>
    <w:rsid w:val="00457A4F"/>
    <w:rsid w:val="00457D71"/>
    <w:rsid w:val="004601D8"/>
    <w:rsid w:val="004609AE"/>
    <w:rsid w:val="00460B53"/>
    <w:rsid w:val="004612A4"/>
    <w:rsid w:val="00461465"/>
    <w:rsid w:val="00461BD7"/>
    <w:rsid w:val="00461D86"/>
    <w:rsid w:val="00463121"/>
    <w:rsid w:val="004641FE"/>
    <w:rsid w:val="00464708"/>
    <w:rsid w:val="0046579C"/>
    <w:rsid w:val="00465FB2"/>
    <w:rsid w:val="004664BF"/>
    <w:rsid w:val="004665BF"/>
    <w:rsid w:val="00466603"/>
    <w:rsid w:val="004702E1"/>
    <w:rsid w:val="00471AE7"/>
    <w:rsid w:val="00473C4F"/>
    <w:rsid w:val="004742DF"/>
    <w:rsid w:val="0047487B"/>
    <w:rsid w:val="00474DED"/>
    <w:rsid w:val="00474E62"/>
    <w:rsid w:val="0047545F"/>
    <w:rsid w:val="00475B2C"/>
    <w:rsid w:val="00475BB7"/>
    <w:rsid w:val="00476017"/>
    <w:rsid w:val="0047700D"/>
    <w:rsid w:val="004772ED"/>
    <w:rsid w:val="0047755E"/>
    <w:rsid w:val="0047758D"/>
    <w:rsid w:val="00477A48"/>
    <w:rsid w:val="00477C99"/>
    <w:rsid w:val="00480B65"/>
    <w:rsid w:val="00480FA4"/>
    <w:rsid w:val="00481175"/>
    <w:rsid w:val="00481362"/>
    <w:rsid w:val="004815A4"/>
    <w:rsid w:val="0048223D"/>
    <w:rsid w:val="00484158"/>
    <w:rsid w:val="00484246"/>
    <w:rsid w:val="00484592"/>
    <w:rsid w:val="00484616"/>
    <w:rsid w:val="00484620"/>
    <w:rsid w:val="00484E42"/>
    <w:rsid w:val="00486312"/>
    <w:rsid w:val="004864AE"/>
    <w:rsid w:val="004869EF"/>
    <w:rsid w:val="004873A0"/>
    <w:rsid w:val="00490579"/>
    <w:rsid w:val="004908C8"/>
    <w:rsid w:val="00490904"/>
    <w:rsid w:val="00490DDF"/>
    <w:rsid w:val="00490EDF"/>
    <w:rsid w:val="004912FB"/>
    <w:rsid w:val="0049183C"/>
    <w:rsid w:val="00491A76"/>
    <w:rsid w:val="00491E95"/>
    <w:rsid w:val="004922B4"/>
    <w:rsid w:val="004924D3"/>
    <w:rsid w:val="004932D2"/>
    <w:rsid w:val="004934A1"/>
    <w:rsid w:val="00493FCB"/>
    <w:rsid w:val="0049521B"/>
    <w:rsid w:val="004957D3"/>
    <w:rsid w:val="0049652F"/>
    <w:rsid w:val="00497523"/>
    <w:rsid w:val="004979D7"/>
    <w:rsid w:val="00497CD0"/>
    <w:rsid w:val="004A0064"/>
    <w:rsid w:val="004A0A3B"/>
    <w:rsid w:val="004A0BA9"/>
    <w:rsid w:val="004A1839"/>
    <w:rsid w:val="004A215A"/>
    <w:rsid w:val="004A234A"/>
    <w:rsid w:val="004A2426"/>
    <w:rsid w:val="004A2D90"/>
    <w:rsid w:val="004A41D3"/>
    <w:rsid w:val="004A5EF5"/>
    <w:rsid w:val="004A62FF"/>
    <w:rsid w:val="004A641D"/>
    <w:rsid w:val="004A6B94"/>
    <w:rsid w:val="004A7A08"/>
    <w:rsid w:val="004A7AEB"/>
    <w:rsid w:val="004B0875"/>
    <w:rsid w:val="004B1647"/>
    <w:rsid w:val="004B173F"/>
    <w:rsid w:val="004B2167"/>
    <w:rsid w:val="004B3AF0"/>
    <w:rsid w:val="004B3CCD"/>
    <w:rsid w:val="004B42C6"/>
    <w:rsid w:val="004B45A1"/>
    <w:rsid w:val="004B4C37"/>
    <w:rsid w:val="004B6A6C"/>
    <w:rsid w:val="004B6D4E"/>
    <w:rsid w:val="004B7160"/>
    <w:rsid w:val="004B71D5"/>
    <w:rsid w:val="004B77AA"/>
    <w:rsid w:val="004B7A02"/>
    <w:rsid w:val="004B7D16"/>
    <w:rsid w:val="004C045E"/>
    <w:rsid w:val="004C056F"/>
    <w:rsid w:val="004C0DE1"/>
    <w:rsid w:val="004C1595"/>
    <w:rsid w:val="004C204A"/>
    <w:rsid w:val="004C23E6"/>
    <w:rsid w:val="004C2582"/>
    <w:rsid w:val="004C270F"/>
    <w:rsid w:val="004C2E4C"/>
    <w:rsid w:val="004C462B"/>
    <w:rsid w:val="004C5E44"/>
    <w:rsid w:val="004C648C"/>
    <w:rsid w:val="004C6B3D"/>
    <w:rsid w:val="004C6DA8"/>
    <w:rsid w:val="004C741B"/>
    <w:rsid w:val="004D1830"/>
    <w:rsid w:val="004D1F93"/>
    <w:rsid w:val="004D2D89"/>
    <w:rsid w:val="004D37F8"/>
    <w:rsid w:val="004D4186"/>
    <w:rsid w:val="004D53A2"/>
    <w:rsid w:val="004D545B"/>
    <w:rsid w:val="004D5A19"/>
    <w:rsid w:val="004D5AF3"/>
    <w:rsid w:val="004D6C33"/>
    <w:rsid w:val="004D7075"/>
    <w:rsid w:val="004D7328"/>
    <w:rsid w:val="004D7C61"/>
    <w:rsid w:val="004E0E84"/>
    <w:rsid w:val="004E11E4"/>
    <w:rsid w:val="004E25FE"/>
    <w:rsid w:val="004E2AA5"/>
    <w:rsid w:val="004E2D83"/>
    <w:rsid w:val="004E3002"/>
    <w:rsid w:val="004E3BC4"/>
    <w:rsid w:val="004E4272"/>
    <w:rsid w:val="004E4D52"/>
    <w:rsid w:val="004E500A"/>
    <w:rsid w:val="004E5038"/>
    <w:rsid w:val="004E5429"/>
    <w:rsid w:val="004E574F"/>
    <w:rsid w:val="004E5873"/>
    <w:rsid w:val="004E5C68"/>
    <w:rsid w:val="004E5FAA"/>
    <w:rsid w:val="004E6202"/>
    <w:rsid w:val="004E6716"/>
    <w:rsid w:val="004E6DB3"/>
    <w:rsid w:val="004E7045"/>
    <w:rsid w:val="004E7A11"/>
    <w:rsid w:val="004E7CE6"/>
    <w:rsid w:val="004E7D09"/>
    <w:rsid w:val="004F06EC"/>
    <w:rsid w:val="004F0F5C"/>
    <w:rsid w:val="004F0F9D"/>
    <w:rsid w:val="004F134E"/>
    <w:rsid w:val="004F19C1"/>
    <w:rsid w:val="004F1E31"/>
    <w:rsid w:val="004F32BD"/>
    <w:rsid w:val="004F342B"/>
    <w:rsid w:val="004F34C5"/>
    <w:rsid w:val="004F3BB1"/>
    <w:rsid w:val="004F4E22"/>
    <w:rsid w:val="004F56A3"/>
    <w:rsid w:val="004F56C7"/>
    <w:rsid w:val="004F594E"/>
    <w:rsid w:val="004F67D7"/>
    <w:rsid w:val="004F6B11"/>
    <w:rsid w:val="004F7482"/>
    <w:rsid w:val="00500252"/>
    <w:rsid w:val="005005DA"/>
    <w:rsid w:val="00500F24"/>
    <w:rsid w:val="00501032"/>
    <w:rsid w:val="005010AE"/>
    <w:rsid w:val="00501AF2"/>
    <w:rsid w:val="00501BFB"/>
    <w:rsid w:val="00501CD1"/>
    <w:rsid w:val="0050205C"/>
    <w:rsid w:val="00502781"/>
    <w:rsid w:val="005027E0"/>
    <w:rsid w:val="00503A5A"/>
    <w:rsid w:val="00504E83"/>
    <w:rsid w:val="005050DC"/>
    <w:rsid w:val="00506247"/>
    <w:rsid w:val="00507013"/>
    <w:rsid w:val="00507028"/>
    <w:rsid w:val="0050748D"/>
    <w:rsid w:val="0050749C"/>
    <w:rsid w:val="005077F7"/>
    <w:rsid w:val="00510278"/>
    <w:rsid w:val="00510AD9"/>
    <w:rsid w:val="00510E08"/>
    <w:rsid w:val="00510F87"/>
    <w:rsid w:val="0051153A"/>
    <w:rsid w:val="00511673"/>
    <w:rsid w:val="005117CC"/>
    <w:rsid w:val="00511C5D"/>
    <w:rsid w:val="0051205D"/>
    <w:rsid w:val="005120BB"/>
    <w:rsid w:val="005124C1"/>
    <w:rsid w:val="00512941"/>
    <w:rsid w:val="00512C3E"/>
    <w:rsid w:val="0051334F"/>
    <w:rsid w:val="005139B7"/>
    <w:rsid w:val="00513C38"/>
    <w:rsid w:val="00513D44"/>
    <w:rsid w:val="005141FD"/>
    <w:rsid w:val="0051429C"/>
    <w:rsid w:val="00514AF7"/>
    <w:rsid w:val="00515216"/>
    <w:rsid w:val="00516470"/>
    <w:rsid w:val="00516571"/>
    <w:rsid w:val="005170F0"/>
    <w:rsid w:val="005200BC"/>
    <w:rsid w:val="005200C8"/>
    <w:rsid w:val="005205DC"/>
    <w:rsid w:val="005218C3"/>
    <w:rsid w:val="005221FC"/>
    <w:rsid w:val="0052221A"/>
    <w:rsid w:val="00523B28"/>
    <w:rsid w:val="00523DE1"/>
    <w:rsid w:val="005243E5"/>
    <w:rsid w:val="00525802"/>
    <w:rsid w:val="00527421"/>
    <w:rsid w:val="00527771"/>
    <w:rsid w:val="00527A37"/>
    <w:rsid w:val="00527A7C"/>
    <w:rsid w:val="00530084"/>
    <w:rsid w:val="005304B7"/>
    <w:rsid w:val="005305FE"/>
    <w:rsid w:val="00530A00"/>
    <w:rsid w:val="0053127E"/>
    <w:rsid w:val="005316BC"/>
    <w:rsid w:val="005324F6"/>
    <w:rsid w:val="005339AA"/>
    <w:rsid w:val="00533EC6"/>
    <w:rsid w:val="0053403E"/>
    <w:rsid w:val="00534307"/>
    <w:rsid w:val="005343F1"/>
    <w:rsid w:val="00534402"/>
    <w:rsid w:val="005346DE"/>
    <w:rsid w:val="00534947"/>
    <w:rsid w:val="00535654"/>
    <w:rsid w:val="00535ADC"/>
    <w:rsid w:val="00535F02"/>
    <w:rsid w:val="005362BB"/>
    <w:rsid w:val="0053654B"/>
    <w:rsid w:val="005366A9"/>
    <w:rsid w:val="00536753"/>
    <w:rsid w:val="005400FF"/>
    <w:rsid w:val="0054013A"/>
    <w:rsid w:val="005401A5"/>
    <w:rsid w:val="0054045F"/>
    <w:rsid w:val="005404F5"/>
    <w:rsid w:val="00540FC9"/>
    <w:rsid w:val="00541412"/>
    <w:rsid w:val="00542EAF"/>
    <w:rsid w:val="00543D1F"/>
    <w:rsid w:val="005447D8"/>
    <w:rsid w:val="00544EE9"/>
    <w:rsid w:val="005451BD"/>
    <w:rsid w:val="00545680"/>
    <w:rsid w:val="005456CE"/>
    <w:rsid w:val="00545C73"/>
    <w:rsid w:val="00545F5B"/>
    <w:rsid w:val="00546019"/>
    <w:rsid w:val="00546C89"/>
    <w:rsid w:val="00546D9D"/>
    <w:rsid w:val="00547091"/>
    <w:rsid w:val="005479E6"/>
    <w:rsid w:val="00547B46"/>
    <w:rsid w:val="00547DB6"/>
    <w:rsid w:val="005517DD"/>
    <w:rsid w:val="00551ED7"/>
    <w:rsid w:val="0055206C"/>
    <w:rsid w:val="005524E9"/>
    <w:rsid w:val="00553365"/>
    <w:rsid w:val="0055498C"/>
    <w:rsid w:val="005562CC"/>
    <w:rsid w:val="00556931"/>
    <w:rsid w:val="00557A53"/>
    <w:rsid w:val="00560CF8"/>
    <w:rsid w:val="00561CFC"/>
    <w:rsid w:val="00562422"/>
    <w:rsid w:val="0056261F"/>
    <w:rsid w:val="00562620"/>
    <w:rsid w:val="00562EE3"/>
    <w:rsid w:val="0056314C"/>
    <w:rsid w:val="00563E36"/>
    <w:rsid w:val="00563E98"/>
    <w:rsid w:val="00564832"/>
    <w:rsid w:val="00564C2B"/>
    <w:rsid w:val="005651D1"/>
    <w:rsid w:val="00565717"/>
    <w:rsid w:val="00565767"/>
    <w:rsid w:val="00565F50"/>
    <w:rsid w:val="005668ED"/>
    <w:rsid w:val="005676A9"/>
    <w:rsid w:val="00567969"/>
    <w:rsid w:val="00570102"/>
    <w:rsid w:val="005701BC"/>
    <w:rsid w:val="00570C49"/>
    <w:rsid w:val="00571237"/>
    <w:rsid w:val="00571525"/>
    <w:rsid w:val="00574606"/>
    <w:rsid w:val="0057509D"/>
    <w:rsid w:val="00575C9C"/>
    <w:rsid w:val="00576F4A"/>
    <w:rsid w:val="00577004"/>
    <w:rsid w:val="0057779B"/>
    <w:rsid w:val="0058014A"/>
    <w:rsid w:val="0058043B"/>
    <w:rsid w:val="00580BED"/>
    <w:rsid w:val="00580D6C"/>
    <w:rsid w:val="00581292"/>
    <w:rsid w:val="00581A86"/>
    <w:rsid w:val="00581CE6"/>
    <w:rsid w:val="00581F6C"/>
    <w:rsid w:val="0058217E"/>
    <w:rsid w:val="005829B7"/>
    <w:rsid w:val="00582AF9"/>
    <w:rsid w:val="00582C26"/>
    <w:rsid w:val="005831F8"/>
    <w:rsid w:val="0058346D"/>
    <w:rsid w:val="00583C68"/>
    <w:rsid w:val="0058485F"/>
    <w:rsid w:val="0058556E"/>
    <w:rsid w:val="005855FE"/>
    <w:rsid w:val="005865AF"/>
    <w:rsid w:val="005869B7"/>
    <w:rsid w:val="00586E28"/>
    <w:rsid w:val="00586F9A"/>
    <w:rsid w:val="005872AE"/>
    <w:rsid w:val="005902BF"/>
    <w:rsid w:val="00590D88"/>
    <w:rsid w:val="00592F80"/>
    <w:rsid w:val="00593EBD"/>
    <w:rsid w:val="00594708"/>
    <w:rsid w:val="00594E0B"/>
    <w:rsid w:val="0059583F"/>
    <w:rsid w:val="00595D9C"/>
    <w:rsid w:val="00596252"/>
    <w:rsid w:val="0059661F"/>
    <w:rsid w:val="00596FC1"/>
    <w:rsid w:val="00597390"/>
    <w:rsid w:val="005979B5"/>
    <w:rsid w:val="005979D8"/>
    <w:rsid w:val="00597D07"/>
    <w:rsid w:val="00597D94"/>
    <w:rsid w:val="005A0A10"/>
    <w:rsid w:val="005A1202"/>
    <w:rsid w:val="005A15D2"/>
    <w:rsid w:val="005A1901"/>
    <w:rsid w:val="005A2075"/>
    <w:rsid w:val="005A247C"/>
    <w:rsid w:val="005A256F"/>
    <w:rsid w:val="005A26BD"/>
    <w:rsid w:val="005A29D8"/>
    <w:rsid w:val="005A2FC8"/>
    <w:rsid w:val="005A366A"/>
    <w:rsid w:val="005A397B"/>
    <w:rsid w:val="005A3AF0"/>
    <w:rsid w:val="005A4943"/>
    <w:rsid w:val="005A541F"/>
    <w:rsid w:val="005A63A8"/>
    <w:rsid w:val="005A73A0"/>
    <w:rsid w:val="005B0150"/>
    <w:rsid w:val="005B0753"/>
    <w:rsid w:val="005B09B2"/>
    <w:rsid w:val="005B113C"/>
    <w:rsid w:val="005B1313"/>
    <w:rsid w:val="005B161F"/>
    <w:rsid w:val="005B1946"/>
    <w:rsid w:val="005B2B7B"/>
    <w:rsid w:val="005B41A0"/>
    <w:rsid w:val="005B4E6F"/>
    <w:rsid w:val="005B5109"/>
    <w:rsid w:val="005B5711"/>
    <w:rsid w:val="005B58C4"/>
    <w:rsid w:val="005B5940"/>
    <w:rsid w:val="005B68CB"/>
    <w:rsid w:val="005B7A5E"/>
    <w:rsid w:val="005C0B53"/>
    <w:rsid w:val="005C0E3F"/>
    <w:rsid w:val="005C0F6B"/>
    <w:rsid w:val="005C12CB"/>
    <w:rsid w:val="005C1554"/>
    <w:rsid w:val="005C1F7F"/>
    <w:rsid w:val="005C3320"/>
    <w:rsid w:val="005C37F8"/>
    <w:rsid w:val="005C39C3"/>
    <w:rsid w:val="005C46BB"/>
    <w:rsid w:val="005C48A5"/>
    <w:rsid w:val="005C4C70"/>
    <w:rsid w:val="005C6533"/>
    <w:rsid w:val="005C67A4"/>
    <w:rsid w:val="005C6CC1"/>
    <w:rsid w:val="005C6E9B"/>
    <w:rsid w:val="005C7382"/>
    <w:rsid w:val="005C7FE3"/>
    <w:rsid w:val="005D017D"/>
    <w:rsid w:val="005D021E"/>
    <w:rsid w:val="005D053F"/>
    <w:rsid w:val="005D1283"/>
    <w:rsid w:val="005D12B0"/>
    <w:rsid w:val="005D141D"/>
    <w:rsid w:val="005D1787"/>
    <w:rsid w:val="005D1790"/>
    <w:rsid w:val="005D293B"/>
    <w:rsid w:val="005D2A2D"/>
    <w:rsid w:val="005D3553"/>
    <w:rsid w:val="005D3AAB"/>
    <w:rsid w:val="005D3CE4"/>
    <w:rsid w:val="005D57A9"/>
    <w:rsid w:val="005D6521"/>
    <w:rsid w:val="005D7250"/>
    <w:rsid w:val="005D7393"/>
    <w:rsid w:val="005D77A9"/>
    <w:rsid w:val="005D7CFD"/>
    <w:rsid w:val="005E03C7"/>
    <w:rsid w:val="005E0590"/>
    <w:rsid w:val="005E0CA7"/>
    <w:rsid w:val="005E169F"/>
    <w:rsid w:val="005E2360"/>
    <w:rsid w:val="005E308F"/>
    <w:rsid w:val="005E4452"/>
    <w:rsid w:val="005E477D"/>
    <w:rsid w:val="005E49AE"/>
    <w:rsid w:val="005E5F64"/>
    <w:rsid w:val="005E6783"/>
    <w:rsid w:val="005E6C2B"/>
    <w:rsid w:val="005F022A"/>
    <w:rsid w:val="005F03A9"/>
    <w:rsid w:val="005F0CC0"/>
    <w:rsid w:val="005F15C8"/>
    <w:rsid w:val="005F2065"/>
    <w:rsid w:val="005F2BCE"/>
    <w:rsid w:val="005F2D3D"/>
    <w:rsid w:val="005F4375"/>
    <w:rsid w:val="005F4376"/>
    <w:rsid w:val="005F5334"/>
    <w:rsid w:val="005F537C"/>
    <w:rsid w:val="005F5708"/>
    <w:rsid w:val="005F7F52"/>
    <w:rsid w:val="00600002"/>
    <w:rsid w:val="0060036D"/>
    <w:rsid w:val="00600422"/>
    <w:rsid w:val="006006B3"/>
    <w:rsid w:val="00600A8A"/>
    <w:rsid w:val="00600B6B"/>
    <w:rsid w:val="00600E0D"/>
    <w:rsid w:val="00600E56"/>
    <w:rsid w:val="006024CD"/>
    <w:rsid w:val="006028F6"/>
    <w:rsid w:val="006028FA"/>
    <w:rsid w:val="006045CB"/>
    <w:rsid w:val="006046E2"/>
    <w:rsid w:val="00604727"/>
    <w:rsid w:val="0060581C"/>
    <w:rsid w:val="006061AB"/>
    <w:rsid w:val="00606E27"/>
    <w:rsid w:val="006071DB"/>
    <w:rsid w:val="006118BC"/>
    <w:rsid w:val="00611D40"/>
    <w:rsid w:val="00612581"/>
    <w:rsid w:val="00613431"/>
    <w:rsid w:val="0061378E"/>
    <w:rsid w:val="00613C58"/>
    <w:rsid w:val="00614BE4"/>
    <w:rsid w:val="00616582"/>
    <w:rsid w:val="006171E3"/>
    <w:rsid w:val="0062178D"/>
    <w:rsid w:val="00621ACD"/>
    <w:rsid w:val="00622718"/>
    <w:rsid w:val="0062346B"/>
    <w:rsid w:val="006237D0"/>
    <w:rsid w:val="00624449"/>
    <w:rsid w:val="00624463"/>
    <w:rsid w:val="006248D9"/>
    <w:rsid w:val="006268CF"/>
    <w:rsid w:val="00626DE9"/>
    <w:rsid w:val="00627C1B"/>
    <w:rsid w:val="00627D4E"/>
    <w:rsid w:val="00630893"/>
    <w:rsid w:val="00630EB7"/>
    <w:rsid w:val="00631212"/>
    <w:rsid w:val="00631512"/>
    <w:rsid w:val="0063160A"/>
    <w:rsid w:val="00631708"/>
    <w:rsid w:val="006321BC"/>
    <w:rsid w:val="0063223C"/>
    <w:rsid w:val="0063271B"/>
    <w:rsid w:val="00632B37"/>
    <w:rsid w:val="00633554"/>
    <w:rsid w:val="00633795"/>
    <w:rsid w:val="00633B88"/>
    <w:rsid w:val="00633B89"/>
    <w:rsid w:val="00633F45"/>
    <w:rsid w:val="006344BA"/>
    <w:rsid w:val="00635A6D"/>
    <w:rsid w:val="0063652A"/>
    <w:rsid w:val="006365F7"/>
    <w:rsid w:val="006377EA"/>
    <w:rsid w:val="00637C9F"/>
    <w:rsid w:val="006400D0"/>
    <w:rsid w:val="00640B54"/>
    <w:rsid w:val="00640BE9"/>
    <w:rsid w:val="00641218"/>
    <w:rsid w:val="006414B1"/>
    <w:rsid w:val="0064173C"/>
    <w:rsid w:val="00641960"/>
    <w:rsid w:val="00641CED"/>
    <w:rsid w:val="0064212D"/>
    <w:rsid w:val="00642570"/>
    <w:rsid w:val="00642C70"/>
    <w:rsid w:val="0064480E"/>
    <w:rsid w:val="00644C31"/>
    <w:rsid w:val="00645418"/>
    <w:rsid w:val="00645493"/>
    <w:rsid w:val="006464D6"/>
    <w:rsid w:val="00647083"/>
    <w:rsid w:val="00647B7D"/>
    <w:rsid w:val="006508B6"/>
    <w:rsid w:val="00650F81"/>
    <w:rsid w:val="006523F1"/>
    <w:rsid w:val="0065403F"/>
    <w:rsid w:val="006558B9"/>
    <w:rsid w:val="00655922"/>
    <w:rsid w:val="006559B3"/>
    <w:rsid w:val="00656893"/>
    <w:rsid w:val="00656E10"/>
    <w:rsid w:val="0065785C"/>
    <w:rsid w:val="00657AAA"/>
    <w:rsid w:val="006601AC"/>
    <w:rsid w:val="006602D2"/>
    <w:rsid w:val="0066081B"/>
    <w:rsid w:val="00660C3A"/>
    <w:rsid w:val="0066171D"/>
    <w:rsid w:val="0066263F"/>
    <w:rsid w:val="00663264"/>
    <w:rsid w:val="0066367A"/>
    <w:rsid w:val="00663D48"/>
    <w:rsid w:val="0066430C"/>
    <w:rsid w:val="00664354"/>
    <w:rsid w:val="006644C8"/>
    <w:rsid w:val="00664B9E"/>
    <w:rsid w:val="00664F25"/>
    <w:rsid w:val="00665155"/>
    <w:rsid w:val="00666A7D"/>
    <w:rsid w:val="00666B2F"/>
    <w:rsid w:val="00666EF6"/>
    <w:rsid w:val="00667482"/>
    <w:rsid w:val="0067008A"/>
    <w:rsid w:val="0067046E"/>
    <w:rsid w:val="0067095E"/>
    <w:rsid w:val="00670B31"/>
    <w:rsid w:val="00670E17"/>
    <w:rsid w:val="00671028"/>
    <w:rsid w:val="00671657"/>
    <w:rsid w:val="006718F9"/>
    <w:rsid w:val="00672150"/>
    <w:rsid w:val="006721D3"/>
    <w:rsid w:val="0067238A"/>
    <w:rsid w:val="0067243F"/>
    <w:rsid w:val="006730AF"/>
    <w:rsid w:val="00673750"/>
    <w:rsid w:val="006739C0"/>
    <w:rsid w:val="00674C59"/>
    <w:rsid w:val="00674EEE"/>
    <w:rsid w:val="006756B5"/>
    <w:rsid w:val="006759AA"/>
    <w:rsid w:val="00675E34"/>
    <w:rsid w:val="00676462"/>
    <w:rsid w:val="00676487"/>
    <w:rsid w:val="0067704B"/>
    <w:rsid w:val="00677322"/>
    <w:rsid w:val="00680443"/>
    <w:rsid w:val="0068179E"/>
    <w:rsid w:val="00681A5B"/>
    <w:rsid w:val="00681CAB"/>
    <w:rsid w:val="006838B1"/>
    <w:rsid w:val="00683EB8"/>
    <w:rsid w:val="00683FEA"/>
    <w:rsid w:val="006843E7"/>
    <w:rsid w:val="006848A2"/>
    <w:rsid w:val="00684B24"/>
    <w:rsid w:val="00684ECB"/>
    <w:rsid w:val="00684F81"/>
    <w:rsid w:val="0068636E"/>
    <w:rsid w:val="00686B02"/>
    <w:rsid w:val="0069019F"/>
    <w:rsid w:val="0069073A"/>
    <w:rsid w:val="0069196E"/>
    <w:rsid w:val="00693BDC"/>
    <w:rsid w:val="00693C42"/>
    <w:rsid w:val="0069423E"/>
    <w:rsid w:val="00694369"/>
    <w:rsid w:val="00694B4B"/>
    <w:rsid w:val="0069513C"/>
    <w:rsid w:val="0069521F"/>
    <w:rsid w:val="00695276"/>
    <w:rsid w:val="0069539D"/>
    <w:rsid w:val="00695484"/>
    <w:rsid w:val="00696719"/>
    <w:rsid w:val="00696B43"/>
    <w:rsid w:val="00697603"/>
    <w:rsid w:val="00697DF4"/>
    <w:rsid w:val="006A0173"/>
    <w:rsid w:val="006A0F85"/>
    <w:rsid w:val="006A10E6"/>
    <w:rsid w:val="006A1315"/>
    <w:rsid w:val="006A170F"/>
    <w:rsid w:val="006A2EC3"/>
    <w:rsid w:val="006A2F37"/>
    <w:rsid w:val="006A3FA6"/>
    <w:rsid w:val="006A4D62"/>
    <w:rsid w:val="006A4F1E"/>
    <w:rsid w:val="006A5073"/>
    <w:rsid w:val="006A5422"/>
    <w:rsid w:val="006A56A3"/>
    <w:rsid w:val="006A585D"/>
    <w:rsid w:val="006A5B9C"/>
    <w:rsid w:val="006A7EB8"/>
    <w:rsid w:val="006B0977"/>
    <w:rsid w:val="006B1304"/>
    <w:rsid w:val="006B1E1F"/>
    <w:rsid w:val="006B1F15"/>
    <w:rsid w:val="006B2A12"/>
    <w:rsid w:val="006B2E21"/>
    <w:rsid w:val="006B3089"/>
    <w:rsid w:val="006B34C0"/>
    <w:rsid w:val="006B4712"/>
    <w:rsid w:val="006B4BD2"/>
    <w:rsid w:val="006B53C4"/>
    <w:rsid w:val="006B5925"/>
    <w:rsid w:val="006B6199"/>
    <w:rsid w:val="006B6563"/>
    <w:rsid w:val="006B66D7"/>
    <w:rsid w:val="006B6926"/>
    <w:rsid w:val="006B7FC6"/>
    <w:rsid w:val="006C0F4A"/>
    <w:rsid w:val="006C1508"/>
    <w:rsid w:val="006C227D"/>
    <w:rsid w:val="006C233D"/>
    <w:rsid w:val="006C2C55"/>
    <w:rsid w:val="006C30C1"/>
    <w:rsid w:val="006C32B9"/>
    <w:rsid w:val="006C3BE5"/>
    <w:rsid w:val="006C40AB"/>
    <w:rsid w:val="006C4D51"/>
    <w:rsid w:val="006C56AD"/>
    <w:rsid w:val="006C5B7C"/>
    <w:rsid w:val="006C5DB2"/>
    <w:rsid w:val="006C617E"/>
    <w:rsid w:val="006D0094"/>
    <w:rsid w:val="006D00B3"/>
    <w:rsid w:val="006D0DFA"/>
    <w:rsid w:val="006D18C1"/>
    <w:rsid w:val="006D19C7"/>
    <w:rsid w:val="006D1CBA"/>
    <w:rsid w:val="006D4505"/>
    <w:rsid w:val="006D471D"/>
    <w:rsid w:val="006D4A11"/>
    <w:rsid w:val="006D6179"/>
    <w:rsid w:val="006D6564"/>
    <w:rsid w:val="006D6DA4"/>
    <w:rsid w:val="006D6FC7"/>
    <w:rsid w:val="006D75D5"/>
    <w:rsid w:val="006D7A2D"/>
    <w:rsid w:val="006E00FB"/>
    <w:rsid w:val="006E01FE"/>
    <w:rsid w:val="006E02E9"/>
    <w:rsid w:val="006E0EDB"/>
    <w:rsid w:val="006E1065"/>
    <w:rsid w:val="006E133B"/>
    <w:rsid w:val="006E164D"/>
    <w:rsid w:val="006E25E0"/>
    <w:rsid w:val="006E26F9"/>
    <w:rsid w:val="006E27AC"/>
    <w:rsid w:val="006E31D5"/>
    <w:rsid w:val="006E3B2D"/>
    <w:rsid w:val="006E458B"/>
    <w:rsid w:val="006E48EA"/>
    <w:rsid w:val="006E5EA3"/>
    <w:rsid w:val="006E6832"/>
    <w:rsid w:val="006E7D4C"/>
    <w:rsid w:val="006E7FAB"/>
    <w:rsid w:val="006F0296"/>
    <w:rsid w:val="006F06A8"/>
    <w:rsid w:val="006F0F1E"/>
    <w:rsid w:val="006F19F0"/>
    <w:rsid w:val="006F2168"/>
    <w:rsid w:val="006F26EF"/>
    <w:rsid w:val="006F3049"/>
    <w:rsid w:val="006F45D8"/>
    <w:rsid w:val="006F4671"/>
    <w:rsid w:val="006F659F"/>
    <w:rsid w:val="006F747B"/>
    <w:rsid w:val="006F7683"/>
    <w:rsid w:val="006F7A8A"/>
    <w:rsid w:val="006F7C76"/>
    <w:rsid w:val="0070055D"/>
    <w:rsid w:val="0070090B"/>
    <w:rsid w:val="0070098C"/>
    <w:rsid w:val="00700D5A"/>
    <w:rsid w:val="0070100F"/>
    <w:rsid w:val="00701195"/>
    <w:rsid w:val="007015A1"/>
    <w:rsid w:val="00701A5D"/>
    <w:rsid w:val="00701AD7"/>
    <w:rsid w:val="00702C8C"/>
    <w:rsid w:val="00702D1D"/>
    <w:rsid w:val="0070397F"/>
    <w:rsid w:val="00703C97"/>
    <w:rsid w:val="007041C4"/>
    <w:rsid w:val="007048CF"/>
    <w:rsid w:val="00704CCE"/>
    <w:rsid w:val="00705659"/>
    <w:rsid w:val="00705FF3"/>
    <w:rsid w:val="00706091"/>
    <w:rsid w:val="00706381"/>
    <w:rsid w:val="00706DFC"/>
    <w:rsid w:val="00707851"/>
    <w:rsid w:val="00707BB2"/>
    <w:rsid w:val="00707D80"/>
    <w:rsid w:val="0071051A"/>
    <w:rsid w:val="0071168A"/>
    <w:rsid w:val="00711A83"/>
    <w:rsid w:val="0071307A"/>
    <w:rsid w:val="00713357"/>
    <w:rsid w:val="00713D15"/>
    <w:rsid w:val="007141A0"/>
    <w:rsid w:val="00714B85"/>
    <w:rsid w:val="00715DE2"/>
    <w:rsid w:val="007168E6"/>
    <w:rsid w:val="00716930"/>
    <w:rsid w:val="00716E40"/>
    <w:rsid w:val="007173D9"/>
    <w:rsid w:val="00717750"/>
    <w:rsid w:val="0071775F"/>
    <w:rsid w:val="00717C08"/>
    <w:rsid w:val="00720A44"/>
    <w:rsid w:val="00720F7C"/>
    <w:rsid w:val="00721AE3"/>
    <w:rsid w:val="00721E05"/>
    <w:rsid w:val="00722318"/>
    <w:rsid w:val="0072286D"/>
    <w:rsid w:val="0072313D"/>
    <w:rsid w:val="00723499"/>
    <w:rsid w:val="00723643"/>
    <w:rsid w:val="007245AD"/>
    <w:rsid w:val="00724907"/>
    <w:rsid w:val="00724CED"/>
    <w:rsid w:val="00724F4A"/>
    <w:rsid w:val="00725A5E"/>
    <w:rsid w:val="00725F34"/>
    <w:rsid w:val="0072644E"/>
    <w:rsid w:val="007264BF"/>
    <w:rsid w:val="00726820"/>
    <w:rsid w:val="00726A28"/>
    <w:rsid w:val="00727C86"/>
    <w:rsid w:val="00727C87"/>
    <w:rsid w:val="00727FD5"/>
    <w:rsid w:val="007304BE"/>
    <w:rsid w:val="0073062A"/>
    <w:rsid w:val="00730D06"/>
    <w:rsid w:val="0073152E"/>
    <w:rsid w:val="00731758"/>
    <w:rsid w:val="00731C4D"/>
    <w:rsid w:val="00732023"/>
    <w:rsid w:val="0073218C"/>
    <w:rsid w:val="0073234B"/>
    <w:rsid w:val="0073258E"/>
    <w:rsid w:val="00732771"/>
    <w:rsid w:val="00733038"/>
    <w:rsid w:val="00734EF5"/>
    <w:rsid w:val="00736F93"/>
    <w:rsid w:val="007371CA"/>
    <w:rsid w:val="007407EF"/>
    <w:rsid w:val="00740AD8"/>
    <w:rsid w:val="00740E34"/>
    <w:rsid w:val="00740FCA"/>
    <w:rsid w:val="00741212"/>
    <w:rsid w:val="007419CF"/>
    <w:rsid w:val="00741DF7"/>
    <w:rsid w:val="00743228"/>
    <w:rsid w:val="0074366F"/>
    <w:rsid w:val="00744408"/>
    <w:rsid w:val="00745455"/>
    <w:rsid w:val="00745A7A"/>
    <w:rsid w:val="00745EE6"/>
    <w:rsid w:val="00745F54"/>
    <w:rsid w:val="007463AC"/>
    <w:rsid w:val="00746775"/>
    <w:rsid w:val="007467D2"/>
    <w:rsid w:val="007500ED"/>
    <w:rsid w:val="00750180"/>
    <w:rsid w:val="007503A9"/>
    <w:rsid w:val="00752557"/>
    <w:rsid w:val="0075353C"/>
    <w:rsid w:val="00753651"/>
    <w:rsid w:val="00753927"/>
    <w:rsid w:val="00753BCC"/>
    <w:rsid w:val="00753F32"/>
    <w:rsid w:val="007548FC"/>
    <w:rsid w:val="00754E4A"/>
    <w:rsid w:val="007556F0"/>
    <w:rsid w:val="00756523"/>
    <w:rsid w:val="00756B51"/>
    <w:rsid w:val="007570AA"/>
    <w:rsid w:val="007571E3"/>
    <w:rsid w:val="00757507"/>
    <w:rsid w:val="00760192"/>
    <w:rsid w:val="0076107B"/>
    <w:rsid w:val="00761582"/>
    <w:rsid w:val="00761D8E"/>
    <w:rsid w:val="00761E90"/>
    <w:rsid w:val="007621DB"/>
    <w:rsid w:val="0076295C"/>
    <w:rsid w:val="00762ADB"/>
    <w:rsid w:val="00762AF3"/>
    <w:rsid w:val="00762B01"/>
    <w:rsid w:val="00763F45"/>
    <w:rsid w:val="00764B3C"/>
    <w:rsid w:val="00767A03"/>
    <w:rsid w:val="00767C0C"/>
    <w:rsid w:val="00770BF6"/>
    <w:rsid w:val="00771851"/>
    <w:rsid w:val="0077187E"/>
    <w:rsid w:val="00772AFF"/>
    <w:rsid w:val="00773A98"/>
    <w:rsid w:val="00773AFB"/>
    <w:rsid w:val="00773F07"/>
    <w:rsid w:val="007749F8"/>
    <w:rsid w:val="00775188"/>
    <w:rsid w:val="00776200"/>
    <w:rsid w:val="00776A21"/>
    <w:rsid w:val="007772E8"/>
    <w:rsid w:val="00780586"/>
    <w:rsid w:val="00780A82"/>
    <w:rsid w:val="00781B7A"/>
    <w:rsid w:val="00782013"/>
    <w:rsid w:val="00782128"/>
    <w:rsid w:val="00782879"/>
    <w:rsid w:val="00782BF8"/>
    <w:rsid w:val="00782DD8"/>
    <w:rsid w:val="00782EF6"/>
    <w:rsid w:val="007834AA"/>
    <w:rsid w:val="007839A5"/>
    <w:rsid w:val="00784322"/>
    <w:rsid w:val="00785D94"/>
    <w:rsid w:val="00785DA9"/>
    <w:rsid w:val="00786B16"/>
    <w:rsid w:val="00787B7B"/>
    <w:rsid w:val="00787BC6"/>
    <w:rsid w:val="00787C44"/>
    <w:rsid w:val="00790875"/>
    <w:rsid w:val="00792B8D"/>
    <w:rsid w:val="00793A4F"/>
    <w:rsid w:val="00795AD0"/>
    <w:rsid w:val="00796089"/>
    <w:rsid w:val="007A00EE"/>
    <w:rsid w:val="007A0942"/>
    <w:rsid w:val="007A1CD2"/>
    <w:rsid w:val="007A2AFE"/>
    <w:rsid w:val="007A2D6D"/>
    <w:rsid w:val="007A313C"/>
    <w:rsid w:val="007A34DD"/>
    <w:rsid w:val="007A450D"/>
    <w:rsid w:val="007A454D"/>
    <w:rsid w:val="007A4DB3"/>
    <w:rsid w:val="007A50B1"/>
    <w:rsid w:val="007A65AB"/>
    <w:rsid w:val="007A66EF"/>
    <w:rsid w:val="007A7846"/>
    <w:rsid w:val="007A790A"/>
    <w:rsid w:val="007A7B3C"/>
    <w:rsid w:val="007A7C83"/>
    <w:rsid w:val="007B0C5E"/>
    <w:rsid w:val="007B0EEF"/>
    <w:rsid w:val="007B1129"/>
    <w:rsid w:val="007B1CBC"/>
    <w:rsid w:val="007B1FC8"/>
    <w:rsid w:val="007B2C78"/>
    <w:rsid w:val="007B56A5"/>
    <w:rsid w:val="007B5828"/>
    <w:rsid w:val="007B58E4"/>
    <w:rsid w:val="007B5B32"/>
    <w:rsid w:val="007B6231"/>
    <w:rsid w:val="007B7C22"/>
    <w:rsid w:val="007B7DAA"/>
    <w:rsid w:val="007B7EE7"/>
    <w:rsid w:val="007C0379"/>
    <w:rsid w:val="007C0EA8"/>
    <w:rsid w:val="007C10F1"/>
    <w:rsid w:val="007C25EA"/>
    <w:rsid w:val="007C2A96"/>
    <w:rsid w:val="007C2F68"/>
    <w:rsid w:val="007C3171"/>
    <w:rsid w:val="007C33C1"/>
    <w:rsid w:val="007C3502"/>
    <w:rsid w:val="007C47B4"/>
    <w:rsid w:val="007C4DDB"/>
    <w:rsid w:val="007C5062"/>
    <w:rsid w:val="007C5829"/>
    <w:rsid w:val="007C753F"/>
    <w:rsid w:val="007C75C0"/>
    <w:rsid w:val="007D03E9"/>
    <w:rsid w:val="007D0491"/>
    <w:rsid w:val="007D04D1"/>
    <w:rsid w:val="007D123C"/>
    <w:rsid w:val="007D14DF"/>
    <w:rsid w:val="007D1C71"/>
    <w:rsid w:val="007D1D2F"/>
    <w:rsid w:val="007D1E8B"/>
    <w:rsid w:val="007D20E5"/>
    <w:rsid w:val="007D3866"/>
    <w:rsid w:val="007D417C"/>
    <w:rsid w:val="007D4A9B"/>
    <w:rsid w:val="007D651C"/>
    <w:rsid w:val="007D75D5"/>
    <w:rsid w:val="007D7E64"/>
    <w:rsid w:val="007E0F78"/>
    <w:rsid w:val="007E0FBE"/>
    <w:rsid w:val="007E19BF"/>
    <w:rsid w:val="007E1DEA"/>
    <w:rsid w:val="007E314C"/>
    <w:rsid w:val="007E31A2"/>
    <w:rsid w:val="007E3B64"/>
    <w:rsid w:val="007E3C4D"/>
    <w:rsid w:val="007E4447"/>
    <w:rsid w:val="007E4AAE"/>
    <w:rsid w:val="007E4E26"/>
    <w:rsid w:val="007E56FD"/>
    <w:rsid w:val="007E6568"/>
    <w:rsid w:val="007E7611"/>
    <w:rsid w:val="007E7EAA"/>
    <w:rsid w:val="007F0388"/>
    <w:rsid w:val="007F0BDE"/>
    <w:rsid w:val="007F11F3"/>
    <w:rsid w:val="007F1AFA"/>
    <w:rsid w:val="007F1D4B"/>
    <w:rsid w:val="007F2569"/>
    <w:rsid w:val="007F278E"/>
    <w:rsid w:val="007F2B1A"/>
    <w:rsid w:val="007F36D7"/>
    <w:rsid w:val="007F3D47"/>
    <w:rsid w:val="007F3F9A"/>
    <w:rsid w:val="007F4315"/>
    <w:rsid w:val="007F4449"/>
    <w:rsid w:val="007F45C8"/>
    <w:rsid w:val="007F5DAE"/>
    <w:rsid w:val="007F6442"/>
    <w:rsid w:val="007F6868"/>
    <w:rsid w:val="007F693B"/>
    <w:rsid w:val="007F70D4"/>
    <w:rsid w:val="007F7ADC"/>
    <w:rsid w:val="007F7E86"/>
    <w:rsid w:val="00800C36"/>
    <w:rsid w:val="00800E45"/>
    <w:rsid w:val="00800FE1"/>
    <w:rsid w:val="00801BBD"/>
    <w:rsid w:val="008025FC"/>
    <w:rsid w:val="00802707"/>
    <w:rsid w:val="008027D6"/>
    <w:rsid w:val="00802C10"/>
    <w:rsid w:val="00802E3D"/>
    <w:rsid w:val="00804A25"/>
    <w:rsid w:val="00805016"/>
    <w:rsid w:val="008051A9"/>
    <w:rsid w:val="00805809"/>
    <w:rsid w:val="00806055"/>
    <w:rsid w:val="008078D1"/>
    <w:rsid w:val="00807D5E"/>
    <w:rsid w:val="0081362E"/>
    <w:rsid w:val="00813D43"/>
    <w:rsid w:val="00814099"/>
    <w:rsid w:val="00814845"/>
    <w:rsid w:val="008148B9"/>
    <w:rsid w:val="008164FF"/>
    <w:rsid w:val="008169A2"/>
    <w:rsid w:val="008173FD"/>
    <w:rsid w:val="00817A18"/>
    <w:rsid w:val="00820A92"/>
    <w:rsid w:val="00820DDF"/>
    <w:rsid w:val="00820FFC"/>
    <w:rsid w:val="00821021"/>
    <w:rsid w:val="0082254C"/>
    <w:rsid w:val="0082339D"/>
    <w:rsid w:val="008237BE"/>
    <w:rsid w:val="00824686"/>
    <w:rsid w:val="00824E1E"/>
    <w:rsid w:val="0082570E"/>
    <w:rsid w:val="00825EBE"/>
    <w:rsid w:val="00826911"/>
    <w:rsid w:val="00826CDD"/>
    <w:rsid w:val="00826D77"/>
    <w:rsid w:val="00827CEA"/>
    <w:rsid w:val="00827FEF"/>
    <w:rsid w:val="00830410"/>
    <w:rsid w:val="00830764"/>
    <w:rsid w:val="00831172"/>
    <w:rsid w:val="00832325"/>
    <w:rsid w:val="00832D39"/>
    <w:rsid w:val="0083334A"/>
    <w:rsid w:val="00833DDE"/>
    <w:rsid w:val="00833E42"/>
    <w:rsid w:val="0083568A"/>
    <w:rsid w:val="00836467"/>
    <w:rsid w:val="00836A12"/>
    <w:rsid w:val="00836AA3"/>
    <w:rsid w:val="00836BC4"/>
    <w:rsid w:val="00837566"/>
    <w:rsid w:val="0083779B"/>
    <w:rsid w:val="00837999"/>
    <w:rsid w:val="008418BA"/>
    <w:rsid w:val="008421CC"/>
    <w:rsid w:val="008422E1"/>
    <w:rsid w:val="00842692"/>
    <w:rsid w:val="00842813"/>
    <w:rsid w:val="00842819"/>
    <w:rsid w:val="00843092"/>
    <w:rsid w:val="008430CC"/>
    <w:rsid w:val="00843B44"/>
    <w:rsid w:val="008440FA"/>
    <w:rsid w:val="00844860"/>
    <w:rsid w:val="00845DA7"/>
    <w:rsid w:val="008471F8"/>
    <w:rsid w:val="00850A6E"/>
    <w:rsid w:val="00851D1A"/>
    <w:rsid w:val="00852733"/>
    <w:rsid w:val="00852A34"/>
    <w:rsid w:val="00853F65"/>
    <w:rsid w:val="008547FB"/>
    <w:rsid w:val="00855451"/>
    <w:rsid w:val="00855514"/>
    <w:rsid w:val="0085583E"/>
    <w:rsid w:val="00855F83"/>
    <w:rsid w:val="00856540"/>
    <w:rsid w:val="008565E3"/>
    <w:rsid w:val="00856943"/>
    <w:rsid w:val="00856FBD"/>
    <w:rsid w:val="008572D6"/>
    <w:rsid w:val="00857713"/>
    <w:rsid w:val="00860699"/>
    <w:rsid w:val="00860767"/>
    <w:rsid w:val="008608EB"/>
    <w:rsid w:val="00860B13"/>
    <w:rsid w:val="00860EB9"/>
    <w:rsid w:val="0086352C"/>
    <w:rsid w:val="00864366"/>
    <w:rsid w:val="00864538"/>
    <w:rsid w:val="008655FA"/>
    <w:rsid w:val="008659E8"/>
    <w:rsid w:val="00866563"/>
    <w:rsid w:val="00867078"/>
    <w:rsid w:val="00870763"/>
    <w:rsid w:val="008709B7"/>
    <w:rsid w:val="0087243E"/>
    <w:rsid w:val="00872EF6"/>
    <w:rsid w:val="0087363F"/>
    <w:rsid w:val="0087377F"/>
    <w:rsid w:val="008737D5"/>
    <w:rsid w:val="00873D85"/>
    <w:rsid w:val="008744D1"/>
    <w:rsid w:val="008753A9"/>
    <w:rsid w:val="00876F5E"/>
    <w:rsid w:val="0087713C"/>
    <w:rsid w:val="008802CE"/>
    <w:rsid w:val="008804F1"/>
    <w:rsid w:val="00880F00"/>
    <w:rsid w:val="00881A5A"/>
    <w:rsid w:val="00881A97"/>
    <w:rsid w:val="00881B6C"/>
    <w:rsid w:val="00881EC1"/>
    <w:rsid w:val="00882731"/>
    <w:rsid w:val="00882BC0"/>
    <w:rsid w:val="00882BF4"/>
    <w:rsid w:val="00882C48"/>
    <w:rsid w:val="00883B87"/>
    <w:rsid w:val="008840E5"/>
    <w:rsid w:val="00884191"/>
    <w:rsid w:val="008844E2"/>
    <w:rsid w:val="00884615"/>
    <w:rsid w:val="00884F43"/>
    <w:rsid w:val="008866E2"/>
    <w:rsid w:val="00886B27"/>
    <w:rsid w:val="00887063"/>
    <w:rsid w:val="00887924"/>
    <w:rsid w:val="00890C48"/>
    <w:rsid w:val="008919DE"/>
    <w:rsid w:val="00891A62"/>
    <w:rsid w:val="00891EED"/>
    <w:rsid w:val="008925B5"/>
    <w:rsid w:val="00892DD1"/>
    <w:rsid w:val="00892E4C"/>
    <w:rsid w:val="008931A7"/>
    <w:rsid w:val="00893B3C"/>
    <w:rsid w:val="00893B9E"/>
    <w:rsid w:val="00893CA9"/>
    <w:rsid w:val="008949BA"/>
    <w:rsid w:val="00895700"/>
    <w:rsid w:val="00895BE6"/>
    <w:rsid w:val="008967EB"/>
    <w:rsid w:val="00896A81"/>
    <w:rsid w:val="00897723"/>
    <w:rsid w:val="00897AC6"/>
    <w:rsid w:val="008A027B"/>
    <w:rsid w:val="008A1A63"/>
    <w:rsid w:val="008A1EAB"/>
    <w:rsid w:val="008A3113"/>
    <w:rsid w:val="008A329B"/>
    <w:rsid w:val="008A38D1"/>
    <w:rsid w:val="008A3E50"/>
    <w:rsid w:val="008A404D"/>
    <w:rsid w:val="008A43BD"/>
    <w:rsid w:val="008A45D2"/>
    <w:rsid w:val="008A45E6"/>
    <w:rsid w:val="008A497C"/>
    <w:rsid w:val="008A4DB6"/>
    <w:rsid w:val="008A4E63"/>
    <w:rsid w:val="008A5DD3"/>
    <w:rsid w:val="008A5E91"/>
    <w:rsid w:val="008A6650"/>
    <w:rsid w:val="008A6760"/>
    <w:rsid w:val="008A68E1"/>
    <w:rsid w:val="008A7E61"/>
    <w:rsid w:val="008B025E"/>
    <w:rsid w:val="008B0890"/>
    <w:rsid w:val="008B105F"/>
    <w:rsid w:val="008B11FE"/>
    <w:rsid w:val="008B1BD7"/>
    <w:rsid w:val="008B2DF3"/>
    <w:rsid w:val="008B3120"/>
    <w:rsid w:val="008B33D0"/>
    <w:rsid w:val="008B3F4B"/>
    <w:rsid w:val="008B58C1"/>
    <w:rsid w:val="008B652F"/>
    <w:rsid w:val="008B6B05"/>
    <w:rsid w:val="008B6B56"/>
    <w:rsid w:val="008B6C40"/>
    <w:rsid w:val="008B6F35"/>
    <w:rsid w:val="008B7002"/>
    <w:rsid w:val="008B7373"/>
    <w:rsid w:val="008B7440"/>
    <w:rsid w:val="008B7A13"/>
    <w:rsid w:val="008C0279"/>
    <w:rsid w:val="008C0D06"/>
    <w:rsid w:val="008C0DDE"/>
    <w:rsid w:val="008C13CE"/>
    <w:rsid w:val="008C15C9"/>
    <w:rsid w:val="008C222B"/>
    <w:rsid w:val="008C2AF9"/>
    <w:rsid w:val="008C2DA6"/>
    <w:rsid w:val="008C3006"/>
    <w:rsid w:val="008C355B"/>
    <w:rsid w:val="008C3A44"/>
    <w:rsid w:val="008C4281"/>
    <w:rsid w:val="008C4E58"/>
    <w:rsid w:val="008C6988"/>
    <w:rsid w:val="008D15F6"/>
    <w:rsid w:val="008D1890"/>
    <w:rsid w:val="008D1B34"/>
    <w:rsid w:val="008D1D39"/>
    <w:rsid w:val="008D2367"/>
    <w:rsid w:val="008D35B7"/>
    <w:rsid w:val="008D35D1"/>
    <w:rsid w:val="008D3A66"/>
    <w:rsid w:val="008D3D9E"/>
    <w:rsid w:val="008D402C"/>
    <w:rsid w:val="008D40FF"/>
    <w:rsid w:val="008D46C4"/>
    <w:rsid w:val="008D5C1B"/>
    <w:rsid w:val="008D6443"/>
    <w:rsid w:val="008D6523"/>
    <w:rsid w:val="008D6F8B"/>
    <w:rsid w:val="008D78B1"/>
    <w:rsid w:val="008D7BF8"/>
    <w:rsid w:val="008E0178"/>
    <w:rsid w:val="008E034A"/>
    <w:rsid w:val="008E0AFA"/>
    <w:rsid w:val="008E2191"/>
    <w:rsid w:val="008E2677"/>
    <w:rsid w:val="008E30E4"/>
    <w:rsid w:val="008E44AD"/>
    <w:rsid w:val="008E5103"/>
    <w:rsid w:val="008E5BA5"/>
    <w:rsid w:val="008E5D14"/>
    <w:rsid w:val="008E5FF0"/>
    <w:rsid w:val="008E6137"/>
    <w:rsid w:val="008E6232"/>
    <w:rsid w:val="008E6446"/>
    <w:rsid w:val="008E6694"/>
    <w:rsid w:val="008E7295"/>
    <w:rsid w:val="008E7A34"/>
    <w:rsid w:val="008E7A45"/>
    <w:rsid w:val="008F0061"/>
    <w:rsid w:val="008F08BA"/>
    <w:rsid w:val="008F1B97"/>
    <w:rsid w:val="008F220D"/>
    <w:rsid w:val="008F22BD"/>
    <w:rsid w:val="008F2562"/>
    <w:rsid w:val="008F2616"/>
    <w:rsid w:val="008F3DC0"/>
    <w:rsid w:val="008F4297"/>
    <w:rsid w:val="008F45C6"/>
    <w:rsid w:val="008F549E"/>
    <w:rsid w:val="008F6341"/>
    <w:rsid w:val="008F7574"/>
    <w:rsid w:val="008F7939"/>
    <w:rsid w:val="008F7E6C"/>
    <w:rsid w:val="009002FF"/>
    <w:rsid w:val="00900B3B"/>
    <w:rsid w:val="00901609"/>
    <w:rsid w:val="00901A22"/>
    <w:rsid w:val="00902CA3"/>
    <w:rsid w:val="00903403"/>
    <w:rsid w:val="009035F7"/>
    <w:rsid w:val="00904012"/>
    <w:rsid w:val="00904544"/>
    <w:rsid w:val="00904EC1"/>
    <w:rsid w:val="00905BC2"/>
    <w:rsid w:val="00906005"/>
    <w:rsid w:val="009071E4"/>
    <w:rsid w:val="009106FD"/>
    <w:rsid w:val="00910B65"/>
    <w:rsid w:val="00911127"/>
    <w:rsid w:val="00911483"/>
    <w:rsid w:val="00912B03"/>
    <w:rsid w:val="00913147"/>
    <w:rsid w:val="0091324B"/>
    <w:rsid w:val="009133A5"/>
    <w:rsid w:val="00913F1C"/>
    <w:rsid w:val="00913F51"/>
    <w:rsid w:val="00914341"/>
    <w:rsid w:val="009158AD"/>
    <w:rsid w:val="009167F1"/>
    <w:rsid w:val="009169C7"/>
    <w:rsid w:val="00916A3C"/>
    <w:rsid w:val="00917883"/>
    <w:rsid w:val="009178C1"/>
    <w:rsid w:val="00917A38"/>
    <w:rsid w:val="0092075E"/>
    <w:rsid w:val="00920777"/>
    <w:rsid w:val="00920CAE"/>
    <w:rsid w:val="00920EDF"/>
    <w:rsid w:val="00921936"/>
    <w:rsid w:val="00921944"/>
    <w:rsid w:val="0092208B"/>
    <w:rsid w:val="009230EA"/>
    <w:rsid w:val="0092336E"/>
    <w:rsid w:val="00923F11"/>
    <w:rsid w:val="00923F73"/>
    <w:rsid w:val="009246FF"/>
    <w:rsid w:val="00925A77"/>
    <w:rsid w:val="00925D49"/>
    <w:rsid w:val="009262B3"/>
    <w:rsid w:val="009301C9"/>
    <w:rsid w:val="0093060E"/>
    <w:rsid w:val="00930761"/>
    <w:rsid w:val="00930F1C"/>
    <w:rsid w:val="00931078"/>
    <w:rsid w:val="009316AD"/>
    <w:rsid w:val="0093216B"/>
    <w:rsid w:val="009323A8"/>
    <w:rsid w:val="00932454"/>
    <w:rsid w:val="00932AB6"/>
    <w:rsid w:val="00932B1B"/>
    <w:rsid w:val="00933838"/>
    <w:rsid w:val="00933FE2"/>
    <w:rsid w:val="0093535C"/>
    <w:rsid w:val="00935780"/>
    <w:rsid w:val="00935E7F"/>
    <w:rsid w:val="00936696"/>
    <w:rsid w:val="009368C6"/>
    <w:rsid w:val="009375C5"/>
    <w:rsid w:val="00937FFB"/>
    <w:rsid w:val="00940218"/>
    <w:rsid w:val="00940710"/>
    <w:rsid w:val="00941B1D"/>
    <w:rsid w:val="00941D58"/>
    <w:rsid w:val="00941FEF"/>
    <w:rsid w:val="00943C4A"/>
    <w:rsid w:val="00944138"/>
    <w:rsid w:val="009441F3"/>
    <w:rsid w:val="00945182"/>
    <w:rsid w:val="00946503"/>
    <w:rsid w:val="00946BDE"/>
    <w:rsid w:val="009502A9"/>
    <w:rsid w:val="00950543"/>
    <w:rsid w:val="00950C37"/>
    <w:rsid w:val="00950D18"/>
    <w:rsid w:val="00951210"/>
    <w:rsid w:val="00951230"/>
    <w:rsid w:val="0095153E"/>
    <w:rsid w:val="009519CB"/>
    <w:rsid w:val="0095329F"/>
    <w:rsid w:val="0095373F"/>
    <w:rsid w:val="009542E3"/>
    <w:rsid w:val="009544E9"/>
    <w:rsid w:val="00955027"/>
    <w:rsid w:val="00956655"/>
    <w:rsid w:val="0095785B"/>
    <w:rsid w:val="00957DC4"/>
    <w:rsid w:val="00961C26"/>
    <w:rsid w:val="00961C5D"/>
    <w:rsid w:val="009624F9"/>
    <w:rsid w:val="00962567"/>
    <w:rsid w:val="009626EB"/>
    <w:rsid w:val="0096460F"/>
    <w:rsid w:val="00964A39"/>
    <w:rsid w:val="00972227"/>
    <w:rsid w:val="00973C35"/>
    <w:rsid w:val="00974A32"/>
    <w:rsid w:val="00974C83"/>
    <w:rsid w:val="009756A1"/>
    <w:rsid w:val="009760BB"/>
    <w:rsid w:val="00976198"/>
    <w:rsid w:val="00976FF1"/>
    <w:rsid w:val="00981049"/>
    <w:rsid w:val="0098110D"/>
    <w:rsid w:val="009814DB"/>
    <w:rsid w:val="00982115"/>
    <w:rsid w:val="00982505"/>
    <w:rsid w:val="0098254C"/>
    <w:rsid w:val="0098271C"/>
    <w:rsid w:val="009837E3"/>
    <w:rsid w:val="009837E7"/>
    <w:rsid w:val="00986C77"/>
    <w:rsid w:val="009871E3"/>
    <w:rsid w:val="009876A6"/>
    <w:rsid w:val="00987EF1"/>
    <w:rsid w:val="009913F6"/>
    <w:rsid w:val="009926CA"/>
    <w:rsid w:val="00993A1C"/>
    <w:rsid w:val="00994067"/>
    <w:rsid w:val="00995AEF"/>
    <w:rsid w:val="00995B05"/>
    <w:rsid w:val="00995B3F"/>
    <w:rsid w:val="00995EBF"/>
    <w:rsid w:val="0099763E"/>
    <w:rsid w:val="009A0B45"/>
    <w:rsid w:val="009A0BA3"/>
    <w:rsid w:val="009A0DD5"/>
    <w:rsid w:val="009A16C6"/>
    <w:rsid w:val="009A1A47"/>
    <w:rsid w:val="009A217F"/>
    <w:rsid w:val="009A3ACB"/>
    <w:rsid w:val="009A4B26"/>
    <w:rsid w:val="009A52B9"/>
    <w:rsid w:val="009A569C"/>
    <w:rsid w:val="009A580D"/>
    <w:rsid w:val="009A5A5C"/>
    <w:rsid w:val="009A5FFD"/>
    <w:rsid w:val="009A66E0"/>
    <w:rsid w:val="009A68F8"/>
    <w:rsid w:val="009A6D73"/>
    <w:rsid w:val="009A78CF"/>
    <w:rsid w:val="009B0F82"/>
    <w:rsid w:val="009B145B"/>
    <w:rsid w:val="009B18B9"/>
    <w:rsid w:val="009B2384"/>
    <w:rsid w:val="009B2A47"/>
    <w:rsid w:val="009B2CA6"/>
    <w:rsid w:val="009B30C3"/>
    <w:rsid w:val="009B3269"/>
    <w:rsid w:val="009B3AAD"/>
    <w:rsid w:val="009B3C8C"/>
    <w:rsid w:val="009B518B"/>
    <w:rsid w:val="009B56C8"/>
    <w:rsid w:val="009B6228"/>
    <w:rsid w:val="009B631B"/>
    <w:rsid w:val="009B6FE2"/>
    <w:rsid w:val="009B70A0"/>
    <w:rsid w:val="009B73E1"/>
    <w:rsid w:val="009B76FC"/>
    <w:rsid w:val="009C045D"/>
    <w:rsid w:val="009C0742"/>
    <w:rsid w:val="009C2C5E"/>
    <w:rsid w:val="009C4161"/>
    <w:rsid w:val="009C49BB"/>
    <w:rsid w:val="009C509D"/>
    <w:rsid w:val="009C5D71"/>
    <w:rsid w:val="009C5DF4"/>
    <w:rsid w:val="009C66A4"/>
    <w:rsid w:val="009C6B74"/>
    <w:rsid w:val="009C6E32"/>
    <w:rsid w:val="009C791D"/>
    <w:rsid w:val="009C7BAC"/>
    <w:rsid w:val="009C7C45"/>
    <w:rsid w:val="009C7DD2"/>
    <w:rsid w:val="009D14EA"/>
    <w:rsid w:val="009D1822"/>
    <w:rsid w:val="009D1C2A"/>
    <w:rsid w:val="009D380A"/>
    <w:rsid w:val="009D3813"/>
    <w:rsid w:val="009D4928"/>
    <w:rsid w:val="009D4C4F"/>
    <w:rsid w:val="009D4FE0"/>
    <w:rsid w:val="009D59EF"/>
    <w:rsid w:val="009D5E93"/>
    <w:rsid w:val="009D685F"/>
    <w:rsid w:val="009D6AF2"/>
    <w:rsid w:val="009D7078"/>
    <w:rsid w:val="009D76A5"/>
    <w:rsid w:val="009E0203"/>
    <w:rsid w:val="009E1450"/>
    <w:rsid w:val="009E18A0"/>
    <w:rsid w:val="009E1F1F"/>
    <w:rsid w:val="009E23E8"/>
    <w:rsid w:val="009E3B05"/>
    <w:rsid w:val="009E4161"/>
    <w:rsid w:val="009E4CC6"/>
    <w:rsid w:val="009E50D3"/>
    <w:rsid w:val="009E54C0"/>
    <w:rsid w:val="009E55A4"/>
    <w:rsid w:val="009E63C6"/>
    <w:rsid w:val="009E663F"/>
    <w:rsid w:val="009E6973"/>
    <w:rsid w:val="009E6C1E"/>
    <w:rsid w:val="009E7EED"/>
    <w:rsid w:val="009F0084"/>
    <w:rsid w:val="009F0515"/>
    <w:rsid w:val="009F0970"/>
    <w:rsid w:val="009F0EB0"/>
    <w:rsid w:val="009F155B"/>
    <w:rsid w:val="009F2892"/>
    <w:rsid w:val="009F2983"/>
    <w:rsid w:val="009F3E9D"/>
    <w:rsid w:val="009F44CB"/>
    <w:rsid w:val="009F4940"/>
    <w:rsid w:val="009F4CD6"/>
    <w:rsid w:val="009F5889"/>
    <w:rsid w:val="009F58B5"/>
    <w:rsid w:val="009F58F9"/>
    <w:rsid w:val="009F635D"/>
    <w:rsid w:val="00A00676"/>
    <w:rsid w:val="00A010DC"/>
    <w:rsid w:val="00A016FC"/>
    <w:rsid w:val="00A01989"/>
    <w:rsid w:val="00A03F24"/>
    <w:rsid w:val="00A0413F"/>
    <w:rsid w:val="00A04163"/>
    <w:rsid w:val="00A041DF"/>
    <w:rsid w:val="00A0420A"/>
    <w:rsid w:val="00A05215"/>
    <w:rsid w:val="00A05C3B"/>
    <w:rsid w:val="00A06845"/>
    <w:rsid w:val="00A06BCC"/>
    <w:rsid w:val="00A06CE6"/>
    <w:rsid w:val="00A07304"/>
    <w:rsid w:val="00A07968"/>
    <w:rsid w:val="00A07B7C"/>
    <w:rsid w:val="00A07C7A"/>
    <w:rsid w:val="00A10173"/>
    <w:rsid w:val="00A11E97"/>
    <w:rsid w:val="00A11FB7"/>
    <w:rsid w:val="00A12FEE"/>
    <w:rsid w:val="00A13C44"/>
    <w:rsid w:val="00A1452F"/>
    <w:rsid w:val="00A1587D"/>
    <w:rsid w:val="00A15A2E"/>
    <w:rsid w:val="00A15C84"/>
    <w:rsid w:val="00A166A9"/>
    <w:rsid w:val="00A16FEA"/>
    <w:rsid w:val="00A173A7"/>
    <w:rsid w:val="00A207B8"/>
    <w:rsid w:val="00A20995"/>
    <w:rsid w:val="00A219FE"/>
    <w:rsid w:val="00A21AEB"/>
    <w:rsid w:val="00A21B7D"/>
    <w:rsid w:val="00A21C67"/>
    <w:rsid w:val="00A23D40"/>
    <w:rsid w:val="00A24251"/>
    <w:rsid w:val="00A24364"/>
    <w:rsid w:val="00A24933"/>
    <w:rsid w:val="00A24B52"/>
    <w:rsid w:val="00A258E8"/>
    <w:rsid w:val="00A25D1F"/>
    <w:rsid w:val="00A25D68"/>
    <w:rsid w:val="00A25D73"/>
    <w:rsid w:val="00A268C5"/>
    <w:rsid w:val="00A26918"/>
    <w:rsid w:val="00A2695E"/>
    <w:rsid w:val="00A26A7F"/>
    <w:rsid w:val="00A27382"/>
    <w:rsid w:val="00A276E1"/>
    <w:rsid w:val="00A302C0"/>
    <w:rsid w:val="00A305B3"/>
    <w:rsid w:val="00A308ED"/>
    <w:rsid w:val="00A30F7B"/>
    <w:rsid w:val="00A318E5"/>
    <w:rsid w:val="00A31C2D"/>
    <w:rsid w:val="00A31FC0"/>
    <w:rsid w:val="00A320D1"/>
    <w:rsid w:val="00A324B4"/>
    <w:rsid w:val="00A333AB"/>
    <w:rsid w:val="00A33910"/>
    <w:rsid w:val="00A339E1"/>
    <w:rsid w:val="00A33A37"/>
    <w:rsid w:val="00A33B81"/>
    <w:rsid w:val="00A3439B"/>
    <w:rsid w:val="00A34497"/>
    <w:rsid w:val="00A34BC7"/>
    <w:rsid w:val="00A35A27"/>
    <w:rsid w:val="00A35D78"/>
    <w:rsid w:val="00A36075"/>
    <w:rsid w:val="00A369EF"/>
    <w:rsid w:val="00A36E38"/>
    <w:rsid w:val="00A37433"/>
    <w:rsid w:val="00A37BC1"/>
    <w:rsid w:val="00A37E3C"/>
    <w:rsid w:val="00A4047B"/>
    <w:rsid w:val="00A404AB"/>
    <w:rsid w:val="00A41133"/>
    <w:rsid w:val="00A42816"/>
    <w:rsid w:val="00A43CC5"/>
    <w:rsid w:val="00A441E5"/>
    <w:rsid w:val="00A44346"/>
    <w:rsid w:val="00A44F22"/>
    <w:rsid w:val="00A45D5E"/>
    <w:rsid w:val="00A461E3"/>
    <w:rsid w:val="00A46576"/>
    <w:rsid w:val="00A50293"/>
    <w:rsid w:val="00A50466"/>
    <w:rsid w:val="00A507D4"/>
    <w:rsid w:val="00A50CC3"/>
    <w:rsid w:val="00A50E6E"/>
    <w:rsid w:val="00A5103F"/>
    <w:rsid w:val="00A51F7D"/>
    <w:rsid w:val="00A522A9"/>
    <w:rsid w:val="00A52713"/>
    <w:rsid w:val="00A52984"/>
    <w:rsid w:val="00A52F0B"/>
    <w:rsid w:val="00A532D0"/>
    <w:rsid w:val="00A53653"/>
    <w:rsid w:val="00A53971"/>
    <w:rsid w:val="00A53A9B"/>
    <w:rsid w:val="00A54D8F"/>
    <w:rsid w:val="00A5549D"/>
    <w:rsid w:val="00A5644A"/>
    <w:rsid w:val="00A56AA2"/>
    <w:rsid w:val="00A56E25"/>
    <w:rsid w:val="00A57F22"/>
    <w:rsid w:val="00A57FFE"/>
    <w:rsid w:val="00A605F0"/>
    <w:rsid w:val="00A607C5"/>
    <w:rsid w:val="00A61391"/>
    <w:rsid w:val="00A6190C"/>
    <w:rsid w:val="00A6377F"/>
    <w:rsid w:val="00A637B6"/>
    <w:rsid w:val="00A639F6"/>
    <w:rsid w:val="00A646C5"/>
    <w:rsid w:val="00A64DF4"/>
    <w:rsid w:val="00A652F2"/>
    <w:rsid w:val="00A65E29"/>
    <w:rsid w:val="00A66539"/>
    <w:rsid w:val="00A66A34"/>
    <w:rsid w:val="00A66DB3"/>
    <w:rsid w:val="00A67899"/>
    <w:rsid w:val="00A67F05"/>
    <w:rsid w:val="00A705AD"/>
    <w:rsid w:val="00A70B52"/>
    <w:rsid w:val="00A70F15"/>
    <w:rsid w:val="00A71448"/>
    <w:rsid w:val="00A71647"/>
    <w:rsid w:val="00A72D21"/>
    <w:rsid w:val="00A72FE2"/>
    <w:rsid w:val="00A730DF"/>
    <w:rsid w:val="00A7319A"/>
    <w:rsid w:val="00A736AE"/>
    <w:rsid w:val="00A7437B"/>
    <w:rsid w:val="00A7460A"/>
    <w:rsid w:val="00A75137"/>
    <w:rsid w:val="00A75172"/>
    <w:rsid w:val="00A75501"/>
    <w:rsid w:val="00A7566D"/>
    <w:rsid w:val="00A75AF8"/>
    <w:rsid w:val="00A8075E"/>
    <w:rsid w:val="00A81F12"/>
    <w:rsid w:val="00A82093"/>
    <w:rsid w:val="00A82C22"/>
    <w:rsid w:val="00A82D3E"/>
    <w:rsid w:val="00A832E8"/>
    <w:rsid w:val="00A83569"/>
    <w:rsid w:val="00A83683"/>
    <w:rsid w:val="00A83AF5"/>
    <w:rsid w:val="00A851A2"/>
    <w:rsid w:val="00A85448"/>
    <w:rsid w:val="00A8573D"/>
    <w:rsid w:val="00A85F07"/>
    <w:rsid w:val="00A86491"/>
    <w:rsid w:val="00A866A0"/>
    <w:rsid w:val="00A8692E"/>
    <w:rsid w:val="00A8797F"/>
    <w:rsid w:val="00A902CD"/>
    <w:rsid w:val="00A911F8"/>
    <w:rsid w:val="00A91A2F"/>
    <w:rsid w:val="00A939E3"/>
    <w:rsid w:val="00A93A7B"/>
    <w:rsid w:val="00A9424F"/>
    <w:rsid w:val="00A944BB"/>
    <w:rsid w:val="00A94609"/>
    <w:rsid w:val="00A94FA3"/>
    <w:rsid w:val="00A94FF4"/>
    <w:rsid w:val="00A96573"/>
    <w:rsid w:val="00A971D9"/>
    <w:rsid w:val="00A97CE4"/>
    <w:rsid w:val="00AA15B2"/>
    <w:rsid w:val="00AA1894"/>
    <w:rsid w:val="00AA1C7D"/>
    <w:rsid w:val="00AA2363"/>
    <w:rsid w:val="00AA272C"/>
    <w:rsid w:val="00AA2869"/>
    <w:rsid w:val="00AA2912"/>
    <w:rsid w:val="00AA2CB1"/>
    <w:rsid w:val="00AA360B"/>
    <w:rsid w:val="00AA367A"/>
    <w:rsid w:val="00AA3769"/>
    <w:rsid w:val="00AA4AB0"/>
    <w:rsid w:val="00AA6109"/>
    <w:rsid w:val="00AA6ADD"/>
    <w:rsid w:val="00AA7F97"/>
    <w:rsid w:val="00AA7FF2"/>
    <w:rsid w:val="00AB0721"/>
    <w:rsid w:val="00AB0E2B"/>
    <w:rsid w:val="00AB0ED5"/>
    <w:rsid w:val="00AB13D0"/>
    <w:rsid w:val="00AB297E"/>
    <w:rsid w:val="00AB38F1"/>
    <w:rsid w:val="00AB422D"/>
    <w:rsid w:val="00AB4413"/>
    <w:rsid w:val="00AB442B"/>
    <w:rsid w:val="00AB472E"/>
    <w:rsid w:val="00AB47F6"/>
    <w:rsid w:val="00AB569F"/>
    <w:rsid w:val="00AB5E73"/>
    <w:rsid w:val="00AB5E84"/>
    <w:rsid w:val="00AB6526"/>
    <w:rsid w:val="00AB6C1B"/>
    <w:rsid w:val="00AB6DBE"/>
    <w:rsid w:val="00AB6FEF"/>
    <w:rsid w:val="00AB7135"/>
    <w:rsid w:val="00AC048F"/>
    <w:rsid w:val="00AC0D11"/>
    <w:rsid w:val="00AC10BE"/>
    <w:rsid w:val="00AC2659"/>
    <w:rsid w:val="00AC2855"/>
    <w:rsid w:val="00AC2B72"/>
    <w:rsid w:val="00AC3375"/>
    <w:rsid w:val="00AC3DE5"/>
    <w:rsid w:val="00AC3EA6"/>
    <w:rsid w:val="00AC4172"/>
    <w:rsid w:val="00AC48BB"/>
    <w:rsid w:val="00AC4F66"/>
    <w:rsid w:val="00AC58EC"/>
    <w:rsid w:val="00AC5B34"/>
    <w:rsid w:val="00AC5B96"/>
    <w:rsid w:val="00AC5C95"/>
    <w:rsid w:val="00AC5CD3"/>
    <w:rsid w:val="00AC6431"/>
    <w:rsid w:val="00AC7CAB"/>
    <w:rsid w:val="00AC7D7F"/>
    <w:rsid w:val="00AC7F1E"/>
    <w:rsid w:val="00AD129F"/>
    <w:rsid w:val="00AD16F7"/>
    <w:rsid w:val="00AD1C0A"/>
    <w:rsid w:val="00AD1D8D"/>
    <w:rsid w:val="00AD28CE"/>
    <w:rsid w:val="00AD2968"/>
    <w:rsid w:val="00AD2CB6"/>
    <w:rsid w:val="00AD32E5"/>
    <w:rsid w:val="00AD49BE"/>
    <w:rsid w:val="00AD64FC"/>
    <w:rsid w:val="00AD6A25"/>
    <w:rsid w:val="00AE0732"/>
    <w:rsid w:val="00AE0B73"/>
    <w:rsid w:val="00AE2134"/>
    <w:rsid w:val="00AE2513"/>
    <w:rsid w:val="00AE2632"/>
    <w:rsid w:val="00AE2CB1"/>
    <w:rsid w:val="00AE2CFD"/>
    <w:rsid w:val="00AE35D8"/>
    <w:rsid w:val="00AE3AAE"/>
    <w:rsid w:val="00AE3BD2"/>
    <w:rsid w:val="00AE40B2"/>
    <w:rsid w:val="00AE59B4"/>
    <w:rsid w:val="00AE6638"/>
    <w:rsid w:val="00AE70A1"/>
    <w:rsid w:val="00AE73B2"/>
    <w:rsid w:val="00AE7DA2"/>
    <w:rsid w:val="00AF084A"/>
    <w:rsid w:val="00AF0E2F"/>
    <w:rsid w:val="00AF136B"/>
    <w:rsid w:val="00AF1643"/>
    <w:rsid w:val="00AF21F3"/>
    <w:rsid w:val="00AF2446"/>
    <w:rsid w:val="00AF2EB9"/>
    <w:rsid w:val="00AF2F20"/>
    <w:rsid w:val="00AF3C4F"/>
    <w:rsid w:val="00AF3CE0"/>
    <w:rsid w:val="00AF4082"/>
    <w:rsid w:val="00AF46C7"/>
    <w:rsid w:val="00AF4767"/>
    <w:rsid w:val="00AF4817"/>
    <w:rsid w:val="00AF5370"/>
    <w:rsid w:val="00AF5B2F"/>
    <w:rsid w:val="00AF63FA"/>
    <w:rsid w:val="00AF6460"/>
    <w:rsid w:val="00AF6BEF"/>
    <w:rsid w:val="00AF7194"/>
    <w:rsid w:val="00AF78D3"/>
    <w:rsid w:val="00B00119"/>
    <w:rsid w:val="00B006D1"/>
    <w:rsid w:val="00B0195B"/>
    <w:rsid w:val="00B01B0E"/>
    <w:rsid w:val="00B02B3E"/>
    <w:rsid w:val="00B035FB"/>
    <w:rsid w:val="00B03E99"/>
    <w:rsid w:val="00B048E2"/>
    <w:rsid w:val="00B048FE"/>
    <w:rsid w:val="00B04FDF"/>
    <w:rsid w:val="00B0521C"/>
    <w:rsid w:val="00B05333"/>
    <w:rsid w:val="00B05DA4"/>
    <w:rsid w:val="00B065F9"/>
    <w:rsid w:val="00B06837"/>
    <w:rsid w:val="00B06BA1"/>
    <w:rsid w:val="00B07F54"/>
    <w:rsid w:val="00B1021C"/>
    <w:rsid w:val="00B10AAA"/>
    <w:rsid w:val="00B10C5C"/>
    <w:rsid w:val="00B10D7E"/>
    <w:rsid w:val="00B126C6"/>
    <w:rsid w:val="00B12EC7"/>
    <w:rsid w:val="00B140DF"/>
    <w:rsid w:val="00B14566"/>
    <w:rsid w:val="00B1472E"/>
    <w:rsid w:val="00B14798"/>
    <w:rsid w:val="00B14925"/>
    <w:rsid w:val="00B14AE0"/>
    <w:rsid w:val="00B15398"/>
    <w:rsid w:val="00B15F54"/>
    <w:rsid w:val="00B172E7"/>
    <w:rsid w:val="00B211F3"/>
    <w:rsid w:val="00B21B8C"/>
    <w:rsid w:val="00B239D8"/>
    <w:rsid w:val="00B23BA4"/>
    <w:rsid w:val="00B23BE2"/>
    <w:rsid w:val="00B240C6"/>
    <w:rsid w:val="00B2435B"/>
    <w:rsid w:val="00B244D2"/>
    <w:rsid w:val="00B250BF"/>
    <w:rsid w:val="00B251FC"/>
    <w:rsid w:val="00B25535"/>
    <w:rsid w:val="00B26529"/>
    <w:rsid w:val="00B2663B"/>
    <w:rsid w:val="00B26B95"/>
    <w:rsid w:val="00B273C5"/>
    <w:rsid w:val="00B30F35"/>
    <w:rsid w:val="00B312CD"/>
    <w:rsid w:val="00B3172E"/>
    <w:rsid w:val="00B31844"/>
    <w:rsid w:val="00B31A9D"/>
    <w:rsid w:val="00B31B95"/>
    <w:rsid w:val="00B32A00"/>
    <w:rsid w:val="00B32D01"/>
    <w:rsid w:val="00B3446F"/>
    <w:rsid w:val="00B3472F"/>
    <w:rsid w:val="00B34D6D"/>
    <w:rsid w:val="00B3505E"/>
    <w:rsid w:val="00B35753"/>
    <w:rsid w:val="00B35A88"/>
    <w:rsid w:val="00B362BD"/>
    <w:rsid w:val="00B36CA5"/>
    <w:rsid w:val="00B36DA4"/>
    <w:rsid w:val="00B3729A"/>
    <w:rsid w:val="00B37BB0"/>
    <w:rsid w:val="00B412C7"/>
    <w:rsid w:val="00B41B82"/>
    <w:rsid w:val="00B41E3D"/>
    <w:rsid w:val="00B42509"/>
    <w:rsid w:val="00B42A54"/>
    <w:rsid w:val="00B42B79"/>
    <w:rsid w:val="00B4388B"/>
    <w:rsid w:val="00B43AE9"/>
    <w:rsid w:val="00B43E85"/>
    <w:rsid w:val="00B44218"/>
    <w:rsid w:val="00B44458"/>
    <w:rsid w:val="00B445AF"/>
    <w:rsid w:val="00B44714"/>
    <w:rsid w:val="00B44FD5"/>
    <w:rsid w:val="00B45C0A"/>
    <w:rsid w:val="00B462CB"/>
    <w:rsid w:val="00B4659B"/>
    <w:rsid w:val="00B468AE"/>
    <w:rsid w:val="00B47C26"/>
    <w:rsid w:val="00B50E52"/>
    <w:rsid w:val="00B515E0"/>
    <w:rsid w:val="00B51920"/>
    <w:rsid w:val="00B51A02"/>
    <w:rsid w:val="00B522D3"/>
    <w:rsid w:val="00B53524"/>
    <w:rsid w:val="00B54825"/>
    <w:rsid w:val="00B54BF7"/>
    <w:rsid w:val="00B56B5D"/>
    <w:rsid w:val="00B57043"/>
    <w:rsid w:val="00B57416"/>
    <w:rsid w:val="00B60DD7"/>
    <w:rsid w:val="00B62158"/>
    <w:rsid w:val="00B63A53"/>
    <w:rsid w:val="00B63C78"/>
    <w:rsid w:val="00B6401F"/>
    <w:rsid w:val="00B642C0"/>
    <w:rsid w:val="00B655B5"/>
    <w:rsid w:val="00B65963"/>
    <w:rsid w:val="00B65FEE"/>
    <w:rsid w:val="00B6621E"/>
    <w:rsid w:val="00B66A09"/>
    <w:rsid w:val="00B670D6"/>
    <w:rsid w:val="00B67716"/>
    <w:rsid w:val="00B67833"/>
    <w:rsid w:val="00B67A13"/>
    <w:rsid w:val="00B70014"/>
    <w:rsid w:val="00B704AB"/>
    <w:rsid w:val="00B7092D"/>
    <w:rsid w:val="00B709F8"/>
    <w:rsid w:val="00B70F2D"/>
    <w:rsid w:val="00B7157F"/>
    <w:rsid w:val="00B71830"/>
    <w:rsid w:val="00B71CEA"/>
    <w:rsid w:val="00B71EBA"/>
    <w:rsid w:val="00B72F97"/>
    <w:rsid w:val="00B733E3"/>
    <w:rsid w:val="00B745FB"/>
    <w:rsid w:val="00B74604"/>
    <w:rsid w:val="00B7572F"/>
    <w:rsid w:val="00B76E8B"/>
    <w:rsid w:val="00B76FCF"/>
    <w:rsid w:val="00B76FF9"/>
    <w:rsid w:val="00B77C12"/>
    <w:rsid w:val="00B77DCD"/>
    <w:rsid w:val="00B77EB6"/>
    <w:rsid w:val="00B80853"/>
    <w:rsid w:val="00B80EC0"/>
    <w:rsid w:val="00B81298"/>
    <w:rsid w:val="00B8138A"/>
    <w:rsid w:val="00B81B2E"/>
    <w:rsid w:val="00B81E51"/>
    <w:rsid w:val="00B8241B"/>
    <w:rsid w:val="00B82C69"/>
    <w:rsid w:val="00B831D8"/>
    <w:rsid w:val="00B83205"/>
    <w:rsid w:val="00B833F1"/>
    <w:rsid w:val="00B83ECD"/>
    <w:rsid w:val="00B854E1"/>
    <w:rsid w:val="00B87CC4"/>
    <w:rsid w:val="00B900AB"/>
    <w:rsid w:val="00B902D7"/>
    <w:rsid w:val="00B9051E"/>
    <w:rsid w:val="00B91617"/>
    <w:rsid w:val="00B91980"/>
    <w:rsid w:val="00B925BD"/>
    <w:rsid w:val="00B925DD"/>
    <w:rsid w:val="00B92936"/>
    <w:rsid w:val="00B93207"/>
    <w:rsid w:val="00B93224"/>
    <w:rsid w:val="00B93555"/>
    <w:rsid w:val="00B935FD"/>
    <w:rsid w:val="00B93B65"/>
    <w:rsid w:val="00B93D05"/>
    <w:rsid w:val="00B93DBD"/>
    <w:rsid w:val="00B94915"/>
    <w:rsid w:val="00B95351"/>
    <w:rsid w:val="00B9554D"/>
    <w:rsid w:val="00B966F9"/>
    <w:rsid w:val="00B96A1C"/>
    <w:rsid w:val="00B96CDE"/>
    <w:rsid w:val="00B96FCC"/>
    <w:rsid w:val="00B9776D"/>
    <w:rsid w:val="00BA0AD5"/>
    <w:rsid w:val="00BA1691"/>
    <w:rsid w:val="00BA195D"/>
    <w:rsid w:val="00BA1E48"/>
    <w:rsid w:val="00BA1E5C"/>
    <w:rsid w:val="00BA29F6"/>
    <w:rsid w:val="00BA2A83"/>
    <w:rsid w:val="00BA2E06"/>
    <w:rsid w:val="00BA32D7"/>
    <w:rsid w:val="00BA33CB"/>
    <w:rsid w:val="00BA36FF"/>
    <w:rsid w:val="00BA434E"/>
    <w:rsid w:val="00BA4A8D"/>
    <w:rsid w:val="00BA5FDF"/>
    <w:rsid w:val="00BA6141"/>
    <w:rsid w:val="00BA650D"/>
    <w:rsid w:val="00BA6ACC"/>
    <w:rsid w:val="00BA7782"/>
    <w:rsid w:val="00BA79F8"/>
    <w:rsid w:val="00BA7C10"/>
    <w:rsid w:val="00BB099D"/>
    <w:rsid w:val="00BB29C9"/>
    <w:rsid w:val="00BB2FBC"/>
    <w:rsid w:val="00BB33CB"/>
    <w:rsid w:val="00BB4606"/>
    <w:rsid w:val="00BB4AE4"/>
    <w:rsid w:val="00BB5363"/>
    <w:rsid w:val="00BC03DF"/>
    <w:rsid w:val="00BC1070"/>
    <w:rsid w:val="00BC12F1"/>
    <w:rsid w:val="00BC30B3"/>
    <w:rsid w:val="00BC31CD"/>
    <w:rsid w:val="00BC5116"/>
    <w:rsid w:val="00BC51CB"/>
    <w:rsid w:val="00BC547E"/>
    <w:rsid w:val="00BC5C53"/>
    <w:rsid w:val="00BC5F65"/>
    <w:rsid w:val="00BC72E3"/>
    <w:rsid w:val="00BC78E4"/>
    <w:rsid w:val="00BC7E18"/>
    <w:rsid w:val="00BC7EF0"/>
    <w:rsid w:val="00BD0288"/>
    <w:rsid w:val="00BD0600"/>
    <w:rsid w:val="00BD08FA"/>
    <w:rsid w:val="00BD0E50"/>
    <w:rsid w:val="00BD11E2"/>
    <w:rsid w:val="00BD1375"/>
    <w:rsid w:val="00BD2248"/>
    <w:rsid w:val="00BD27F5"/>
    <w:rsid w:val="00BD3533"/>
    <w:rsid w:val="00BD3DD1"/>
    <w:rsid w:val="00BD49D6"/>
    <w:rsid w:val="00BD4D73"/>
    <w:rsid w:val="00BD4EBD"/>
    <w:rsid w:val="00BD4F73"/>
    <w:rsid w:val="00BD628D"/>
    <w:rsid w:val="00BD6CAC"/>
    <w:rsid w:val="00BD6F35"/>
    <w:rsid w:val="00BE079E"/>
    <w:rsid w:val="00BE0A7F"/>
    <w:rsid w:val="00BE1121"/>
    <w:rsid w:val="00BE1BDE"/>
    <w:rsid w:val="00BE2C02"/>
    <w:rsid w:val="00BE2F1E"/>
    <w:rsid w:val="00BE3B2E"/>
    <w:rsid w:val="00BE3B7B"/>
    <w:rsid w:val="00BE58D0"/>
    <w:rsid w:val="00BE5FB9"/>
    <w:rsid w:val="00BF024D"/>
    <w:rsid w:val="00BF075B"/>
    <w:rsid w:val="00BF09C8"/>
    <w:rsid w:val="00BF0C93"/>
    <w:rsid w:val="00BF1A83"/>
    <w:rsid w:val="00BF1AD1"/>
    <w:rsid w:val="00BF2F96"/>
    <w:rsid w:val="00BF4116"/>
    <w:rsid w:val="00BF428D"/>
    <w:rsid w:val="00BF4326"/>
    <w:rsid w:val="00BF53C5"/>
    <w:rsid w:val="00BF565A"/>
    <w:rsid w:val="00BF5C47"/>
    <w:rsid w:val="00BF67D0"/>
    <w:rsid w:val="00BF688B"/>
    <w:rsid w:val="00BF72D9"/>
    <w:rsid w:val="00BF7544"/>
    <w:rsid w:val="00BF7D02"/>
    <w:rsid w:val="00BF7E51"/>
    <w:rsid w:val="00C000CB"/>
    <w:rsid w:val="00C0096B"/>
    <w:rsid w:val="00C00A0B"/>
    <w:rsid w:val="00C00EC1"/>
    <w:rsid w:val="00C01150"/>
    <w:rsid w:val="00C01352"/>
    <w:rsid w:val="00C01DF6"/>
    <w:rsid w:val="00C01F95"/>
    <w:rsid w:val="00C02AF4"/>
    <w:rsid w:val="00C02DB2"/>
    <w:rsid w:val="00C02EFC"/>
    <w:rsid w:val="00C03479"/>
    <w:rsid w:val="00C04C7E"/>
    <w:rsid w:val="00C0537E"/>
    <w:rsid w:val="00C06031"/>
    <w:rsid w:val="00C060B6"/>
    <w:rsid w:val="00C068E7"/>
    <w:rsid w:val="00C075FC"/>
    <w:rsid w:val="00C108FB"/>
    <w:rsid w:val="00C10A59"/>
    <w:rsid w:val="00C11290"/>
    <w:rsid w:val="00C11735"/>
    <w:rsid w:val="00C12099"/>
    <w:rsid w:val="00C1210E"/>
    <w:rsid w:val="00C12B16"/>
    <w:rsid w:val="00C133F0"/>
    <w:rsid w:val="00C1347D"/>
    <w:rsid w:val="00C13814"/>
    <w:rsid w:val="00C1423E"/>
    <w:rsid w:val="00C14453"/>
    <w:rsid w:val="00C14D46"/>
    <w:rsid w:val="00C15C0C"/>
    <w:rsid w:val="00C15C4A"/>
    <w:rsid w:val="00C16654"/>
    <w:rsid w:val="00C16C57"/>
    <w:rsid w:val="00C16E98"/>
    <w:rsid w:val="00C1723C"/>
    <w:rsid w:val="00C17250"/>
    <w:rsid w:val="00C17A02"/>
    <w:rsid w:val="00C20E68"/>
    <w:rsid w:val="00C210AA"/>
    <w:rsid w:val="00C21D24"/>
    <w:rsid w:val="00C2246F"/>
    <w:rsid w:val="00C22B11"/>
    <w:rsid w:val="00C22E56"/>
    <w:rsid w:val="00C23649"/>
    <w:rsid w:val="00C24A01"/>
    <w:rsid w:val="00C24B31"/>
    <w:rsid w:val="00C25367"/>
    <w:rsid w:val="00C2578A"/>
    <w:rsid w:val="00C26180"/>
    <w:rsid w:val="00C26DAC"/>
    <w:rsid w:val="00C270F8"/>
    <w:rsid w:val="00C277A3"/>
    <w:rsid w:val="00C2798D"/>
    <w:rsid w:val="00C27A6F"/>
    <w:rsid w:val="00C27CF5"/>
    <w:rsid w:val="00C27D31"/>
    <w:rsid w:val="00C27D7C"/>
    <w:rsid w:val="00C30042"/>
    <w:rsid w:val="00C307BF"/>
    <w:rsid w:val="00C30FE8"/>
    <w:rsid w:val="00C312B3"/>
    <w:rsid w:val="00C31565"/>
    <w:rsid w:val="00C315E7"/>
    <w:rsid w:val="00C31FB4"/>
    <w:rsid w:val="00C3332E"/>
    <w:rsid w:val="00C335C0"/>
    <w:rsid w:val="00C34711"/>
    <w:rsid w:val="00C348E4"/>
    <w:rsid w:val="00C35193"/>
    <w:rsid w:val="00C3549E"/>
    <w:rsid w:val="00C358CE"/>
    <w:rsid w:val="00C35C64"/>
    <w:rsid w:val="00C36422"/>
    <w:rsid w:val="00C40559"/>
    <w:rsid w:val="00C4060E"/>
    <w:rsid w:val="00C40EAE"/>
    <w:rsid w:val="00C418A0"/>
    <w:rsid w:val="00C42C09"/>
    <w:rsid w:val="00C43689"/>
    <w:rsid w:val="00C43B1F"/>
    <w:rsid w:val="00C43E22"/>
    <w:rsid w:val="00C4677C"/>
    <w:rsid w:val="00C46F22"/>
    <w:rsid w:val="00C471DD"/>
    <w:rsid w:val="00C501CE"/>
    <w:rsid w:val="00C50AF7"/>
    <w:rsid w:val="00C50BCE"/>
    <w:rsid w:val="00C5160D"/>
    <w:rsid w:val="00C55125"/>
    <w:rsid w:val="00C55AF9"/>
    <w:rsid w:val="00C56A6E"/>
    <w:rsid w:val="00C574FA"/>
    <w:rsid w:val="00C57D5C"/>
    <w:rsid w:val="00C601E7"/>
    <w:rsid w:val="00C6028E"/>
    <w:rsid w:val="00C60513"/>
    <w:rsid w:val="00C60821"/>
    <w:rsid w:val="00C609FE"/>
    <w:rsid w:val="00C61703"/>
    <w:rsid w:val="00C61A0E"/>
    <w:rsid w:val="00C62360"/>
    <w:rsid w:val="00C62561"/>
    <w:rsid w:val="00C6263F"/>
    <w:rsid w:val="00C62B38"/>
    <w:rsid w:val="00C63040"/>
    <w:rsid w:val="00C63344"/>
    <w:rsid w:val="00C63399"/>
    <w:rsid w:val="00C652A8"/>
    <w:rsid w:val="00C659AF"/>
    <w:rsid w:val="00C660AA"/>
    <w:rsid w:val="00C66ECD"/>
    <w:rsid w:val="00C67882"/>
    <w:rsid w:val="00C679BB"/>
    <w:rsid w:val="00C70904"/>
    <w:rsid w:val="00C7133D"/>
    <w:rsid w:val="00C715FE"/>
    <w:rsid w:val="00C716D3"/>
    <w:rsid w:val="00C71B5F"/>
    <w:rsid w:val="00C72E63"/>
    <w:rsid w:val="00C73C4D"/>
    <w:rsid w:val="00C75B28"/>
    <w:rsid w:val="00C7615F"/>
    <w:rsid w:val="00C7633B"/>
    <w:rsid w:val="00C76D3E"/>
    <w:rsid w:val="00C77D70"/>
    <w:rsid w:val="00C802B1"/>
    <w:rsid w:val="00C80A83"/>
    <w:rsid w:val="00C80C8E"/>
    <w:rsid w:val="00C81029"/>
    <w:rsid w:val="00C819DA"/>
    <w:rsid w:val="00C825AA"/>
    <w:rsid w:val="00C82651"/>
    <w:rsid w:val="00C82952"/>
    <w:rsid w:val="00C82FE5"/>
    <w:rsid w:val="00C83219"/>
    <w:rsid w:val="00C833D7"/>
    <w:rsid w:val="00C83EC8"/>
    <w:rsid w:val="00C84C4C"/>
    <w:rsid w:val="00C85366"/>
    <w:rsid w:val="00C85423"/>
    <w:rsid w:val="00C86BA6"/>
    <w:rsid w:val="00C90937"/>
    <w:rsid w:val="00C910F2"/>
    <w:rsid w:val="00C941FF"/>
    <w:rsid w:val="00C94953"/>
    <w:rsid w:val="00C94E16"/>
    <w:rsid w:val="00C950DD"/>
    <w:rsid w:val="00C9567D"/>
    <w:rsid w:val="00C97DAF"/>
    <w:rsid w:val="00C97F64"/>
    <w:rsid w:val="00CA00A7"/>
    <w:rsid w:val="00CA01BA"/>
    <w:rsid w:val="00CA03D2"/>
    <w:rsid w:val="00CA22A5"/>
    <w:rsid w:val="00CA2D3D"/>
    <w:rsid w:val="00CA2D40"/>
    <w:rsid w:val="00CA31F5"/>
    <w:rsid w:val="00CA3528"/>
    <w:rsid w:val="00CA36BF"/>
    <w:rsid w:val="00CA3E43"/>
    <w:rsid w:val="00CA4B0D"/>
    <w:rsid w:val="00CA5D30"/>
    <w:rsid w:val="00CA5D34"/>
    <w:rsid w:val="00CA5EC1"/>
    <w:rsid w:val="00CA6088"/>
    <w:rsid w:val="00CA6C79"/>
    <w:rsid w:val="00CA787E"/>
    <w:rsid w:val="00CA7C37"/>
    <w:rsid w:val="00CB0DF0"/>
    <w:rsid w:val="00CB0ECE"/>
    <w:rsid w:val="00CB122F"/>
    <w:rsid w:val="00CB1CF5"/>
    <w:rsid w:val="00CB224B"/>
    <w:rsid w:val="00CB234F"/>
    <w:rsid w:val="00CB2428"/>
    <w:rsid w:val="00CB2C51"/>
    <w:rsid w:val="00CB6179"/>
    <w:rsid w:val="00CB63CE"/>
    <w:rsid w:val="00CB648F"/>
    <w:rsid w:val="00CB6C3D"/>
    <w:rsid w:val="00CB7D7B"/>
    <w:rsid w:val="00CC025E"/>
    <w:rsid w:val="00CC057C"/>
    <w:rsid w:val="00CC0978"/>
    <w:rsid w:val="00CC16D9"/>
    <w:rsid w:val="00CC1B7C"/>
    <w:rsid w:val="00CC1E34"/>
    <w:rsid w:val="00CC24B4"/>
    <w:rsid w:val="00CC25DF"/>
    <w:rsid w:val="00CC4CDF"/>
    <w:rsid w:val="00CC4FA2"/>
    <w:rsid w:val="00CC5B35"/>
    <w:rsid w:val="00CC63D8"/>
    <w:rsid w:val="00CC7167"/>
    <w:rsid w:val="00CC7462"/>
    <w:rsid w:val="00CC7D33"/>
    <w:rsid w:val="00CD05A5"/>
    <w:rsid w:val="00CD130A"/>
    <w:rsid w:val="00CD289F"/>
    <w:rsid w:val="00CD2F35"/>
    <w:rsid w:val="00CD3154"/>
    <w:rsid w:val="00CD3898"/>
    <w:rsid w:val="00CD3B0E"/>
    <w:rsid w:val="00CD48A6"/>
    <w:rsid w:val="00CD5704"/>
    <w:rsid w:val="00CD607C"/>
    <w:rsid w:val="00CD6411"/>
    <w:rsid w:val="00CD65C4"/>
    <w:rsid w:val="00CD6A40"/>
    <w:rsid w:val="00CD6A47"/>
    <w:rsid w:val="00CE0460"/>
    <w:rsid w:val="00CE0744"/>
    <w:rsid w:val="00CE0B6B"/>
    <w:rsid w:val="00CE1F03"/>
    <w:rsid w:val="00CE2067"/>
    <w:rsid w:val="00CE3239"/>
    <w:rsid w:val="00CE36B4"/>
    <w:rsid w:val="00CE3B28"/>
    <w:rsid w:val="00CE3DE6"/>
    <w:rsid w:val="00CE3FDE"/>
    <w:rsid w:val="00CE44BE"/>
    <w:rsid w:val="00CE471B"/>
    <w:rsid w:val="00CE4902"/>
    <w:rsid w:val="00CE49D3"/>
    <w:rsid w:val="00CE4C84"/>
    <w:rsid w:val="00CE5AC5"/>
    <w:rsid w:val="00CE6F0A"/>
    <w:rsid w:val="00CE7D71"/>
    <w:rsid w:val="00CF029F"/>
    <w:rsid w:val="00CF1281"/>
    <w:rsid w:val="00CF1AC5"/>
    <w:rsid w:val="00CF20AF"/>
    <w:rsid w:val="00CF2330"/>
    <w:rsid w:val="00CF2A6A"/>
    <w:rsid w:val="00CF2E4F"/>
    <w:rsid w:val="00CF439D"/>
    <w:rsid w:val="00CF55E4"/>
    <w:rsid w:val="00CF6FF4"/>
    <w:rsid w:val="00CF714D"/>
    <w:rsid w:val="00CF7791"/>
    <w:rsid w:val="00D01097"/>
    <w:rsid w:val="00D01A0B"/>
    <w:rsid w:val="00D0202C"/>
    <w:rsid w:val="00D02722"/>
    <w:rsid w:val="00D03166"/>
    <w:rsid w:val="00D0368F"/>
    <w:rsid w:val="00D04958"/>
    <w:rsid w:val="00D05638"/>
    <w:rsid w:val="00D05B2B"/>
    <w:rsid w:val="00D05C4A"/>
    <w:rsid w:val="00D05E5C"/>
    <w:rsid w:val="00D0611E"/>
    <w:rsid w:val="00D07EF1"/>
    <w:rsid w:val="00D10761"/>
    <w:rsid w:val="00D10C0E"/>
    <w:rsid w:val="00D117F4"/>
    <w:rsid w:val="00D119B0"/>
    <w:rsid w:val="00D12636"/>
    <w:rsid w:val="00D1376A"/>
    <w:rsid w:val="00D141D5"/>
    <w:rsid w:val="00D14D67"/>
    <w:rsid w:val="00D1565D"/>
    <w:rsid w:val="00D161FB"/>
    <w:rsid w:val="00D162D1"/>
    <w:rsid w:val="00D16BB8"/>
    <w:rsid w:val="00D17069"/>
    <w:rsid w:val="00D175BE"/>
    <w:rsid w:val="00D20060"/>
    <w:rsid w:val="00D201A9"/>
    <w:rsid w:val="00D210CD"/>
    <w:rsid w:val="00D21205"/>
    <w:rsid w:val="00D21AC5"/>
    <w:rsid w:val="00D21DFB"/>
    <w:rsid w:val="00D23078"/>
    <w:rsid w:val="00D251D8"/>
    <w:rsid w:val="00D2546F"/>
    <w:rsid w:val="00D25CA6"/>
    <w:rsid w:val="00D26ADA"/>
    <w:rsid w:val="00D30F1E"/>
    <w:rsid w:val="00D31AC8"/>
    <w:rsid w:val="00D32219"/>
    <w:rsid w:val="00D3362E"/>
    <w:rsid w:val="00D3462E"/>
    <w:rsid w:val="00D34989"/>
    <w:rsid w:val="00D35E76"/>
    <w:rsid w:val="00D36063"/>
    <w:rsid w:val="00D367DB"/>
    <w:rsid w:val="00D3729A"/>
    <w:rsid w:val="00D373D7"/>
    <w:rsid w:val="00D37550"/>
    <w:rsid w:val="00D37706"/>
    <w:rsid w:val="00D37CCB"/>
    <w:rsid w:val="00D37D91"/>
    <w:rsid w:val="00D40230"/>
    <w:rsid w:val="00D40416"/>
    <w:rsid w:val="00D40AED"/>
    <w:rsid w:val="00D41DB6"/>
    <w:rsid w:val="00D43571"/>
    <w:rsid w:val="00D43894"/>
    <w:rsid w:val="00D43EE5"/>
    <w:rsid w:val="00D44053"/>
    <w:rsid w:val="00D44220"/>
    <w:rsid w:val="00D44D33"/>
    <w:rsid w:val="00D44D7E"/>
    <w:rsid w:val="00D4558A"/>
    <w:rsid w:val="00D46272"/>
    <w:rsid w:val="00D463F8"/>
    <w:rsid w:val="00D46705"/>
    <w:rsid w:val="00D46756"/>
    <w:rsid w:val="00D46E3E"/>
    <w:rsid w:val="00D46E67"/>
    <w:rsid w:val="00D47D81"/>
    <w:rsid w:val="00D50E01"/>
    <w:rsid w:val="00D50F5F"/>
    <w:rsid w:val="00D5151F"/>
    <w:rsid w:val="00D51837"/>
    <w:rsid w:val="00D52191"/>
    <w:rsid w:val="00D52382"/>
    <w:rsid w:val="00D523AB"/>
    <w:rsid w:val="00D5318B"/>
    <w:rsid w:val="00D533BF"/>
    <w:rsid w:val="00D5440D"/>
    <w:rsid w:val="00D550FB"/>
    <w:rsid w:val="00D5532E"/>
    <w:rsid w:val="00D55351"/>
    <w:rsid w:val="00D55909"/>
    <w:rsid w:val="00D55FE4"/>
    <w:rsid w:val="00D56EC7"/>
    <w:rsid w:val="00D572E4"/>
    <w:rsid w:val="00D60B31"/>
    <w:rsid w:val="00D60E3B"/>
    <w:rsid w:val="00D616DE"/>
    <w:rsid w:val="00D62573"/>
    <w:rsid w:val="00D62DAF"/>
    <w:rsid w:val="00D64097"/>
    <w:rsid w:val="00D645DA"/>
    <w:rsid w:val="00D6553E"/>
    <w:rsid w:val="00D6595F"/>
    <w:rsid w:val="00D65C0C"/>
    <w:rsid w:val="00D65FE8"/>
    <w:rsid w:val="00D66B3A"/>
    <w:rsid w:val="00D6731D"/>
    <w:rsid w:val="00D676D3"/>
    <w:rsid w:val="00D70824"/>
    <w:rsid w:val="00D70ABF"/>
    <w:rsid w:val="00D7133F"/>
    <w:rsid w:val="00D7185F"/>
    <w:rsid w:val="00D724B9"/>
    <w:rsid w:val="00D72AFE"/>
    <w:rsid w:val="00D72E5D"/>
    <w:rsid w:val="00D73D91"/>
    <w:rsid w:val="00D73E1D"/>
    <w:rsid w:val="00D744E5"/>
    <w:rsid w:val="00D7493A"/>
    <w:rsid w:val="00D7644C"/>
    <w:rsid w:val="00D76A9B"/>
    <w:rsid w:val="00D76FB4"/>
    <w:rsid w:val="00D7724D"/>
    <w:rsid w:val="00D77C2A"/>
    <w:rsid w:val="00D80349"/>
    <w:rsid w:val="00D805C6"/>
    <w:rsid w:val="00D80B54"/>
    <w:rsid w:val="00D80D1A"/>
    <w:rsid w:val="00D812EB"/>
    <w:rsid w:val="00D81D6E"/>
    <w:rsid w:val="00D81EFC"/>
    <w:rsid w:val="00D8249E"/>
    <w:rsid w:val="00D83CD3"/>
    <w:rsid w:val="00D84132"/>
    <w:rsid w:val="00D84940"/>
    <w:rsid w:val="00D8535F"/>
    <w:rsid w:val="00D8623D"/>
    <w:rsid w:val="00D86DBF"/>
    <w:rsid w:val="00D87F60"/>
    <w:rsid w:val="00D90BDA"/>
    <w:rsid w:val="00D91511"/>
    <w:rsid w:val="00D91699"/>
    <w:rsid w:val="00D91C02"/>
    <w:rsid w:val="00D92A7D"/>
    <w:rsid w:val="00D935B0"/>
    <w:rsid w:val="00D9394E"/>
    <w:rsid w:val="00D93B30"/>
    <w:rsid w:val="00D94E90"/>
    <w:rsid w:val="00D94FFB"/>
    <w:rsid w:val="00D968C4"/>
    <w:rsid w:val="00D97263"/>
    <w:rsid w:val="00D978AB"/>
    <w:rsid w:val="00D97D1F"/>
    <w:rsid w:val="00DA02B9"/>
    <w:rsid w:val="00DA1472"/>
    <w:rsid w:val="00DA24CE"/>
    <w:rsid w:val="00DA357B"/>
    <w:rsid w:val="00DA466D"/>
    <w:rsid w:val="00DA4AEC"/>
    <w:rsid w:val="00DA4BC3"/>
    <w:rsid w:val="00DA5FED"/>
    <w:rsid w:val="00DA6FA3"/>
    <w:rsid w:val="00DA7227"/>
    <w:rsid w:val="00DB078D"/>
    <w:rsid w:val="00DB14BD"/>
    <w:rsid w:val="00DB1537"/>
    <w:rsid w:val="00DB1A1F"/>
    <w:rsid w:val="00DB2BDC"/>
    <w:rsid w:val="00DB3409"/>
    <w:rsid w:val="00DB3B9F"/>
    <w:rsid w:val="00DB3FBC"/>
    <w:rsid w:val="00DB4140"/>
    <w:rsid w:val="00DB47E7"/>
    <w:rsid w:val="00DB49DB"/>
    <w:rsid w:val="00DB4CCB"/>
    <w:rsid w:val="00DB5DAF"/>
    <w:rsid w:val="00DB61E1"/>
    <w:rsid w:val="00DB6BFA"/>
    <w:rsid w:val="00DB6D69"/>
    <w:rsid w:val="00DB77E7"/>
    <w:rsid w:val="00DB7895"/>
    <w:rsid w:val="00DB78A4"/>
    <w:rsid w:val="00DC0BCC"/>
    <w:rsid w:val="00DC0DD2"/>
    <w:rsid w:val="00DC1BA2"/>
    <w:rsid w:val="00DC23EC"/>
    <w:rsid w:val="00DC24A7"/>
    <w:rsid w:val="00DC25ED"/>
    <w:rsid w:val="00DC26C8"/>
    <w:rsid w:val="00DC2B97"/>
    <w:rsid w:val="00DC2E51"/>
    <w:rsid w:val="00DC495E"/>
    <w:rsid w:val="00DC4A6D"/>
    <w:rsid w:val="00DC4E0A"/>
    <w:rsid w:val="00DC5771"/>
    <w:rsid w:val="00DC5AE1"/>
    <w:rsid w:val="00DC6256"/>
    <w:rsid w:val="00DC66A0"/>
    <w:rsid w:val="00DC7272"/>
    <w:rsid w:val="00DC7846"/>
    <w:rsid w:val="00DD0563"/>
    <w:rsid w:val="00DD1B1E"/>
    <w:rsid w:val="00DD24DF"/>
    <w:rsid w:val="00DD2BA5"/>
    <w:rsid w:val="00DD2D36"/>
    <w:rsid w:val="00DD48B7"/>
    <w:rsid w:val="00DD5045"/>
    <w:rsid w:val="00DD5C57"/>
    <w:rsid w:val="00DD5CBA"/>
    <w:rsid w:val="00DE084D"/>
    <w:rsid w:val="00DE0AA6"/>
    <w:rsid w:val="00DE0B6A"/>
    <w:rsid w:val="00DE1755"/>
    <w:rsid w:val="00DE1E7E"/>
    <w:rsid w:val="00DE2201"/>
    <w:rsid w:val="00DE2C33"/>
    <w:rsid w:val="00DE2DB3"/>
    <w:rsid w:val="00DE32BF"/>
    <w:rsid w:val="00DE33AA"/>
    <w:rsid w:val="00DE343F"/>
    <w:rsid w:val="00DE395B"/>
    <w:rsid w:val="00DE424F"/>
    <w:rsid w:val="00DE45BB"/>
    <w:rsid w:val="00DE4E7A"/>
    <w:rsid w:val="00DE5845"/>
    <w:rsid w:val="00DE62D5"/>
    <w:rsid w:val="00DE6974"/>
    <w:rsid w:val="00DE7823"/>
    <w:rsid w:val="00DF0195"/>
    <w:rsid w:val="00DF022C"/>
    <w:rsid w:val="00DF04D8"/>
    <w:rsid w:val="00DF0AF8"/>
    <w:rsid w:val="00DF0B9E"/>
    <w:rsid w:val="00DF0BEB"/>
    <w:rsid w:val="00DF1176"/>
    <w:rsid w:val="00DF2AD4"/>
    <w:rsid w:val="00DF3A78"/>
    <w:rsid w:val="00DF418E"/>
    <w:rsid w:val="00DF47D5"/>
    <w:rsid w:val="00DF48EB"/>
    <w:rsid w:val="00DF4FA3"/>
    <w:rsid w:val="00DF60AD"/>
    <w:rsid w:val="00DF665D"/>
    <w:rsid w:val="00DF6994"/>
    <w:rsid w:val="00DF743A"/>
    <w:rsid w:val="00DF7AA5"/>
    <w:rsid w:val="00DF7AC3"/>
    <w:rsid w:val="00E00027"/>
    <w:rsid w:val="00E00601"/>
    <w:rsid w:val="00E00B9E"/>
    <w:rsid w:val="00E00C75"/>
    <w:rsid w:val="00E01531"/>
    <w:rsid w:val="00E01802"/>
    <w:rsid w:val="00E02485"/>
    <w:rsid w:val="00E02C1A"/>
    <w:rsid w:val="00E02F04"/>
    <w:rsid w:val="00E03CFE"/>
    <w:rsid w:val="00E05675"/>
    <w:rsid w:val="00E05CF5"/>
    <w:rsid w:val="00E06448"/>
    <w:rsid w:val="00E06574"/>
    <w:rsid w:val="00E06583"/>
    <w:rsid w:val="00E109E1"/>
    <w:rsid w:val="00E11046"/>
    <w:rsid w:val="00E115F8"/>
    <w:rsid w:val="00E11747"/>
    <w:rsid w:val="00E117CF"/>
    <w:rsid w:val="00E118D0"/>
    <w:rsid w:val="00E11C35"/>
    <w:rsid w:val="00E11EE2"/>
    <w:rsid w:val="00E123AC"/>
    <w:rsid w:val="00E13068"/>
    <w:rsid w:val="00E159E4"/>
    <w:rsid w:val="00E171C1"/>
    <w:rsid w:val="00E1774E"/>
    <w:rsid w:val="00E20025"/>
    <w:rsid w:val="00E2160A"/>
    <w:rsid w:val="00E21F53"/>
    <w:rsid w:val="00E220C2"/>
    <w:rsid w:val="00E222A7"/>
    <w:rsid w:val="00E224B1"/>
    <w:rsid w:val="00E231FB"/>
    <w:rsid w:val="00E26137"/>
    <w:rsid w:val="00E2659B"/>
    <w:rsid w:val="00E2692B"/>
    <w:rsid w:val="00E272F4"/>
    <w:rsid w:val="00E2762F"/>
    <w:rsid w:val="00E277E7"/>
    <w:rsid w:val="00E2789F"/>
    <w:rsid w:val="00E27A12"/>
    <w:rsid w:val="00E30686"/>
    <w:rsid w:val="00E314B8"/>
    <w:rsid w:val="00E32D1D"/>
    <w:rsid w:val="00E33362"/>
    <w:rsid w:val="00E33961"/>
    <w:rsid w:val="00E345A8"/>
    <w:rsid w:val="00E34825"/>
    <w:rsid w:val="00E350DB"/>
    <w:rsid w:val="00E350E0"/>
    <w:rsid w:val="00E3611A"/>
    <w:rsid w:val="00E367CD"/>
    <w:rsid w:val="00E369A1"/>
    <w:rsid w:val="00E3739F"/>
    <w:rsid w:val="00E375AA"/>
    <w:rsid w:val="00E4164B"/>
    <w:rsid w:val="00E42420"/>
    <w:rsid w:val="00E437B7"/>
    <w:rsid w:val="00E43A11"/>
    <w:rsid w:val="00E43EFB"/>
    <w:rsid w:val="00E445CA"/>
    <w:rsid w:val="00E44A3F"/>
    <w:rsid w:val="00E44A8D"/>
    <w:rsid w:val="00E44E04"/>
    <w:rsid w:val="00E452B3"/>
    <w:rsid w:val="00E45A60"/>
    <w:rsid w:val="00E45CCE"/>
    <w:rsid w:val="00E45CEB"/>
    <w:rsid w:val="00E45E5C"/>
    <w:rsid w:val="00E46386"/>
    <w:rsid w:val="00E46553"/>
    <w:rsid w:val="00E46912"/>
    <w:rsid w:val="00E46B87"/>
    <w:rsid w:val="00E46D62"/>
    <w:rsid w:val="00E50703"/>
    <w:rsid w:val="00E51386"/>
    <w:rsid w:val="00E51878"/>
    <w:rsid w:val="00E51A40"/>
    <w:rsid w:val="00E52353"/>
    <w:rsid w:val="00E52611"/>
    <w:rsid w:val="00E52AAB"/>
    <w:rsid w:val="00E53847"/>
    <w:rsid w:val="00E546E0"/>
    <w:rsid w:val="00E5474E"/>
    <w:rsid w:val="00E54919"/>
    <w:rsid w:val="00E54942"/>
    <w:rsid w:val="00E54AA4"/>
    <w:rsid w:val="00E554A0"/>
    <w:rsid w:val="00E573D4"/>
    <w:rsid w:val="00E57994"/>
    <w:rsid w:val="00E60452"/>
    <w:rsid w:val="00E609CB"/>
    <w:rsid w:val="00E60A4B"/>
    <w:rsid w:val="00E6102B"/>
    <w:rsid w:val="00E6179E"/>
    <w:rsid w:val="00E62ACA"/>
    <w:rsid w:val="00E62D8B"/>
    <w:rsid w:val="00E636CA"/>
    <w:rsid w:val="00E63DB4"/>
    <w:rsid w:val="00E6540F"/>
    <w:rsid w:val="00E6588F"/>
    <w:rsid w:val="00E66E3B"/>
    <w:rsid w:val="00E7065D"/>
    <w:rsid w:val="00E70828"/>
    <w:rsid w:val="00E7156D"/>
    <w:rsid w:val="00E72DB0"/>
    <w:rsid w:val="00E73202"/>
    <w:rsid w:val="00E7353B"/>
    <w:rsid w:val="00E73C4D"/>
    <w:rsid w:val="00E7427C"/>
    <w:rsid w:val="00E74405"/>
    <w:rsid w:val="00E74C70"/>
    <w:rsid w:val="00E74DAA"/>
    <w:rsid w:val="00E75182"/>
    <w:rsid w:val="00E800DE"/>
    <w:rsid w:val="00E80777"/>
    <w:rsid w:val="00E80C1A"/>
    <w:rsid w:val="00E81217"/>
    <w:rsid w:val="00E818B9"/>
    <w:rsid w:val="00E81A5E"/>
    <w:rsid w:val="00E81EA0"/>
    <w:rsid w:val="00E81FBB"/>
    <w:rsid w:val="00E820F3"/>
    <w:rsid w:val="00E82A5D"/>
    <w:rsid w:val="00E82B7F"/>
    <w:rsid w:val="00E82F32"/>
    <w:rsid w:val="00E84D63"/>
    <w:rsid w:val="00E8577C"/>
    <w:rsid w:val="00E85972"/>
    <w:rsid w:val="00E85BE3"/>
    <w:rsid w:val="00E85D1E"/>
    <w:rsid w:val="00E85ED6"/>
    <w:rsid w:val="00E8677F"/>
    <w:rsid w:val="00E877C1"/>
    <w:rsid w:val="00E87BA4"/>
    <w:rsid w:val="00E905DD"/>
    <w:rsid w:val="00E90CC7"/>
    <w:rsid w:val="00E91802"/>
    <w:rsid w:val="00E9180D"/>
    <w:rsid w:val="00E91D49"/>
    <w:rsid w:val="00E91ECA"/>
    <w:rsid w:val="00E927C7"/>
    <w:rsid w:val="00E928DB"/>
    <w:rsid w:val="00E92910"/>
    <w:rsid w:val="00E929C6"/>
    <w:rsid w:val="00E92A42"/>
    <w:rsid w:val="00E92B60"/>
    <w:rsid w:val="00E932EA"/>
    <w:rsid w:val="00E949BE"/>
    <w:rsid w:val="00E95E61"/>
    <w:rsid w:val="00E962F6"/>
    <w:rsid w:val="00E964B2"/>
    <w:rsid w:val="00E96916"/>
    <w:rsid w:val="00E96C5C"/>
    <w:rsid w:val="00E97DAF"/>
    <w:rsid w:val="00E97F81"/>
    <w:rsid w:val="00EA06FF"/>
    <w:rsid w:val="00EA1164"/>
    <w:rsid w:val="00EA1329"/>
    <w:rsid w:val="00EA185E"/>
    <w:rsid w:val="00EA189A"/>
    <w:rsid w:val="00EA222F"/>
    <w:rsid w:val="00EA23C7"/>
    <w:rsid w:val="00EA2C99"/>
    <w:rsid w:val="00EA2EEC"/>
    <w:rsid w:val="00EA3467"/>
    <w:rsid w:val="00EA37DD"/>
    <w:rsid w:val="00EA3B31"/>
    <w:rsid w:val="00EA40A7"/>
    <w:rsid w:val="00EA48C0"/>
    <w:rsid w:val="00EA5552"/>
    <w:rsid w:val="00EA5BE0"/>
    <w:rsid w:val="00EA5C5A"/>
    <w:rsid w:val="00EA6A03"/>
    <w:rsid w:val="00EA7131"/>
    <w:rsid w:val="00EA7A13"/>
    <w:rsid w:val="00EB03DF"/>
    <w:rsid w:val="00EB0764"/>
    <w:rsid w:val="00EB1DCE"/>
    <w:rsid w:val="00EB27CB"/>
    <w:rsid w:val="00EB2927"/>
    <w:rsid w:val="00EB2E9F"/>
    <w:rsid w:val="00EB3AD4"/>
    <w:rsid w:val="00EB3C8D"/>
    <w:rsid w:val="00EB414B"/>
    <w:rsid w:val="00EB4403"/>
    <w:rsid w:val="00EB50D8"/>
    <w:rsid w:val="00EB536B"/>
    <w:rsid w:val="00EB54B2"/>
    <w:rsid w:val="00EB54DE"/>
    <w:rsid w:val="00EB56AA"/>
    <w:rsid w:val="00EB56D4"/>
    <w:rsid w:val="00EB58C3"/>
    <w:rsid w:val="00EB58CA"/>
    <w:rsid w:val="00EB5932"/>
    <w:rsid w:val="00EB6327"/>
    <w:rsid w:val="00EB6395"/>
    <w:rsid w:val="00EB6E30"/>
    <w:rsid w:val="00EB738B"/>
    <w:rsid w:val="00EB7718"/>
    <w:rsid w:val="00EC0C2A"/>
    <w:rsid w:val="00EC108F"/>
    <w:rsid w:val="00EC1252"/>
    <w:rsid w:val="00EC23A0"/>
    <w:rsid w:val="00EC3121"/>
    <w:rsid w:val="00EC39A9"/>
    <w:rsid w:val="00EC3B28"/>
    <w:rsid w:val="00EC3D84"/>
    <w:rsid w:val="00EC42F8"/>
    <w:rsid w:val="00EC4990"/>
    <w:rsid w:val="00EC4996"/>
    <w:rsid w:val="00EC4E3A"/>
    <w:rsid w:val="00EC5220"/>
    <w:rsid w:val="00EC5B65"/>
    <w:rsid w:val="00EC613E"/>
    <w:rsid w:val="00EC621A"/>
    <w:rsid w:val="00EC728E"/>
    <w:rsid w:val="00ED0BDC"/>
    <w:rsid w:val="00ED33A2"/>
    <w:rsid w:val="00ED378D"/>
    <w:rsid w:val="00ED3EEC"/>
    <w:rsid w:val="00ED4143"/>
    <w:rsid w:val="00ED4496"/>
    <w:rsid w:val="00ED547E"/>
    <w:rsid w:val="00ED5AB3"/>
    <w:rsid w:val="00ED61D4"/>
    <w:rsid w:val="00ED67F8"/>
    <w:rsid w:val="00ED6A40"/>
    <w:rsid w:val="00ED6F66"/>
    <w:rsid w:val="00ED7C24"/>
    <w:rsid w:val="00EE0057"/>
    <w:rsid w:val="00EE0F60"/>
    <w:rsid w:val="00EE1809"/>
    <w:rsid w:val="00EE19BA"/>
    <w:rsid w:val="00EE1B30"/>
    <w:rsid w:val="00EE1D06"/>
    <w:rsid w:val="00EE1D0F"/>
    <w:rsid w:val="00EE23AD"/>
    <w:rsid w:val="00EE2516"/>
    <w:rsid w:val="00EE35FD"/>
    <w:rsid w:val="00EE3CE2"/>
    <w:rsid w:val="00EE4F20"/>
    <w:rsid w:val="00EE596F"/>
    <w:rsid w:val="00EE5BF4"/>
    <w:rsid w:val="00EE69AA"/>
    <w:rsid w:val="00EE6AFB"/>
    <w:rsid w:val="00EE707C"/>
    <w:rsid w:val="00EF0720"/>
    <w:rsid w:val="00EF07A2"/>
    <w:rsid w:val="00EF0F97"/>
    <w:rsid w:val="00EF1CE1"/>
    <w:rsid w:val="00EF1E59"/>
    <w:rsid w:val="00EF1F66"/>
    <w:rsid w:val="00EF345B"/>
    <w:rsid w:val="00EF3847"/>
    <w:rsid w:val="00EF6394"/>
    <w:rsid w:val="00EF6B91"/>
    <w:rsid w:val="00EF76F5"/>
    <w:rsid w:val="00EF77CF"/>
    <w:rsid w:val="00EF7E0C"/>
    <w:rsid w:val="00EF7F0E"/>
    <w:rsid w:val="00EF7F17"/>
    <w:rsid w:val="00F00177"/>
    <w:rsid w:val="00F01ED0"/>
    <w:rsid w:val="00F023C2"/>
    <w:rsid w:val="00F02A4A"/>
    <w:rsid w:val="00F02F87"/>
    <w:rsid w:val="00F0370D"/>
    <w:rsid w:val="00F03C6B"/>
    <w:rsid w:val="00F03F66"/>
    <w:rsid w:val="00F0405A"/>
    <w:rsid w:val="00F047F3"/>
    <w:rsid w:val="00F04B80"/>
    <w:rsid w:val="00F04EEA"/>
    <w:rsid w:val="00F050D1"/>
    <w:rsid w:val="00F05727"/>
    <w:rsid w:val="00F05A76"/>
    <w:rsid w:val="00F05D04"/>
    <w:rsid w:val="00F0629B"/>
    <w:rsid w:val="00F0681C"/>
    <w:rsid w:val="00F06BB0"/>
    <w:rsid w:val="00F06E82"/>
    <w:rsid w:val="00F06FD6"/>
    <w:rsid w:val="00F07066"/>
    <w:rsid w:val="00F1062A"/>
    <w:rsid w:val="00F10B8A"/>
    <w:rsid w:val="00F10C87"/>
    <w:rsid w:val="00F119E2"/>
    <w:rsid w:val="00F11CAE"/>
    <w:rsid w:val="00F12F92"/>
    <w:rsid w:val="00F14495"/>
    <w:rsid w:val="00F147DD"/>
    <w:rsid w:val="00F14818"/>
    <w:rsid w:val="00F14AF5"/>
    <w:rsid w:val="00F15CD9"/>
    <w:rsid w:val="00F16BA3"/>
    <w:rsid w:val="00F172E4"/>
    <w:rsid w:val="00F17A65"/>
    <w:rsid w:val="00F17FC6"/>
    <w:rsid w:val="00F20320"/>
    <w:rsid w:val="00F20C65"/>
    <w:rsid w:val="00F20CC7"/>
    <w:rsid w:val="00F20CF1"/>
    <w:rsid w:val="00F212E1"/>
    <w:rsid w:val="00F218A4"/>
    <w:rsid w:val="00F22B65"/>
    <w:rsid w:val="00F23868"/>
    <w:rsid w:val="00F238EB"/>
    <w:rsid w:val="00F251F5"/>
    <w:rsid w:val="00F262EC"/>
    <w:rsid w:val="00F26852"/>
    <w:rsid w:val="00F26EB5"/>
    <w:rsid w:val="00F300F1"/>
    <w:rsid w:val="00F308D3"/>
    <w:rsid w:val="00F30F73"/>
    <w:rsid w:val="00F31314"/>
    <w:rsid w:val="00F316FF"/>
    <w:rsid w:val="00F31AE0"/>
    <w:rsid w:val="00F331CA"/>
    <w:rsid w:val="00F33EA9"/>
    <w:rsid w:val="00F34EB1"/>
    <w:rsid w:val="00F351BE"/>
    <w:rsid w:val="00F3558E"/>
    <w:rsid w:val="00F355EF"/>
    <w:rsid w:val="00F35D3A"/>
    <w:rsid w:val="00F35F68"/>
    <w:rsid w:val="00F36104"/>
    <w:rsid w:val="00F36778"/>
    <w:rsid w:val="00F36A09"/>
    <w:rsid w:val="00F36C46"/>
    <w:rsid w:val="00F372F7"/>
    <w:rsid w:val="00F3747A"/>
    <w:rsid w:val="00F37E7B"/>
    <w:rsid w:val="00F40452"/>
    <w:rsid w:val="00F40589"/>
    <w:rsid w:val="00F410FA"/>
    <w:rsid w:val="00F41953"/>
    <w:rsid w:val="00F41B0F"/>
    <w:rsid w:val="00F42497"/>
    <w:rsid w:val="00F426E9"/>
    <w:rsid w:val="00F43321"/>
    <w:rsid w:val="00F43785"/>
    <w:rsid w:val="00F43AF7"/>
    <w:rsid w:val="00F43BF5"/>
    <w:rsid w:val="00F43C39"/>
    <w:rsid w:val="00F45ED5"/>
    <w:rsid w:val="00F4686C"/>
    <w:rsid w:val="00F469F2"/>
    <w:rsid w:val="00F47701"/>
    <w:rsid w:val="00F47A0C"/>
    <w:rsid w:val="00F5041B"/>
    <w:rsid w:val="00F504B3"/>
    <w:rsid w:val="00F5086D"/>
    <w:rsid w:val="00F5114C"/>
    <w:rsid w:val="00F51179"/>
    <w:rsid w:val="00F51F94"/>
    <w:rsid w:val="00F529BE"/>
    <w:rsid w:val="00F5372C"/>
    <w:rsid w:val="00F53AB4"/>
    <w:rsid w:val="00F543CC"/>
    <w:rsid w:val="00F54C04"/>
    <w:rsid w:val="00F54C0A"/>
    <w:rsid w:val="00F557A8"/>
    <w:rsid w:val="00F55B90"/>
    <w:rsid w:val="00F55DCF"/>
    <w:rsid w:val="00F5627A"/>
    <w:rsid w:val="00F5658A"/>
    <w:rsid w:val="00F565E0"/>
    <w:rsid w:val="00F56955"/>
    <w:rsid w:val="00F572D7"/>
    <w:rsid w:val="00F576F6"/>
    <w:rsid w:val="00F60572"/>
    <w:rsid w:val="00F616C2"/>
    <w:rsid w:val="00F61925"/>
    <w:rsid w:val="00F6292D"/>
    <w:rsid w:val="00F63BCF"/>
    <w:rsid w:val="00F63F22"/>
    <w:rsid w:val="00F64B2E"/>
    <w:rsid w:val="00F6501C"/>
    <w:rsid w:val="00F65C22"/>
    <w:rsid w:val="00F65D0C"/>
    <w:rsid w:val="00F66866"/>
    <w:rsid w:val="00F67C02"/>
    <w:rsid w:val="00F700CB"/>
    <w:rsid w:val="00F7103E"/>
    <w:rsid w:val="00F720E6"/>
    <w:rsid w:val="00F72293"/>
    <w:rsid w:val="00F7321A"/>
    <w:rsid w:val="00F733B9"/>
    <w:rsid w:val="00F73709"/>
    <w:rsid w:val="00F738AF"/>
    <w:rsid w:val="00F73AF0"/>
    <w:rsid w:val="00F74186"/>
    <w:rsid w:val="00F74A7D"/>
    <w:rsid w:val="00F74D7E"/>
    <w:rsid w:val="00F75112"/>
    <w:rsid w:val="00F751CE"/>
    <w:rsid w:val="00F756DA"/>
    <w:rsid w:val="00F75799"/>
    <w:rsid w:val="00F76BCE"/>
    <w:rsid w:val="00F76DC3"/>
    <w:rsid w:val="00F76EA1"/>
    <w:rsid w:val="00F77C3E"/>
    <w:rsid w:val="00F80415"/>
    <w:rsid w:val="00F80CF5"/>
    <w:rsid w:val="00F8200D"/>
    <w:rsid w:val="00F82AFD"/>
    <w:rsid w:val="00F82DE5"/>
    <w:rsid w:val="00F84667"/>
    <w:rsid w:val="00F84CEE"/>
    <w:rsid w:val="00F85D9E"/>
    <w:rsid w:val="00F85F99"/>
    <w:rsid w:val="00F86295"/>
    <w:rsid w:val="00F8651F"/>
    <w:rsid w:val="00F87708"/>
    <w:rsid w:val="00F87A7B"/>
    <w:rsid w:val="00F90DBC"/>
    <w:rsid w:val="00F90FFA"/>
    <w:rsid w:val="00F9136A"/>
    <w:rsid w:val="00F91EFA"/>
    <w:rsid w:val="00F924C6"/>
    <w:rsid w:val="00F92646"/>
    <w:rsid w:val="00F93CA0"/>
    <w:rsid w:val="00F941DB"/>
    <w:rsid w:val="00F95CCE"/>
    <w:rsid w:val="00F966EF"/>
    <w:rsid w:val="00F9695A"/>
    <w:rsid w:val="00F972DD"/>
    <w:rsid w:val="00F9762A"/>
    <w:rsid w:val="00F97886"/>
    <w:rsid w:val="00F97ADB"/>
    <w:rsid w:val="00FA0EDB"/>
    <w:rsid w:val="00FA1A44"/>
    <w:rsid w:val="00FA1D63"/>
    <w:rsid w:val="00FA1FA2"/>
    <w:rsid w:val="00FA2415"/>
    <w:rsid w:val="00FA268B"/>
    <w:rsid w:val="00FA2D28"/>
    <w:rsid w:val="00FA3388"/>
    <w:rsid w:val="00FA3517"/>
    <w:rsid w:val="00FA3AC8"/>
    <w:rsid w:val="00FA3BEA"/>
    <w:rsid w:val="00FA3F28"/>
    <w:rsid w:val="00FA4871"/>
    <w:rsid w:val="00FA4C43"/>
    <w:rsid w:val="00FA4D42"/>
    <w:rsid w:val="00FA5315"/>
    <w:rsid w:val="00FA5AFD"/>
    <w:rsid w:val="00FA64E2"/>
    <w:rsid w:val="00FA6735"/>
    <w:rsid w:val="00FA7377"/>
    <w:rsid w:val="00FA7CEB"/>
    <w:rsid w:val="00FA7DCA"/>
    <w:rsid w:val="00FB0E46"/>
    <w:rsid w:val="00FB12EB"/>
    <w:rsid w:val="00FB1663"/>
    <w:rsid w:val="00FB1AA3"/>
    <w:rsid w:val="00FB1E92"/>
    <w:rsid w:val="00FB203C"/>
    <w:rsid w:val="00FB21D2"/>
    <w:rsid w:val="00FB276E"/>
    <w:rsid w:val="00FB3538"/>
    <w:rsid w:val="00FB3666"/>
    <w:rsid w:val="00FB37E6"/>
    <w:rsid w:val="00FB40E3"/>
    <w:rsid w:val="00FB462D"/>
    <w:rsid w:val="00FB4648"/>
    <w:rsid w:val="00FB4D54"/>
    <w:rsid w:val="00FB50B5"/>
    <w:rsid w:val="00FB54E7"/>
    <w:rsid w:val="00FB5995"/>
    <w:rsid w:val="00FB5A2A"/>
    <w:rsid w:val="00FB5AFA"/>
    <w:rsid w:val="00FB5CE1"/>
    <w:rsid w:val="00FB65C3"/>
    <w:rsid w:val="00FB6B18"/>
    <w:rsid w:val="00FB6B76"/>
    <w:rsid w:val="00FB795E"/>
    <w:rsid w:val="00FB7ABB"/>
    <w:rsid w:val="00FC0B9B"/>
    <w:rsid w:val="00FC150F"/>
    <w:rsid w:val="00FC3364"/>
    <w:rsid w:val="00FC3F5B"/>
    <w:rsid w:val="00FC4BB4"/>
    <w:rsid w:val="00FC4EB1"/>
    <w:rsid w:val="00FC52F0"/>
    <w:rsid w:val="00FC5521"/>
    <w:rsid w:val="00FC7514"/>
    <w:rsid w:val="00FC766B"/>
    <w:rsid w:val="00FC7CA7"/>
    <w:rsid w:val="00FD07CD"/>
    <w:rsid w:val="00FD112D"/>
    <w:rsid w:val="00FD1437"/>
    <w:rsid w:val="00FD1592"/>
    <w:rsid w:val="00FD1925"/>
    <w:rsid w:val="00FD1AE1"/>
    <w:rsid w:val="00FD4E5E"/>
    <w:rsid w:val="00FD6C33"/>
    <w:rsid w:val="00FD7124"/>
    <w:rsid w:val="00FD7604"/>
    <w:rsid w:val="00FD79FD"/>
    <w:rsid w:val="00FE0332"/>
    <w:rsid w:val="00FE1256"/>
    <w:rsid w:val="00FE17CF"/>
    <w:rsid w:val="00FE1957"/>
    <w:rsid w:val="00FE1F98"/>
    <w:rsid w:val="00FE2426"/>
    <w:rsid w:val="00FE36C5"/>
    <w:rsid w:val="00FE4180"/>
    <w:rsid w:val="00FE4414"/>
    <w:rsid w:val="00FE5013"/>
    <w:rsid w:val="00FE577C"/>
    <w:rsid w:val="00FE58E2"/>
    <w:rsid w:val="00FE603A"/>
    <w:rsid w:val="00FE6A62"/>
    <w:rsid w:val="00FE6DB0"/>
    <w:rsid w:val="00FE6DE7"/>
    <w:rsid w:val="00FE6FE2"/>
    <w:rsid w:val="00FF0866"/>
    <w:rsid w:val="00FF250A"/>
    <w:rsid w:val="00FF33F2"/>
    <w:rsid w:val="00FF3438"/>
    <w:rsid w:val="00FF469A"/>
    <w:rsid w:val="00FF470D"/>
    <w:rsid w:val="00FF4E58"/>
    <w:rsid w:val="00FF51A8"/>
    <w:rsid w:val="00FF5323"/>
    <w:rsid w:val="00FF5366"/>
    <w:rsid w:val="00FF5CA5"/>
    <w:rsid w:val="00FF5E4F"/>
    <w:rsid w:val="00FF6639"/>
    <w:rsid w:val="00FF6E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61F556B-F94B-4758-8B74-0673A0E1B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新細明體" w:hAnsi="Calibri Light" w:cs="Calibri Light"/>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E5BF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EE5BF4"/>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EE5BF4"/>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rsid w:val="005D7CFD"/>
    <w:pPr>
      <w:spacing w:line="500" w:lineRule="exact"/>
      <w:ind w:left="200" w:hangingChars="200" w:hanging="200"/>
    </w:pPr>
    <w:rPr>
      <w:rFonts w:ascii="新細明體" w:eastAsia="標楷體"/>
      <w:b/>
      <w:snapToGrid w:val="0"/>
      <w:kern w:val="2"/>
      <w:sz w:val="28"/>
    </w:rPr>
  </w:style>
  <w:style w:type="paragraph" w:customStyle="1" w:styleId="a3">
    <w:name w:val="預備金及追加預算標題"/>
    <w:rsid w:val="005D7CFD"/>
    <w:pPr>
      <w:spacing w:line="500" w:lineRule="exact"/>
      <w:ind w:left="200" w:hangingChars="200" w:hanging="200"/>
      <w:jc w:val="both"/>
    </w:pPr>
    <w:rPr>
      <w:rFonts w:ascii="新細明體" w:eastAsia="標楷體"/>
      <w:b/>
      <w:snapToGrid w:val="0"/>
      <w:kern w:val="2"/>
      <w:sz w:val="28"/>
    </w:rPr>
  </w:style>
  <w:style w:type="paragraph" w:customStyle="1" w:styleId="a4">
    <w:name w:val="(一)(二)(三)"/>
    <w:basedOn w:val="a"/>
    <w:link w:val="2"/>
    <w:qFormat/>
    <w:rsid w:val="00EE5BF4"/>
    <w:pPr>
      <w:ind w:left="300" w:hangingChars="100" w:hanging="100"/>
    </w:pPr>
  </w:style>
  <w:style w:type="paragraph" w:customStyle="1" w:styleId="a5">
    <w:name w:val="(一)下內文"/>
    <w:basedOn w:val="a4"/>
    <w:link w:val="a6"/>
    <w:rsid w:val="00EE5BF4"/>
    <w:pPr>
      <w:adjustRightInd w:val="0"/>
      <w:ind w:leftChars="300" w:firstLineChars="0" w:firstLine="0"/>
    </w:pPr>
  </w:style>
  <w:style w:type="paragraph" w:customStyle="1" w:styleId="123">
    <w:name w:val="1.2.3."/>
    <w:basedOn w:val="1"/>
    <w:link w:val="1230"/>
    <w:qFormat/>
    <w:rsid w:val="00EE5BF4"/>
    <w:pPr>
      <w:ind w:leftChars="300" w:left="400" w:rightChars="0" w:right="0" w:hangingChars="100" w:hanging="100"/>
    </w:pPr>
    <w:rPr>
      <w:rFonts w:hAnsi="標楷體"/>
      <w:b w:val="0"/>
      <w:sz w:val="28"/>
    </w:rPr>
  </w:style>
  <w:style w:type="paragraph" w:customStyle="1" w:styleId="a7">
    <w:name w:val="結論"/>
    <w:basedOn w:val="a5"/>
    <w:rsid w:val="00EE5BF4"/>
    <w:pPr>
      <w:adjustRightInd/>
      <w:ind w:leftChars="200" w:left="200"/>
    </w:pPr>
  </w:style>
  <w:style w:type="paragraph" w:customStyle="1" w:styleId="a8">
    <w:name w:val="前言內文"/>
    <w:basedOn w:val="a"/>
    <w:rsid w:val="00EE5BF4"/>
    <w:pPr>
      <w:adjustRightInd w:val="0"/>
      <w:ind w:leftChars="0" w:left="0"/>
    </w:pPr>
  </w:style>
  <w:style w:type="paragraph" w:customStyle="1" w:styleId="142">
    <w:name w:val="表格內文(14行高)"/>
    <w:basedOn w:val="a9"/>
    <w:link w:val="143"/>
    <w:qFormat/>
    <w:rsid w:val="00EE5BF4"/>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sid w:val="00EE5BF4"/>
    <w:rPr>
      <w:sz w:val="28"/>
    </w:rPr>
  </w:style>
  <w:style w:type="paragraph" w:customStyle="1" w:styleId="ab">
    <w:name w:val="姓名及分機"/>
    <w:basedOn w:val="a"/>
    <w:rsid w:val="00EE5BF4"/>
    <w:pPr>
      <w:ind w:leftChars="0" w:left="0" w:firstLineChars="0" w:firstLine="0"/>
      <w:jc w:val="right"/>
    </w:pPr>
    <w:rPr>
      <w:sz w:val="24"/>
    </w:rPr>
  </w:style>
  <w:style w:type="paragraph" w:customStyle="1" w:styleId="ac">
    <w:name w:val="前言(一)(二)(三)"/>
    <w:basedOn w:val="a"/>
    <w:rsid w:val="00EE5BF4"/>
    <w:pPr>
      <w:ind w:leftChars="0" w:left="100" w:hangingChars="100" w:hanging="100"/>
    </w:pPr>
  </w:style>
  <w:style w:type="paragraph" w:customStyle="1" w:styleId="1231">
    <w:name w:val="(1)(2)(3)"/>
    <w:basedOn w:val="a"/>
    <w:rsid w:val="00EE5BF4"/>
    <w:pPr>
      <w:ind w:leftChars="400" w:left="500" w:hangingChars="100" w:hanging="100"/>
    </w:pPr>
  </w:style>
  <w:style w:type="paragraph" w:customStyle="1" w:styleId="20">
    <w:name w:val="表格內文(20行高)"/>
    <w:basedOn w:val="142"/>
    <w:link w:val="200"/>
    <w:rsid w:val="00EE5BF4"/>
    <w:pPr>
      <w:spacing w:line="400" w:lineRule="exact"/>
    </w:pPr>
  </w:style>
  <w:style w:type="character" w:styleId="ad">
    <w:name w:val="Hyperlink"/>
    <w:uiPriority w:val="99"/>
    <w:qFormat/>
    <w:rsid w:val="00574606"/>
    <w:rPr>
      <w:color w:val="0000FF"/>
      <w:u w:val="single"/>
    </w:rPr>
  </w:style>
  <w:style w:type="paragraph" w:styleId="a9">
    <w:name w:val="table of figures"/>
    <w:basedOn w:val="a"/>
    <w:next w:val="a"/>
    <w:uiPriority w:val="99"/>
    <w:semiHidden/>
    <w:pPr>
      <w:ind w:leftChars="400" w:left="960" w:hangingChars="200" w:hanging="480"/>
    </w:pPr>
  </w:style>
  <w:style w:type="paragraph" w:customStyle="1" w:styleId="21">
    <w:name w:val="(一)下內文縮2"/>
    <w:basedOn w:val="a"/>
    <w:link w:val="22"/>
    <w:qFormat/>
    <w:rsid w:val="00EE5BF4"/>
    <w:pPr>
      <w:adjustRightInd w:val="0"/>
      <w:ind w:leftChars="300" w:left="300"/>
    </w:pPr>
  </w:style>
  <w:style w:type="paragraph" w:styleId="1">
    <w:name w:val="toc 1"/>
    <w:basedOn w:val="a"/>
    <w:next w:val="a"/>
    <w:autoRedefine/>
    <w:uiPriority w:val="39"/>
    <w:rsid w:val="00EE5BF4"/>
    <w:pPr>
      <w:tabs>
        <w:tab w:val="right" w:leader="hyphen" w:pos="8490"/>
      </w:tabs>
      <w:ind w:leftChars="0" w:left="487" w:rightChars="100" w:right="283" w:hangingChars="200" w:hanging="487"/>
    </w:pPr>
    <w:rPr>
      <w:b/>
      <w:noProof/>
      <w:sz w:val="24"/>
      <w:szCs w:val="24"/>
    </w:rPr>
  </w:style>
  <w:style w:type="paragraph" w:styleId="23">
    <w:name w:val="toc 2"/>
    <w:basedOn w:val="a"/>
    <w:next w:val="a"/>
    <w:autoRedefine/>
    <w:uiPriority w:val="39"/>
    <w:rsid w:val="00EE5BF4"/>
    <w:pPr>
      <w:tabs>
        <w:tab w:val="right" w:leader="hyphen" w:pos="8490"/>
      </w:tabs>
      <w:ind w:leftChars="0" w:left="487" w:rightChars="100" w:right="283" w:hangingChars="200" w:hanging="487"/>
    </w:pPr>
    <w:rPr>
      <w:sz w:val="24"/>
    </w:rPr>
  </w:style>
  <w:style w:type="paragraph" w:styleId="ae">
    <w:name w:val="header"/>
    <w:basedOn w:val="a"/>
    <w:link w:val="af"/>
    <w:uiPriority w:val="99"/>
    <w:rsid w:val="00574606"/>
    <w:pPr>
      <w:tabs>
        <w:tab w:val="center" w:pos="4153"/>
        <w:tab w:val="right" w:pos="8306"/>
      </w:tabs>
      <w:snapToGrid w:val="0"/>
      <w:spacing w:line="480" w:lineRule="exact"/>
    </w:pPr>
    <w:rPr>
      <w:rFonts w:ascii="Calibri Light"/>
      <w:sz w:val="20"/>
      <w:szCs w:val="20"/>
    </w:rPr>
  </w:style>
  <w:style w:type="character" w:customStyle="1" w:styleId="af">
    <w:name w:val="頁首 字元"/>
    <w:link w:val="ae"/>
    <w:uiPriority w:val="99"/>
    <w:rsid w:val="00574606"/>
    <w:rPr>
      <w:rFonts w:eastAsia="新細明體"/>
      <w:snapToGrid w:val="0"/>
      <w:kern w:val="2"/>
    </w:rPr>
  </w:style>
  <w:style w:type="paragraph" w:styleId="af0">
    <w:name w:val="footer"/>
    <w:basedOn w:val="a"/>
    <w:link w:val="af1"/>
    <w:uiPriority w:val="99"/>
    <w:rsid w:val="00574606"/>
    <w:pPr>
      <w:tabs>
        <w:tab w:val="center" w:pos="4153"/>
        <w:tab w:val="right" w:pos="8306"/>
      </w:tabs>
      <w:snapToGrid w:val="0"/>
      <w:spacing w:line="480" w:lineRule="exact"/>
    </w:pPr>
    <w:rPr>
      <w:rFonts w:ascii="Calibri Light"/>
      <w:sz w:val="20"/>
      <w:szCs w:val="20"/>
    </w:rPr>
  </w:style>
  <w:style w:type="character" w:customStyle="1" w:styleId="af1">
    <w:name w:val="頁尾 字元"/>
    <w:link w:val="af0"/>
    <w:uiPriority w:val="99"/>
    <w:rsid w:val="00574606"/>
    <w:rPr>
      <w:rFonts w:eastAsia="新細明體"/>
      <w:snapToGrid w:val="0"/>
      <w:kern w:val="2"/>
    </w:rPr>
  </w:style>
  <w:style w:type="character" w:styleId="af2">
    <w:name w:val="footnote reference"/>
    <w:aliases w:val="FR,Ref,de nota al pie,註腳內容,Error-Fußnotenzeichen5,Error-Fußnotenzeichen6,Error-Fußnotenzeichen3,Error-Fusnotßnotenzeichen5,Error-Fußnotenzeic"/>
    <w:rsid w:val="00574606"/>
    <w:rPr>
      <w:vertAlign w:val="superscript"/>
    </w:rPr>
  </w:style>
  <w:style w:type="paragraph" w:styleId="af3">
    <w:name w:val="Body Text"/>
    <w:basedOn w:val="a"/>
    <w:link w:val="af4"/>
    <w:rsid w:val="00EE5BF4"/>
    <w:pPr>
      <w:spacing w:after="120" w:line="480" w:lineRule="exact"/>
    </w:pPr>
  </w:style>
  <w:style w:type="character" w:customStyle="1" w:styleId="af4">
    <w:name w:val="本文 字元"/>
    <w:link w:val="af3"/>
    <w:rsid w:val="00EE5BF4"/>
    <w:rPr>
      <w:rFonts w:ascii="標楷體" w:eastAsia="標楷體"/>
      <w:snapToGrid w:val="0"/>
      <w:kern w:val="2"/>
      <w:sz w:val="28"/>
      <w:szCs w:val="28"/>
    </w:rPr>
  </w:style>
  <w:style w:type="character" w:customStyle="1" w:styleId="140">
    <w:name w:val="第二層(14號字) 字元"/>
    <w:link w:val="14"/>
    <w:rsid w:val="00EE5BF4"/>
    <w:rPr>
      <w:rFonts w:ascii="標楷體" w:eastAsia="標楷體"/>
      <w:b/>
      <w:snapToGrid w:val="0"/>
      <w:kern w:val="2"/>
      <w:sz w:val="28"/>
    </w:rPr>
  </w:style>
  <w:style w:type="character" w:customStyle="1" w:styleId="22">
    <w:name w:val="(一)下內文縮2 字元"/>
    <w:link w:val="21"/>
    <w:rsid w:val="00EE5BF4"/>
    <w:rPr>
      <w:rFonts w:ascii="標楷體" w:eastAsia="標楷體"/>
      <w:snapToGrid w:val="0"/>
      <w:kern w:val="2"/>
      <w:sz w:val="28"/>
      <w:szCs w:val="28"/>
    </w:rPr>
  </w:style>
  <w:style w:type="character" w:customStyle="1" w:styleId="2">
    <w:name w:val="(一)(二)(三) 字元2"/>
    <w:link w:val="a4"/>
    <w:rsid w:val="00EE5BF4"/>
    <w:rPr>
      <w:rFonts w:ascii="標楷體" w:eastAsia="標楷體"/>
      <w:snapToGrid w:val="0"/>
      <w:kern w:val="2"/>
      <w:sz w:val="28"/>
      <w:szCs w:val="28"/>
    </w:rPr>
  </w:style>
  <w:style w:type="paragraph" w:styleId="af5">
    <w:name w:val="footnote text"/>
    <w:aliases w:val="註腳文字 字元 字元"/>
    <w:basedOn w:val="a"/>
    <w:link w:val="af6"/>
    <w:rsid w:val="00574606"/>
    <w:pPr>
      <w:snapToGrid w:val="0"/>
      <w:jc w:val="left"/>
    </w:pPr>
    <w:rPr>
      <w:sz w:val="20"/>
      <w:szCs w:val="20"/>
    </w:rPr>
  </w:style>
  <w:style w:type="character" w:customStyle="1" w:styleId="af6">
    <w:name w:val="註腳文字 字元"/>
    <w:aliases w:val="註腳文字 字元 字元 字元"/>
    <w:link w:val="af5"/>
    <w:rsid w:val="00574606"/>
    <w:rPr>
      <w:rFonts w:ascii="新細明體" w:eastAsia="新細明體"/>
      <w:snapToGrid w:val="0"/>
      <w:kern w:val="2"/>
    </w:rPr>
  </w:style>
  <w:style w:type="character" w:customStyle="1" w:styleId="a6">
    <w:name w:val="(一)下內文 字元"/>
    <w:link w:val="a5"/>
    <w:rsid w:val="00EE5BF4"/>
    <w:rPr>
      <w:rFonts w:ascii="標楷體" w:eastAsia="標楷體"/>
      <w:snapToGrid w:val="0"/>
      <w:kern w:val="2"/>
      <w:sz w:val="28"/>
      <w:szCs w:val="28"/>
    </w:rPr>
  </w:style>
  <w:style w:type="character" w:customStyle="1" w:styleId="143">
    <w:name w:val="表格內文(14行高) 字元"/>
    <w:link w:val="142"/>
    <w:qFormat/>
    <w:rsid w:val="00EE5BF4"/>
    <w:rPr>
      <w:rFonts w:ascii="標楷體" w:eastAsia="標楷體"/>
      <w:snapToGrid w:val="0"/>
      <w:kern w:val="2"/>
      <w:sz w:val="24"/>
      <w:szCs w:val="28"/>
    </w:rPr>
  </w:style>
  <w:style w:type="table" w:styleId="af7">
    <w:name w:val="Table Grid"/>
    <w:basedOn w:val="a1"/>
    <w:uiPriority w:val="59"/>
    <w:rsid w:val="00B0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C01DF6"/>
    <w:pPr>
      <w:spacing w:line="240" w:lineRule="auto"/>
    </w:pPr>
    <w:rPr>
      <w:rFonts w:ascii="Cambria Math" w:eastAsia="Wingdings" w:hAnsi="Cambria Math"/>
      <w:sz w:val="18"/>
      <w:szCs w:val="18"/>
    </w:rPr>
  </w:style>
  <w:style w:type="character" w:customStyle="1" w:styleId="af9">
    <w:name w:val="註解方塊文字 字元"/>
    <w:link w:val="af8"/>
    <w:uiPriority w:val="99"/>
    <w:semiHidden/>
    <w:rsid w:val="00C01DF6"/>
    <w:rPr>
      <w:rFonts w:ascii="Cambria Math" w:eastAsia="Wingdings" w:hAnsi="Cambria Math" w:cs="Calibri Light"/>
      <w:snapToGrid w:val="0"/>
      <w:kern w:val="2"/>
      <w:sz w:val="18"/>
      <w:szCs w:val="18"/>
    </w:rPr>
  </w:style>
  <w:style w:type="character" w:customStyle="1" w:styleId="1230">
    <w:name w:val="1.2.3. 字元"/>
    <w:link w:val="123"/>
    <w:rsid w:val="00EE5BF4"/>
    <w:rPr>
      <w:rFonts w:ascii="標楷體" w:eastAsia="標楷體" w:hAnsi="標楷體"/>
      <w:noProof/>
      <w:snapToGrid w:val="0"/>
      <w:kern w:val="2"/>
      <w:sz w:val="28"/>
      <w:szCs w:val="24"/>
    </w:rPr>
  </w:style>
  <w:style w:type="table" w:customStyle="1" w:styleId="TableNormal">
    <w:name w:val="Table Normal"/>
    <w:uiPriority w:val="2"/>
    <w:semiHidden/>
    <w:unhideWhenUsed/>
    <w:qFormat/>
    <w:rsid w:val="00E81A5E"/>
    <w:pPr>
      <w:widowControl w:val="0"/>
      <w:autoSpaceDE w:val="0"/>
      <w:autoSpaceDN w:val="0"/>
    </w:pPr>
    <w:rPr>
      <w:rFonts w:ascii="MT Extra" w:hAnsi="MT Extra"/>
      <w:sz w:val="22"/>
      <w:szCs w:val="22"/>
      <w:lang w:eastAsia="en-US"/>
    </w:rPr>
    <w:tblPr>
      <w:tblInd w:w="0" w:type="dxa"/>
      <w:tblCellMar>
        <w:top w:w="0" w:type="dxa"/>
        <w:left w:w="0" w:type="dxa"/>
        <w:bottom w:w="0" w:type="dxa"/>
        <w:right w:w="0" w:type="dxa"/>
      </w:tblCellMar>
    </w:tblPr>
  </w:style>
  <w:style w:type="character" w:customStyle="1" w:styleId="1410">
    <w:name w:val="第二層(14號字) 字元1"/>
    <w:rsid w:val="005D7CFD"/>
    <w:rPr>
      <w:rFonts w:eastAsia="標楷體"/>
    </w:rPr>
  </w:style>
  <w:style w:type="character" w:customStyle="1" w:styleId="afa">
    <w:name w:val="未解析的提及"/>
    <w:uiPriority w:val="99"/>
    <w:semiHidden/>
    <w:unhideWhenUsed/>
    <w:rsid w:val="00191188"/>
    <w:rPr>
      <w:color w:val="605E5C"/>
      <w:shd w:val="clear" w:color="auto" w:fill="E1DFDD"/>
    </w:rPr>
  </w:style>
  <w:style w:type="paragraph" w:customStyle="1" w:styleId="TableParagraph">
    <w:name w:val="Table Paragraph"/>
    <w:basedOn w:val="a"/>
    <w:uiPriority w:val="1"/>
    <w:qFormat/>
    <w:rsid w:val="00382AAE"/>
    <w:pPr>
      <w:autoSpaceDE w:val="0"/>
      <w:autoSpaceDN w:val="0"/>
      <w:spacing w:line="240" w:lineRule="auto"/>
      <w:ind w:leftChars="0" w:left="40" w:firstLineChars="0" w:firstLine="0"/>
      <w:jc w:val="center"/>
    </w:pPr>
    <w:rPr>
      <w:rFonts w:ascii="Calibri Light" w:eastAsia="Calibri Light"/>
      <w:snapToGrid/>
      <w:kern w:val="0"/>
      <w:sz w:val="22"/>
      <w:szCs w:val="22"/>
    </w:rPr>
  </w:style>
  <w:style w:type="character" w:customStyle="1" w:styleId="200">
    <w:name w:val="表格內文(20行高) 字元"/>
    <w:link w:val="20"/>
    <w:rsid w:val="00EE5BF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4934">
      <w:bodyDiv w:val="1"/>
      <w:marLeft w:val="0"/>
      <w:marRight w:val="0"/>
      <w:marTop w:val="0"/>
      <w:marBottom w:val="0"/>
      <w:divBdr>
        <w:top w:val="none" w:sz="0" w:space="0" w:color="auto"/>
        <w:left w:val="none" w:sz="0" w:space="0" w:color="auto"/>
        <w:bottom w:val="none" w:sz="0" w:space="0" w:color="auto"/>
        <w:right w:val="none" w:sz="0" w:space="0" w:color="auto"/>
      </w:divBdr>
    </w:div>
    <w:div w:id="77096794">
      <w:bodyDiv w:val="1"/>
      <w:marLeft w:val="0"/>
      <w:marRight w:val="0"/>
      <w:marTop w:val="0"/>
      <w:marBottom w:val="0"/>
      <w:divBdr>
        <w:top w:val="none" w:sz="0" w:space="0" w:color="auto"/>
        <w:left w:val="none" w:sz="0" w:space="0" w:color="auto"/>
        <w:bottom w:val="none" w:sz="0" w:space="0" w:color="auto"/>
        <w:right w:val="none" w:sz="0" w:space="0" w:color="auto"/>
      </w:divBdr>
    </w:div>
    <w:div w:id="80105247">
      <w:bodyDiv w:val="1"/>
      <w:marLeft w:val="0"/>
      <w:marRight w:val="0"/>
      <w:marTop w:val="0"/>
      <w:marBottom w:val="0"/>
      <w:divBdr>
        <w:top w:val="none" w:sz="0" w:space="0" w:color="auto"/>
        <w:left w:val="none" w:sz="0" w:space="0" w:color="auto"/>
        <w:bottom w:val="none" w:sz="0" w:space="0" w:color="auto"/>
        <w:right w:val="none" w:sz="0" w:space="0" w:color="auto"/>
      </w:divBdr>
    </w:div>
    <w:div w:id="91781018">
      <w:bodyDiv w:val="1"/>
      <w:marLeft w:val="0"/>
      <w:marRight w:val="0"/>
      <w:marTop w:val="0"/>
      <w:marBottom w:val="0"/>
      <w:divBdr>
        <w:top w:val="none" w:sz="0" w:space="0" w:color="auto"/>
        <w:left w:val="none" w:sz="0" w:space="0" w:color="auto"/>
        <w:bottom w:val="none" w:sz="0" w:space="0" w:color="auto"/>
        <w:right w:val="none" w:sz="0" w:space="0" w:color="auto"/>
      </w:divBdr>
    </w:div>
    <w:div w:id="120002598">
      <w:bodyDiv w:val="1"/>
      <w:marLeft w:val="0"/>
      <w:marRight w:val="0"/>
      <w:marTop w:val="0"/>
      <w:marBottom w:val="0"/>
      <w:divBdr>
        <w:top w:val="none" w:sz="0" w:space="0" w:color="auto"/>
        <w:left w:val="none" w:sz="0" w:space="0" w:color="auto"/>
        <w:bottom w:val="none" w:sz="0" w:space="0" w:color="auto"/>
        <w:right w:val="none" w:sz="0" w:space="0" w:color="auto"/>
      </w:divBdr>
    </w:div>
    <w:div w:id="129175459">
      <w:bodyDiv w:val="1"/>
      <w:marLeft w:val="0"/>
      <w:marRight w:val="0"/>
      <w:marTop w:val="0"/>
      <w:marBottom w:val="0"/>
      <w:divBdr>
        <w:top w:val="none" w:sz="0" w:space="0" w:color="auto"/>
        <w:left w:val="none" w:sz="0" w:space="0" w:color="auto"/>
        <w:bottom w:val="none" w:sz="0" w:space="0" w:color="auto"/>
        <w:right w:val="none" w:sz="0" w:space="0" w:color="auto"/>
      </w:divBdr>
    </w:div>
    <w:div w:id="155541001">
      <w:bodyDiv w:val="1"/>
      <w:marLeft w:val="0"/>
      <w:marRight w:val="0"/>
      <w:marTop w:val="0"/>
      <w:marBottom w:val="0"/>
      <w:divBdr>
        <w:top w:val="none" w:sz="0" w:space="0" w:color="auto"/>
        <w:left w:val="none" w:sz="0" w:space="0" w:color="auto"/>
        <w:bottom w:val="none" w:sz="0" w:space="0" w:color="auto"/>
        <w:right w:val="none" w:sz="0" w:space="0" w:color="auto"/>
      </w:divBdr>
    </w:div>
    <w:div w:id="178352619">
      <w:bodyDiv w:val="1"/>
      <w:marLeft w:val="0"/>
      <w:marRight w:val="0"/>
      <w:marTop w:val="0"/>
      <w:marBottom w:val="0"/>
      <w:divBdr>
        <w:top w:val="none" w:sz="0" w:space="0" w:color="auto"/>
        <w:left w:val="none" w:sz="0" w:space="0" w:color="auto"/>
        <w:bottom w:val="none" w:sz="0" w:space="0" w:color="auto"/>
        <w:right w:val="none" w:sz="0" w:space="0" w:color="auto"/>
      </w:divBdr>
    </w:div>
    <w:div w:id="295184850">
      <w:bodyDiv w:val="1"/>
      <w:marLeft w:val="0"/>
      <w:marRight w:val="0"/>
      <w:marTop w:val="0"/>
      <w:marBottom w:val="0"/>
      <w:divBdr>
        <w:top w:val="none" w:sz="0" w:space="0" w:color="auto"/>
        <w:left w:val="none" w:sz="0" w:space="0" w:color="auto"/>
        <w:bottom w:val="none" w:sz="0" w:space="0" w:color="auto"/>
        <w:right w:val="none" w:sz="0" w:space="0" w:color="auto"/>
      </w:divBdr>
    </w:div>
    <w:div w:id="378212320">
      <w:bodyDiv w:val="1"/>
      <w:marLeft w:val="0"/>
      <w:marRight w:val="0"/>
      <w:marTop w:val="0"/>
      <w:marBottom w:val="0"/>
      <w:divBdr>
        <w:top w:val="none" w:sz="0" w:space="0" w:color="auto"/>
        <w:left w:val="none" w:sz="0" w:space="0" w:color="auto"/>
        <w:bottom w:val="none" w:sz="0" w:space="0" w:color="auto"/>
        <w:right w:val="none" w:sz="0" w:space="0" w:color="auto"/>
      </w:divBdr>
    </w:div>
    <w:div w:id="438257599">
      <w:bodyDiv w:val="1"/>
      <w:marLeft w:val="0"/>
      <w:marRight w:val="0"/>
      <w:marTop w:val="0"/>
      <w:marBottom w:val="0"/>
      <w:divBdr>
        <w:top w:val="none" w:sz="0" w:space="0" w:color="auto"/>
        <w:left w:val="none" w:sz="0" w:space="0" w:color="auto"/>
        <w:bottom w:val="none" w:sz="0" w:space="0" w:color="auto"/>
        <w:right w:val="none" w:sz="0" w:space="0" w:color="auto"/>
      </w:divBdr>
    </w:div>
    <w:div w:id="448158975">
      <w:bodyDiv w:val="1"/>
      <w:marLeft w:val="0"/>
      <w:marRight w:val="0"/>
      <w:marTop w:val="0"/>
      <w:marBottom w:val="0"/>
      <w:divBdr>
        <w:top w:val="none" w:sz="0" w:space="0" w:color="auto"/>
        <w:left w:val="none" w:sz="0" w:space="0" w:color="auto"/>
        <w:bottom w:val="none" w:sz="0" w:space="0" w:color="auto"/>
        <w:right w:val="none" w:sz="0" w:space="0" w:color="auto"/>
      </w:divBdr>
    </w:div>
    <w:div w:id="507453460">
      <w:bodyDiv w:val="1"/>
      <w:marLeft w:val="0"/>
      <w:marRight w:val="0"/>
      <w:marTop w:val="0"/>
      <w:marBottom w:val="0"/>
      <w:divBdr>
        <w:top w:val="none" w:sz="0" w:space="0" w:color="auto"/>
        <w:left w:val="none" w:sz="0" w:space="0" w:color="auto"/>
        <w:bottom w:val="none" w:sz="0" w:space="0" w:color="auto"/>
        <w:right w:val="none" w:sz="0" w:space="0" w:color="auto"/>
      </w:divBdr>
    </w:div>
    <w:div w:id="518783478">
      <w:bodyDiv w:val="1"/>
      <w:marLeft w:val="0"/>
      <w:marRight w:val="0"/>
      <w:marTop w:val="0"/>
      <w:marBottom w:val="0"/>
      <w:divBdr>
        <w:top w:val="none" w:sz="0" w:space="0" w:color="auto"/>
        <w:left w:val="none" w:sz="0" w:space="0" w:color="auto"/>
        <w:bottom w:val="none" w:sz="0" w:space="0" w:color="auto"/>
        <w:right w:val="none" w:sz="0" w:space="0" w:color="auto"/>
      </w:divBdr>
    </w:div>
    <w:div w:id="675040853">
      <w:bodyDiv w:val="1"/>
      <w:marLeft w:val="0"/>
      <w:marRight w:val="0"/>
      <w:marTop w:val="0"/>
      <w:marBottom w:val="0"/>
      <w:divBdr>
        <w:top w:val="none" w:sz="0" w:space="0" w:color="auto"/>
        <w:left w:val="none" w:sz="0" w:space="0" w:color="auto"/>
        <w:bottom w:val="none" w:sz="0" w:space="0" w:color="auto"/>
        <w:right w:val="none" w:sz="0" w:space="0" w:color="auto"/>
      </w:divBdr>
    </w:div>
    <w:div w:id="706488623">
      <w:bodyDiv w:val="1"/>
      <w:marLeft w:val="0"/>
      <w:marRight w:val="0"/>
      <w:marTop w:val="0"/>
      <w:marBottom w:val="0"/>
      <w:divBdr>
        <w:top w:val="none" w:sz="0" w:space="0" w:color="auto"/>
        <w:left w:val="none" w:sz="0" w:space="0" w:color="auto"/>
        <w:bottom w:val="none" w:sz="0" w:space="0" w:color="auto"/>
        <w:right w:val="none" w:sz="0" w:space="0" w:color="auto"/>
      </w:divBdr>
    </w:div>
    <w:div w:id="749237674">
      <w:bodyDiv w:val="1"/>
      <w:marLeft w:val="0"/>
      <w:marRight w:val="0"/>
      <w:marTop w:val="0"/>
      <w:marBottom w:val="0"/>
      <w:divBdr>
        <w:top w:val="none" w:sz="0" w:space="0" w:color="auto"/>
        <w:left w:val="none" w:sz="0" w:space="0" w:color="auto"/>
        <w:bottom w:val="none" w:sz="0" w:space="0" w:color="auto"/>
        <w:right w:val="none" w:sz="0" w:space="0" w:color="auto"/>
      </w:divBdr>
    </w:div>
    <w:div w:id="781532865">
      <w:bodyDiv w:val="1"/>
      <w:marLeft w:val="0"/>
      <w:marRight w:val="0"/>
      <w:marTop w:val="0"/>
      <w:marBottom w:val="0"/>
      <w:divBdr>
        <w:top w:val="none" w:sz="0" w:space="0" w:color="auto"/>
        <w:left w:val="none" w:sz="0" w:space="0" w:color="auto"/>
        <w:bottom w:val="none" w:sz="0" w:space="0" w:color="auto"/>
        <w:right w:val="none" w:sz="0" w:space="0" w:color="auto"/>
      </w:divBdr>
    </w:div>
    <w:div w:id="839391544">
      <w:bodyDiv w:val="1"/>
      <w:marLeft w:val="0"/>
      <w:marRight w:val="0"/>
      <w:marTop w:val="0"/>
      <w:marBottom w:val="0"/>
      <w:divBdr>
        <w:top w:val="none" w:sz="0" w:space="0" w:color="auto"/>
        <w:left w:val="none" w:sz="0" w:space="0" w:color="auto"/>
        <w:bottom w:val="none" w:sz="0" w:space="0" w:color="auto"/>
        <w:right w:val="none" w:sz="0" w:space="0" w:color="auto"/>
      </w:divBdr>
    </w:div>
    <w:div w:id="907306263">
      <w:bodyDiv w:val="1"/>
      <w:marLeft w:val="0"/>
      <w:marRight w:val="0"/>
      <w:marTop w:val="0"/>
      <w:marBottom w:val="0"/>
      <w:divBdr>
        <w:top w:val="none" w:sz="0" w:space="0" w:color="auto"/>
        <w:left w:val="none" w:sz="0" w:space="0" w:color="auto"/>
        <w:bottom w:val="none" w:sz="0" w:space="0" w:color="auto"/>
        <w:right w:val="none" w:sz="0" w:space="0" w:color="auto"/>
      </w:divBdr>
    </w:div>
    <w:div w:id="1049763130">
      <w:bodyDiv w:val="1"/>
      <w:marLeft w:val="0"/>
      <w:marRight w:val="0"/>
      <w:marTop w:val="0"/>
      <w:marBottom w:val="0"/>
      <w:divBdr>
        <w:top w:val="none" w:sz="0" w:space="0" w:color="auto"/>
        <w:left w:val="none" w:sz="0" w:space="0" w:color="auto"/>
        <w:bottom w:val="none" w:sz="0" w:space="0" w:color="auto"/>
        <w:right w:val="none" w:sz="0" w:space="0" w:color="auto"/>
      </w:divBdr>
    </w:div>
    <w:div w:id="1127552802">
      <w:bodyDiv w:val="1"/>
      <w:marLeft w:val="0"/>
      <w:marRight w:val="0"/>
      <w:marTop w:val="0"/>
      <w:marBottom w:val="0"/>
      <w:divBdr>
        <w:top w:val="none" w:sz="0" w:space="0" w:color="auto"/>
        <w:left w:val="none" w:sz="0" w:space="0" w:color="auto"/>
        <w:bottom w:val="none" w:sz="0" w:space="0" w:color="auto"/>
        <w:right w:val="none" w:sz="0" w:space="0" w:color="auto"/>
      </w:divBdr>
    </w:div>
    <w:div w:id="1225485862">
      <w:bodyDiv w:val="1"/>
      <w:marLeft w:val="0"/>
      <w:marRight w:val="0"/>
      <w:marTop w:val="0"/>
      <w:marBottom w:val="0"/>
      <w:divBdr>
        <w:top w:val="none" w:sz="0" w:space="0" w:color="auto"/>
        <w:left w:val="none" w:sz="0" w:space="0" w:color="auto"/>
        <w:bottom w:val="none" w:sz="0" w:space="0" w:color="auto"/>
        <w:right w:val="none" w:sz="0" w:space="0" w:color="auto"/>
      </w:divBdr>
    </w:div>
    <w:div w:id="1263143998">
      <w:bodyDiv w:val="1"/>
      <w:marLeft w:val="0"/>
      <w:marRight w:val="0"/>
      <w:marTop w:val="0"/>
      <w:marBottom w:val="0"/>
      <w:divBdr>
        <w:top w:val="none" w:sz="0" w:space="0" w:color="auto"/>
        <w:left w:val="none" w:sz="0" w:space="0" w:color="auto"/>
        <w:bottom w:val="none" w:sz="0" w:space="0" w:color="auto"/>
        <w:right w:val="none" w:sz="0" w:space="0" w:color="auto"/>
      </w:divBdr>
    </w:div>
    <w:div w:id="1462728744">
      <w:bodyDiv w:val="1"/>
      <w:marLeft w:val="0"/>
      <w:marRight w:val="0"/>
      <w:marTop w:val="0"/>
      <w:marBottom w:val="0"/>
      <w:divBdr>
        <w:top w:val="none" w:sz="0" w:space="0" w:color="auto"/>
        <w:left w:val="none" w:sz="0" w:space="0" w:color="auto"/>
        <w:bottom w:val="none" w:sz="0" w:space="0" w:color="auto"/>
        <w:right w:val="none" w:sz="0" w:space="0" w:color="auto"/>
      </w:divBdr>
    </w:div>
    <w:div w:id="1571577443">
      <w:bodyDiv w:val="1"/>
      <w:marLeft w:val="0"/>
      <w:marRight w:val="0"/>
      <w:marTop w:val="0"/>
      <w:marBottom w:val="0"/>
      <w:divBdr>
        <w:top w:val="none" w:sz="0" w:space="0" w:color="auto"/>
        <w:left w:val="none" w:sz="0" w:space="0" w:color="auto"/>
        <w:bottom w:val="none" w:sz="0" w:space="0" w:color="auto"/>
        <w:right w:val="none" w:sz="0" w:space="0" w:color="auto"/>
      </w:divBdr>
    </w:div>
    <w:div w:id="1572428909">
      <w:bodyDiv w:val="1"/>
      <w:marLeft w:val="0"/>
      <w:marRight w:val="0"/>
      <w:marTop w:val="0"/>
      <w:marBottom w:val="0"/>
      <w:divBdr>
        <w:top w:val="none" w:sz="0" w:space="0" w:color="auto"/>
        <w:left w:val="none" w:sz="0" w:space="0" w:color="auto"/>
        <w:bottom w:val="none" w:sz="0" w:space="0" w:color="auto"/>
        <w:right w:val="none" w:sz="0" w:space="0" w:color="auto"/>
      </w:divBdr>
    </w:div>
    <w:div w:id="1586916706">
      <w:bodyDiv w:val="1"/>
      <w:marLeft w:val="0"/>
      <w:marRight w:val="0"/>
      <w:marTop w:val="0"/>
      <w:marBottom w:val="0"/>
      <w:divBdr>
        <w:top w:val="none" w:sz="0" w:space="0" w:color="auto"/>
        <w:left w:val="none" w:sz="0" w:space="0" w:color="auto"/>
        <w:bottom w:val="none" w:sz="0" w:space="0" w:color="auto"/>
        <w:right w:val="none" w:sz="0" w:space="0" w:color="auto"/>
      </w:divBdr>
    </w:div>
    <w:div w:id="1692950777">
      <w:bodyDiv w:val="1"/>
      <w:marLeft w:val="0"/>
      <w:marRight w:val="0"/>
      <w:marTop w:val="0"/>
      <w:marBottom w:val="0"/>
      <w:divBdr>
        <w:top w:val="none" w:sz="0" w:space="0" w:color="auto"/>
        <w:left w:val="none" w:sz="0" w:space="0" w:color="auto"/>
        <w:bottom w:val="none" w:sz="0" w:space="0" w:color="auto"/>
        <w:right w:val="none" w:sz="0" w:space="0" w:color="auto"/>
      </w:divBdr>
    </w:div>
    <w:div w:id="1697656540">
      <w:bodyDiv w:val="1"/>
      <w:marLeft w:val="0"/>
      <w:marRight w:val="0"/>
      <w:marTop w:val="0"/>
      <w:marBottom w:val="0"/>
      <w:divBdr>
        <w:top w:val="none" w:sz="0" w:space="0" w:color="auto"/>
        <w:left w:val="none" w:sz="0" w:space="0" w:color="auto"/>
        <w:bottom w:val="none" w:sz="0" w:space="0" w:color="auto"/>
        <w:right w:val="none" w:sz="0" w:space="0" w:color="auto"/>
      </w:divBdr>
    </w:div>
    <w:div w:id="1718623822">
      <w:bodyDiv w:val="1"/>
      <w:marLeft w:val="0"/>
      <w:marRight w:val="0"/>
      <w:marTop w:val="0"/>
      <w:marBottom w:val="0"/>
      <w:divBdr>
        <w:top w:val="none" w:sz="0" w:space="0" w:color="auto"/>
        <w:left w:val="none" w:sz="0" w:space="0" w:color="auto"/>
        <w:bottom w:val="none" w:sz="0" w:space="0" w:color="auto"/>
        <w:right w:val="none" w:sz="0" w:space="0" w:color="auto"/>
      </w:divBdr>
    </w:div>
    <w:div w:id="1782988116">
      <w:bodyDiv w:val="1"/>
      <w:marLeft w:val="0"/>
      <w:marRight w:val="0"/>
      <w:marTop w:val="0"/>
      <w:marBottom w:val="0"/>
      <w:divBdr>
        <w:top w:val="none" w:sz="0" w:space="0" w:color="auto"/>
        <w:left w:val="none" w:sz="0" w:space="0" w:color="auto"/>
        <w:bottom w:val="none" w:sz="0" w:space="0" w:color="auto"/>
        <w:right w:val="none" w:sz="0" w:space="0" w:color="auto"/>
      </w:divBdr>
    </w:div>
    <w:div w:id="1788163304">
      <w:bodyDiv w:val="1"/>
      <w:marLeft w:val="0"/>
      <w:marRight w:val="0"/>
      <w:marTop w:val="0"/>
      <w:marBottom w:val="0"/>
      <w:divBdr>
        <w:top w:val="none" w:sz="0" w:space="0" w:color="auto"/>
        <w:left w:val="none" w:sz="0" w:space="0" w:color="auto"/>
        <w:bottom w:val="none" w:sz="0" w:space="0" w:color="auto"/>
        <w:right w:val="none" w:sz="0" w:space="0" w:color="auto"/>
      </w:divBdr>
    </w:div>
    <w:div w:id="1822505322">
      <w:bodyDiv w:val="1"/>
      <w:marLeft w:val="0"/>
      <w:marRight w:val="0"/>
      <w:marTop w:val="0"/>
      <w:marBottom w:val="0"/>
      <w:divBdr>
        <w:top w:val="none" w:sz="0" w:space="0" w:color="auto"/>
        <w:left w:val="none" w:sz="0" w:space="0" w:color="auto"/>
        <w:bottom w:val="none" w:sz="0" w:space="0" w:color="auto"/>
        <w:right w:val="none" w:sz="0" w:space="0" w:color="auto"/>
      </w:divBdr>
    </w:div>
    <w:div w:id="1862164304">
      <w:bodyDiv w:val="1"/>
      <w:marLeft w:val="0"/>
      <w:marRight w:val="0"/>
      <w:marTop w:val="0"/>
      <w:marBottom w:val="0"/>
      <w:divBdr>
        <w:top w:val="none" w:sz="0" w:space="0" w:color="auto"/>
        <w:left w:val="none" w:sz="0" w:space="0" w:color="auto"/>
        <w:bottom w:val="none" w:sz="0" w:space="0" w:color="auto"/>
        <w:right w:val="none" w:sz="0" w:space="0" w:color="auto"/>
      </w:divBdr>
    </w:div>
    <w:div w:id="1875533118">
      <w:bodyDiv w:val="1"/>
      <w:marLeft w:val="0"/>
      <w:marRight w:val="0"/>
      <w:marTop w:val="0"/>
      <w:marBottom w:val="0"/>
      <w:divBdr>
        <w:top w:val="none" w:sz="0" w:space="0" w:color="auto"/>
        <w:left w:val="none" w:sz="0" w:space="0" w:color="auto"/>
        <w:bottom w:val="none" w:sz="0" w:space="0" w:color="auto"/>
        <w:right w:val="none" w:sz="0" w:space="0" w:color="auto"/>
      </w:divBdr>
    </w:div>
    <w:div w:id="1907908205">
      <w:bodyDiv w:val="1"/>
      <w:marLeft w:val="0"/>
      <w:marRight w:val="0"/>
      <w:marTop w:val="0"/>
      <w:marBottom w:val="0"/>
      <w:divBdr>
        <w:top w:val="none" w:sz="0" w:space="0" w:color="auto"/>
        <w:left w:val="none" w:sz="0" w:space="0" w:color="auto"/>
        <w:bottom w:val="none" w:sz="0" w:space="0" w:color="auto"/>
        <w:right w:val="none" w:sz="0" w:space="0" w:color="auto"/>
      </w:divBdr>
    </w:div>
    <w:div w:id="1917931422">
      <w:bodyDiv w:val="1"/>
      <w:marLeft w:val="0"/>
      <w:marRight w:val="0"/>
      <w:marTop w:val="0"/>
      <w:marBottom w:val="0"/>
      <w:divBdr>
        <w:top w:val="none" w:sz="0" w:space="0" w:color="auto"/>
        <w:left w:val="none" w:sz="0" w:space="0" w:color="auto"/>
        <w:bottom w:val="none" w:sz="0" w:space="0" w:color="auto"/>
        <w:right w:val="none" w:sz="0" w:space="0" w:color="auto"/>
      </w:divBdr>
    </w:div>
    <w:div w:id="1929970666">
      <w:bodyDiv w:val="1"/>
      <w:marLeft w:val="0"/>
      <w:marRight w:val="0"/>
      <w:marTop w:val="0"/>
      <w:marBottom w:val="0"/>
      <w:divBdr>
        <w:top w:val="none" w:sz="0" w:space="0" w:color="auto"/>
        <w:left w:val="none" w:sz="0" w:space="0" w:color="auto"/>
        <w:bottom w:val="none" w:sz="0" w:space="0" w:color="auto"/>
        <w:right w:val="none" w:sz="0" w:space="0" w:color="auto"/>
      </w:divBdr>
    </w:div>
    <w:div w:id="1992829272">
      <w:bodyDiv w:val="1"/>
      <w:marLeft w:val="0"/>
      <w:marRight w:val="0"/>
      <w:marTop w:val="0"/>
      <w:marBottom w:val="0"/>
      <w:divBdr>
        <w:top w:val="none" w:sz="0" w:space="0" w:color="auto"/>
        <w:left w:val="none" w:sz="0" w:space="0" w:color="auto"/>
        <w:bottom w:val="none" w:sz="0" w:space="0" w:color="auto"/>
        <w:right w:val="none" w:sz="0" w:space="0" w:color="auto"/>
      </w:divBdr>
    </w:div>
    <w:div w:id="2013221848">
      <w:bodyDiv w:val="1"/>
      <w:marLeft w:val="0"/>
      <w:marRight w:val="0"/>
      <w:marTop w:val="0"/>
      <w:marBottom w:val="0"/>
      <w:divBdr>
        <w:top w:val="none" w:sz="0" w:space="0" w:color="auto"/>
        <w:left w:val="none" w:sz="0" w:space="0" w:color="auto"/>
        <w:bottom w:val="none" w:sz="0" w:space="0" w:color="auto"/>
        <w:right w:val="none" w:sz="0" w:space="0" w:color="auto"/>
      </w:divBdr>
    </w:div>
    <w:div w:id="2049908493">
      <w:bodyDiv w:val="1"/>
      <w:marLeft w:val="0"/>
      <w:marRight w:val="0"/>
      <w:marTop w:val="0"/>
      <w:marBottom w:val="0"/>
      <w:divBdr>
        <w:top w:val="none" w:sz="0" w:space="0" w:color="auto"/>
        <w:left w:val="none" w:sz="0" w:space="0" w:color="auto"/>
        <w:bottom w:val="none" w:sz="0" w:space="0" w:color="auto"/>
        <w:right w:val="none" w:sz="0" w:space="0" w:color="auto"/>
      </w:divBdr>
    </w:div>
    <w:div w:id="2060012416">
      <w:bodyDiv w:val="1"/>
      <w:marLeft w:val="0"/>
      <w:marRight w:val="0"/>
      <w:marTop w:val="0"/>
      <w:marBottom w:val="0"/>
      <w:divBdr>
        <w:top w:val="none" w:sz="0" w:space="0" w:color="auto"/>
        <w:left w:val="none" w:sz="0" w:space="0" w:color="auto"/>
        <w:bottom w:val="none" w:sz="0" w:space="0" w:color="auto"/>
        <w:right w:val="none" w:sz="0" w:space="0" w:color="auto"/>
      </w:divBdr>
    </w:div>
    <w:div w:id="2086754227">
      <w:bodyDiv w:val="1"/>
      <w:marLeft w:val="0"/>
      <w:marRight w:val="0"/>
      <w:marTop w:val="0"/>
      <w:marBottom w:val="0"/>
      <w:divBdr>
        <w:top w:val="none" w:sz="0" w:space="0" w:color="auto"/>
        <w:left w:val="none" w:sz="0" w:space="0" w:color="auto"/>
        <w:bottom w:val="none" w:sz="0" w:space="0" w:color="auto"/>
        <w:right w:val="none" w:sz="0" w:space="0" w:color="auto"/>
      </w:divBdr>
    </w:div>
    <w:div w:id="2113473795">
      <w:bodyDiv w:val="1"/>
      <w:marLeft w:val="0"/>
      <w:marRight w:val="0"/>
      <w:marTop w:val="0"/>
      <w:marBottom w:val="0"/>
      <w:divBdr>
        <w:top w:val="none" w:sz="0" w:space="0" w:color="auto"/>
        <w:left w:val="none" w:sz="0" w:space="0" w:color="auto"/>
        <w:bottom w:val="none" w:sz="0" w:space="0" w:color="auto"/>
        <w:right w:val="none" w:sz="0" w:space="0" w:color="auto"/>
      </w:divBdr>
    </w:div>
    <w:div w:id="21193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8ED2C-466D-429F-B928-E133429C3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416</Words>
  <Characters>2374</Characters>
  <Application>Microsoft Office Word</Application>
  <DocSecurity>0</DocSecurity>
  <Lines>19</Lines>
  <Paragraphs>5</Paragraphs>
  <ScaleCrop>false</ScaleCrop>
  <Company>HOME</Company>
  <LinksUpToDate>false</LinksUpToDate>
  <CharactersWithSpaces>2785</CharactersWithSpaces>
  <SharedDoc>false</SharedDoc>
  <HLinks>
    <vt:vector size="108" baseType="variant">
      <vt:variant>
        <vt:i4>1441840</vt:i4>
      </vt:variant>
      <vt:variant>
        <vt:i4>98</vt:i4>
      </vt:variant>
      <vt:variant>
        <vt:i4>0</vt:i4>
      </vt:variant>
      <vt:variant>
        <vt:i4>5</vt:i4>
      </vt:variant>
      <vt:variant>
        <vt:lpwstr/>
      </vt:variant>
      <vt:variant>
        <vt:lpwstr>_Toc213071618</vt:lpwstr>
      </vt:variant>
      <vt:variant>
        <vt:i4>1441840</vt:i4>
      </vt:variant>
      <vt:variant>
        <vt:i4>92</vt:i4>
      </vt:variant>
      <vt:variant>
        <vt:i4>0</vt:i4>
      </vt:variant>
      <vt:variant>
        <vt:i4>5</vt:i4>
      </vt:variant>
      <vt:variant>
        <vt:lpwstr/>
      </vt:variant>
      <vt:variant>
        <vt:lpwstr>_Toc213071617</vt:lpwstr>
      </vt:variant>
      <vt:variant>
        <vt:i4>1441840</vt:i4>
      </vt:variant>
      <vt:variant>
        <vt:i4>86</vt:i4>
      </vt:variant>
      <vt:variant>
        <vt:i4>0</vt:i4>
      </vt:variant>
      <vt:variant>
        <vt:i4>5</vt:i4>
      </vt:variant>
      <vt:variant>
        <vt:lpwstr/>
      </vt:variant>
      <vt:variant>
        <vt:lpwstr>_Toc213071616</vt:lpwstr>
      </vt:variant>
      <vt:variant>
        <vt:i4>1441840</vt:i4>
      </vt:variant>
      <vt:variant>
        <vt:i4>80</vt:i4>
      </vt:variant>
      <vt:variant>
        <vt:i4>0</vt:i4>
      </vt:variant>
      <vt:variant>
        <vt:i4>5</vt:i4>
      </vt:variant>
      <vt:variant>
        <vt:lpwstr/>
      </vt:variant>
      <vt:variant>
        <vt:lpwstr>_Toc213071615</vt:lpwstr>
      </vt:variant>
      <vt:variant>
        <vt:i4>1441840</vt:i4>
      </vt:variant>
      <vt:variant>
        <vt:i4>74</vt:i4>
      </vt:variant>
      <vt:variant>
        <vt:i4>0</vt:i4>
      </vt:variant>
      <vt:variant>
        <vt:i4>5</vt:i4>
      </vt:variant>
      <vt:variant>
        <vt:lpwstr/>
      </vt:variant>
      <vt:variant>
        <vt:lpwstr>_Toc213071614</vt:lpwstr>
      </vt:variant>
      <vt:variant>
        <vt:i4>1441840</vt:i4>
      </vt:variant>
      <vt:variant>
        <vt:i4>68</vt:i4>
      </vt:variant>
      <vt:variant>
        <vt:i4>0</vt:i4>
      </vt:variant>
      <vt:variant>
        <vt:i4>5</vt:i4>
      </vt:variant>
      <vt:variant>
        <vt:lpwstr/>
      </vt:variant>
      <vt:variant>
        <vt:lpwstr>_Toc213071613</vt:lpwstr>
      </vt:variant>
      <vt:variant>
        <vt:i4>1441840</vt:i4>
      </vt:variant>
      <vt:variant>
        <vt:i4>62</vt:i4>
      </vt:variant>
      <vt:variant>
        <vt:i4>0</vt:i4>
      </vt:variant>
      <vt:variant>
        <vt:i4>5</vt:i4>
      </vt:variant>
      <vt:variant>
        <vt:lpwstr/>
      </vt:variant>
      <vt:variant>
        <vt:lpwstr>_Toc213071612</vt:lpwstr>
      </vt:variant>
      <vt:variant>
        <vt:i4>1441840</vt:i4>
      </vt:variant>
      <vt:variant>
        <vt:i4>56</vt:i4>
      </vt:variant>
      <vt:variant>
        <vt:i4>0</vt:i4>
      </vt:variant>
      <vt:variant>
        <vt:i4>5</vt:i4>
      </vt:variant>
      <vt:variant>
        <vt:lpwstr/>
      </vt:variant>
      <vt:variant>
        <vt:lpwstr>_Toc213071611</vt:lpwstr>
      </vt:variant>
      <vt:variant>
        <vt:i4>1441840</vt:i4>
      </vt:variant>
      <vt:variant>
        <vt:i4>50</vt:i4>
      </vt:variant>
      <vt:variant>
        <vt:i4>0</vt:i4>
      </vt:variant>
      <vt:variant>
        <vt:i4>5</vt:i4>
      </vt:variant>
      <vt:variant>
        <vt:lpwstr/>
      </vt:variant>
      <vt:variant>
        <vt:lpwstr>_Toc213071610</vt:lpwstr>
      </vt:variant>
      <vt:variant>
        <vt:i4>1507376</vt:i4>
      </vt:variant>
      <vt:variant>
        <vt:i4>44</vt:i4>
      </vt:variant>
      <vt:variant>
        <vt:i4>0</vt:i4>
      </vt:variant>
      <vt:variant>
        <vt:i4>5</vt:i4>
      </vt:variant>
      <vt:variant>
        <vt:lpwstr/>
      </vt:variant>
      <vt:variant>
        <vt:lpwstr>_Toc213071609</vt:lpwstr>
      </vt:variant>
      <vt:variant>
        <vt:i4>1507376</vt:i4>
      </vt:variant>
      <vt:variant>
        <vt:i4>38</vt:i4>
      </vt:variant>
      <vt:variant>
        <vt:i4>0</vt:i4>
      </vt:variant>
      <vt:variant>
        <vt:i4>5</vt:i4>
      </vt:variant>
      <vt:variant>
        <vt:lpwstr/>
      </vt:variant>
      <vt:variant>
        <vt:lpwstr>_Toc213071608</vt:lpwstr>
      </vt:variant>
      <vt:variant>
        <vt:i4>1507376</vt:i4>
      </vt:variant>
      <vt:variant>
        <vt:i4>32</vt:i4>
      </vt:variant>
      <vt:variant>
        <vt:i4>0</vt:i4>
      </vt:variant>
      <vt:variant>
        <vt:i4>5</vt:i4>
      </vt:variant>
      <vt:variant>
        <vt:lpwstr/>
      </vt:variant>
      <vt:variant>
        <vt:lpwstr>_Toc213071607</vt:lpwstr>
      </vt:variant>
      <vt:variant>
        <vt:i4>1507376</vt:i4>
      </vt:variant>
      <vt:variant>
        <vt:i4>26</vt:i4>
      </vt:variant>
      <vt:variant>
        <vt:i4>0</vt:i4>
      </vt:variant>
      <vt:variant>
        <vt:i4>5</vt:i4>
      </vt:variant>
      <vt:variant>
        <vt:lpwstr/>
      </vt:variant>
      <vt:variant>
        <vt:lpwstr>_Toc213071606</vt:lpwstr>
      </vt:variant>
      <vt:variant>
        <vt:i4>1507376</vt:i4>
      </vt:variant>
      <vt:variant>
        <vt:i4>20</vt:i4>
      </vt:variant>
      <vt:variant>
        <vt:i4>0</vt:i4>
      </vt:variant>
      <vt:variant>
        <vt:i4>5</vt:i4>
      </vt:variant>
      <vt:variant>
        <vt:lpwstr/>
      </vt:variant>
      <vt:variant>
        <vt:lpwstr>_Toc213071605</vt:lpwstr>
      </vt:variant>
      <vt:variant>
        <vt:i4>1507376</vt:i4>
      </vt:variant>
      <vt:variant>
        <vt:i4>14</vt:i4>
      </vt:variant>
      <vt:variant>
        <vt:i4>0</vt:i4>
      </vt:variant>
      <vt:variant>
        <vt:i4>5</vt:i4>
      </vt:variant>
      <vt:variant>
        <vt:lpwstr/>
      </vt:variant>
      <vt:variant>
        <vt:lpwstr>_Toc213071604</vt:lpwstr>
      </vt:variant>
      <vt:variant>
        <vt:i4>1507376</vt:i4>
      </vt:variant>
      <vt:variant>
        <vt:i4>8</vt:i4>
      </vt:variant>
      <vt:variant>
        <vt:i4>0</vt:i4>
      </vt:variant>
      <vt:variant>
        <vt:i4>5</vt:i4>
      </vt:variant>
      <vt:variant>
        <vt:lpwstr/>
      </vt:variant>
      <vt:variant>
        <vt:lpwstr>_Toc213071603</vt:lpwstr>
      </vt:variant>
      <vt:variant>
        <vt:i4>1507376</vt:i4>
      </vt:variant>
      <vt:variant>
        <vt:i4>2</vt:i4>
      </vt:variant>
      <vt:variant>
        <vt:i4>0</vt:i4>
      </vt:variant>
      <vt:variant>
        <vt:i4>5</vt:i4>
      </vt:variant>
      <vt:variant>
        <vt:lpwstr/>
      </vt:variant>
      <vt:variant>
        <vt:lpwstr>_Toc213071602</vt:lpwstr>
      </vt:variant>
      <vt:variant>
        <vt:i4>3473532</vt:i4>
      </vt:variant>
      <vt:variant>
        <vt:i4>0</vt:i4>
      </vt:variant>
      <vt:variant>
        <vt:i4>0</vt:i4>
      </vt:variant>
      <vt:variant>
        <vt:i4>5</vt:i4>
      </vt:variant>
      <vt:variant>
        <vt:lpwstr>https://www.chinatimes.com/realtimenews/20240626003781-260407?chdtv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2025-10-23T10:26:00Z</cp:lastPrinted>
  <dcterms:created xsi:type="dcterms:W3CDTF">2025-11-04T03:28:00Z</dcterms:created>
  <dcterms:modified xsi:type="dcterms:W3CDTF">2025-11-04T03:28:00Z</dcterms:modified>
</cp:coreProperties>
</file>