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5F5DD8" w:rsidRPr="00CC793B" w:rsidRDefault="00596AE2" w:rsidP="00F03660">
      <w:pPr>
        <w:pStyle w:val="14"/>
        <w:rPr>
          <w:rFonts w:hint="eastAsia"/>
        </w:rPr>
      </w:pPr>
      <w:bookmarkStart w:id="2" w:name="_Toc494218779"/>
      <w:bookmarkStart w:id="3" w:name="_Toc212642047"/>
      <w:bookmarkEnd w:id="1"/>
      <w:r>
        <w:rPr>
          <w:rFonts w:hint="eastAsia"/>
          <w:lang w:eastAsia="zh-HK"/>
        </w:rPr>
        <w:t>九</w:t>
      </w:r>
      <w:r w:rsidR="007A480B" w:rsidRPr="00CC793B">
        <w:rPr>
          <w:rFonts w:hint="eastAsia"/>
        </w:rPr>
        <w:t>、</w:t>
      </w:r>
      <w:r w:rsidR="007A480B" w:rsidRPr="00B84C11">
        <w:rPr>
          <w:rFonts w:hint="eastAsia"/>
        </w:rPr>
        <w:t>高級中等以下學校無障礙設施盤點</w:t>
      </w:r>
      <w:r w:rsidR="00AF0C04">
        <w:rPr>
          <w:rFonts w:hint="eastAsia"/>
          <w:lang w:eastAsia="zh-HK"/>
        </w:rPr>
        <w:t>結果合格率為</w:t>
      </w:r>
      <w:r w:rsidR="00AF0C04">
        <w:rPr>
          <w:rFonts w:hint="eastAsia"/>
        </w:rPr>
        <w:t>61%</w:t>
      </w:r>
      <w:r w:rsidR="007A480B" w:rsidRPr="00B84C11">
        <w:rPr>
          <w:rFonts w:hint="eastAsia"/>
        </w:rPr>
        <w:t>，幼兒園無障礙設施規範尚待研議</w:t>
      </w:r>
      <w:r w:rsidR="007A480B" w:rsidRPr="00CC793B">
        <w:rPr>
          <w:rFonts w:hint="eastAsia"/>
        </w:rPr>
        <w:t>，</w:t>
      </w:r>
      <w:r w:rsidR="00B84C11">
        <w:rPr>
          <w:rFonts w:hint="eastAsia"/>
        </w:rPr>
        <w:t>且皆未具</w:t>
      </w:r>
      <w:r w:rsidR="00B84C11" w:rsidRPr="00B84C11">
        <w:rPr>
          <w:rFonts w:hint="eastAsia"/>
        </w:rPr>
        <w:t>資訊可及性</w:t>
      </w:r>
      <w:r w:rsidR="00B84C11">
        <w:rPr>
          <w:rFonts w:hint="eastAsia"/>
        </w:rPr>
        <w:t>，</w:t>
      </w:r>
      <w:r w:rsidR="00B168A6" w:rsidRPr="00B168A6">
        <w:rPr>
          <w:rFonts w:hint="eastAsia"/>
        </w:rPr>
        <w:t>允宜積極改善</w:t>
      </w:r>
      <w:bookmarkEnd w:id="3"/>
    </w:p>
    <w:p w:rsidR="005F5DD8" w:rsidRPr="007951B0" w:rsidRDefault="00B84C11" w:rsidP="00CB3121">
      <w:pPr>
        <w:ind w:left="560" w:firstLine="560"/>
        <w:rPr>
          <w:rFonts w:hAnsi="標楷體" w:hint="eastAsia"/>
          <w:kern w:val="28"/>
        </w:rPr>
      </w:pPr>
      <w:r w:rsidRPr="00B84C11">
        <w:rPr>
          <w:rFonts w:hAnsi="標楷體" w:hint="eastAsia"/>
        </w:rPr>
        <w:t>為落實身心障礙者權利公約提出之可及性概念，112年修正特教法將以往著重之物理環境無障礙，擴大至人文及資訊無障礙，</w:t>
      </w:r>
      <w:r w:rsidRPr="00B84C11">
        <w:rPr>
          <w:rFonts w:hAnsi="標楷體" w:hint="eastAsia"/>
        </w:rPr>
        <w:lastRenderedPageBreak/>
        <w:t>應秉持通用設計精神，使多數使用者儘可能達無障礙可及性</w:t>
      </w:r>
      <w:r w:rsidR="002C5341">
        <w:rPr>
          <w:rFonts w:hAnsi="標楷體" w:hint="eastAsia"/>
        </w:rPr>
        <w:t>。</w:t>
      </w:r>
      <w:r w:rsidR="005F5DD8">
        <w:rPr>
          <w:rFonts w:hAnsi="標楷體" w:hint="eastAsia"/>
        </w:rPr>
        <w:t>國教</w:t>
      </w:r>
      <w:r w:rsidR="005F5DD8" w:rsidRPr="007951B0">
        <w:rPr>
          <w:rFonts w:hAnsi="標楷體" w:hint="eastAsia"/>
        </w:rPr>
        <w:t>署11</w:t>
      </w:r>
      <w:r w:rsidR="00B54939">
        <w:rPr>
          <w:rFonts w:hAnsi="標楷體" w:hint="eastAsia"/>
        </w:rPr>
        <w:t>5</w:t>
      </w:r>
      <w:r w:rsidR="005F5DD8">
        <w:rPr>
          <w:rFonts w:hAnsi="標楷體" w:hint="eastAsia"/>
        </w:rPr>
        <w:t>年度</w:t>
      </w:r>
      <w:r w:rsidR="00DA4CA7">
        <w:rPr>
          <w:rFonts w:hAnsi="標楷體" w:hint="eastAsia"/>
        </w:rPr>
        <w:t>預算案</w:t>
      </w:r>
      <w:r w:rsidR="005F5DD8">
        <w:rPr>
          <w:rFonts w:hAnsi="標楷體" w:hint="eastAsia"/>
        </w:rPr>
        <w:t>於</w:t>
      </w:r>
      <w:r w:rsidR="005F5DD8" w:rsidRPr="00B264A1">
        <w:rPr>
          <w:rFonts w:hAnsi="標楷體" w:hint="eastAsia"/>
        </w:rPr>
        <w:t>「國民及學前教育行政及督導-</w:t>
      </w:r>
      <w:r w:rsidR="005F5DD8">
        <w:rPr>
          <w:rFonts w:hAnsi="標楷體" w:hint="eastAsia"/>
        </w:rPr>
        <w:t>特殊</w:t>
      </w:r>
      <w:r w:rsidR="005F5DD8" w:rsidRPr="00B264A1">
        <w:rPr>
          <w:rFonts w:hAnsi="標楷體" w:hint="eastAsia"/>
        </w:rPr>
        <w:t>教育」</w:t>
      </w:r>
      <w:r w:rsidR="005F5DD8" w:rsidRPr="007951B0">
        <w:rPr>
          <w:rFonts w:hAnsi="標楷體" w:hint="eastAsia"/>
        </w:rPr>
        <w:t>分支計畫</w:t>
      </w:r>
      <w:r w:rsidR="005F5DD8">
        <w:rPr>
          <w:rFonts w:hAnsi="標楷體" w:hint="eastAsia"/>
          <w:lang w:eastAsia="zh-HK"/>
        </w:rPr>
        <w:t>編列</w:t>
      </w:r>
      <w:r w:rsidR="005F5DD8">
        <w:rPr>
          <w:rFonts w:hAnsi="標楷體" w:hint="eastAsia"/>
        </w:rPr>
        <w:t>改善主管高級中等以下學校校園無障礙設施經費</w:t>
      </w:r>
      <w:r w:rsidR="00B54939" w:rsidRPr="00B54939">
        <w:rPr>
          <w:rFonts w:hAnsi="標楷體" w:hint="eastAsia"/>
        </w:rPr>
        <w:t>2億1,493萬1千元</w:t>
      </w:r>
      <w:r w:rsidR="005F5DD8">
        <w:rPr>
          <w:rFonts w:ascii="新細明體" w:eastAsia="新細明體" w:hAnsi="新細明體" w:hint="eastAsia"/>
        </w:rPr>
        <w:t>，</w:t>
      </w:r>
      <w:r w:rsidR="00B54939" w:rsidRPr="00AF0C04">
        <w:rPr>
          <w:rFonts w:hAnsi="標楷體" w:hint="eastAsia"/>
          <w:lang w:eastAsia="zh-HK"/>
        </w:rPr>
        <w:t>另</w:t>
      </w:r>
      <w:r w:rsidR="0070594D">
        <w:rPr>
          <w:rFonts w:hAnsi="標楷體" w:hint="eastAsia"/>
          <w:lang w:eastAsia="zh-HK"/>
        </w:rPr>
        <w:t>於</w:t>
      </w:r>
      <w:r w:rsidR="00B54939" w:rsidRPr="00AF0C04">
        <w:rPr>
          <w:rFonts w:hAnsi="標楷體" w:hint="eastAsia"/>
          <w:lang w:eastAsia="zh-HK"/>
        </w:rPr>
        <w:t>一性補助款</w:t>
      </w:r>
      <w:r w:rsidR="0070594D">
        <w:rPr>
          <w:rFonts w:hAnsi="標楷體" w:hint="eastAsia"/>
          <w:lang w:eastAsia="zh-HK"/>
        </w:rPr>
        <w:t>編有</w:t>
      </w:r>
      <w:r w:rsidR="00B54939" w:rsidRPr="00AF0C04">
        <w:rPr>
          <w:rFonts w:hAnsi="標楷體" w:hint="eastAsia"/>
        </w:rPr>
        <w:t>補</w:t>
      </w:r>
      <w:r w:rsidR="00B54939">
        <w:rPr>
          <w:rFonts w:hAnsi="標楷體" w:hint="eastAsia"/>
        </w:rPr>
        <w:t>助地方政府改善高級中等以下學校無障礙環境相關設施</w:t>
      </w:r>
      <w:r w:rsidR="00B54939">
        <w:rPr>
          <w:rFonts w:hAnsi="標楷體" w:hint="eastAsia"/>
          <w:lang w:eastAsia="zh-HK"/>
        </w:rPr>
        <w:t>經費</w:t>
      </w:r>
      <w:r w:rsidR="00B54939">
        <w:rPr>
          <w:rFonts w:hAnsi="標楷體" w:hint="eastAsia"/>
        </w:rPr>
        <w:t>5億3,806萬9</w:t>
      </w:r>
      <w:r w:rsidR="00B54939">
        <w:rPr>
          <w:rFonts w:hAnsi="標楷體" w:hint="eastAsia"/>
          <w:lang w:eastAsia="zh-HK"/>
        </w:rPr>
        <w:t>千</w:t>
      </w:r>
      <w:r w:rsidR="00B54939">
        <w:rPr>
          <w:rFonts w:hAnsi="標楷體" w:hint="eastAsia"/>
        </w:rPr>
        <w:t>元</w:t>
      </w:r>
      <w:r w:rsidR="0070594D">
        <w:rPr>
          <w:rFonts w:hAnsi="標楷體" w:hint="eastAsia"/>
        </w:rPr>
        <w:t>，</w:t>
      </w:r>
      <w:r w:rsidR="005F5DD8">
        <w:rPr>
          <w:rFonts w:hAnsi="標楷體" w:hint="eastAsia"/>
        </w:rPr>
        <w:t>合計</w:t>
      </w:r>
      <w:r w:rsidR="00B54939">
        <w:rPr>
          <w:rFonts w:hAnsi="標楷體" w:hint="eastAsia"/>
        </w:rPr>
        <w:t>7</w:t>
      </w:r>
      <w:r w:rsidR="00B54939">
        <w:rPr>
          <w:rFonts w:hAnsi="標楷體" w:hint="eastAsia"/>
          <w:lang w:eastAsia="zh-HK"/>
        </w:rPr>
        <w:t>億</w:t>
      </w:r>
      <w:r w:rsidR="00B54939">
        <w:rPr>
          <w:rFonts w:hAnsi="標楷體" w:hint="eastAsia"/>
        </w:rPr>
        <w:t>5,300</w:t>
      </w:r>
      <w:r w:rsidR="00B54939">
        <w:rPr>
          <w:rFonts w:hAnsi="標楷體" w:hint="eastAsia"/>
          <w:lang w:eastAsia="zh-HK"/>
        </w:rPr>
        <w:t>萬元</w:t>
      </w:r>
      <w:r w:rsidR="005F5DD8" w:rsidRPr="0062427D">
        <w:rPr>
          <w:rFonts w:hAnsi="標楷體" w:hint="eastAsia"/>
          <w:kern w:val="28"/>
        </w:rPr>
        <w:t>。</w:t>
      </w:r>
      <w:r w:rsidR="005F5DD8" w:rsidRPr="007951B0">
        <w:rPr>
          <w:rFonts w:hAnsi="標楷體" w:hint="eastAsia"/>
          <w:kern w:val="28"/>
        </w:rPr>
        <w:t>經查：</w:t>
      </w:r>
    </w:p>
    <w:p w:rsidR="00B84C11" w:rsidRPr="00B84C11" w:rsidRDefault="00B84C11" w:rsidP="00B84C11">
      <w:pPr>
        <w:widowControl w:val="0"/>
        <w:ind w:left="836" w:hangingChars="100" w:hanging="276"/>
        <w:rPr>
          <w:rFonts w:hAnsi="Times New Roman"/>
          <w:b/>
          <w:snapToGrid w:val="0"/>
          <w:spacing w:val="-2"/>
          <w:kern w:val="2"/>
          <w:szCs w:val="28"/>
        </w:rPr>
      </w:pPr>
      <w:r w:rsidRPr="00B84C11">
        <w:rPr>
          <w:rFonts w:hAnsi="Times New Roman" w:hint="eastAsia"/>
          <w:b/>
          <w:snapToGrid w:val="0"/>
          <w:spacing w:val="-2"/>
          <w:kern w:val="2"/>
          <w:szCs w:val="28"/>
        </w:rPr>
        <w:t>(</w:t>
      </w:r>
      <w:r>
        <w:rPr>
          <w:rFonts w:hAnsi="Times New Roman" w:hint="eastAsia"/>
          <w:b/>
          <w:snapToGrid w:val="0"/>
          <w:spacing w:val="-2"/>
          <w:kern w:val="2"/>
          <w:szCs w:val="28"/>
        </w:rPr>
        <w:t>一</w:t>
      </w:r>
      <w:r w:rsidRPr="00B84C11">
        <w:rPr>
          <w:rFonts w:hAnsi="Times New Roman"/>
          <w:b/>
          <w:snapToGrid w:val="0"/>
          <w:spacing w:val="-2"/>
          <w:kern w:val="2"/>
          <w:szCs w:val="28"/>
        </w:rPr>
        <w:t>)</w:t>
      </w:r>
      <w:r w:rsidR="00AF0C04">
        <w:rPr>
          <w:rFonts w:hAnsi="Times New Roman" w:hint="eastAsia"/>
          <w:b/>
          <w:snapToGrid w:val="0"/>
          <w:spacing w:val="-2"/>
          <w:kern w:val="2"/>
          <w:szCs w:val="28"/>
          <w:lang w:eastAsia="zh-HK"/>
        </w:rPr>
        <w:t>截至</w:t>
      </w:r>
      <w:r w:rsidR="00AF0C04">
        <w:rPr>
          <w:rFonts w:hAnsi="Times New Roman" w:hint="eastAsia"/>
          <w:b/>
          <w:snapToGrid w:val="0"/>
          <w:spacing w:val="-2"/>
          <w:kern w:val="2"/>
          <w:szCs w:val="28"/>
        </w:rPr>
        <w:t>114</w:t>
      </w:r>
      <w:r w:rsidR="00AF0C04">
        <w:rPr>
          <w:rFonts w:hAnsi="Times New Roman" w:hint="eastAsia"/>
          <w:b/>
          <w:snapToGrid w:val="0"/>
          <w:spacing w:val="-2"/>
          <w:kern w:val="2"/>
          <w:szCs w:val="28"/>
          <w:lang w:eastAsia="zh-HK"/>
        </w:rPr>
        <w:t>年</w:t>
      </w:r>
      <w:r w:rsidR="00AF0C04">
        <w:rPr>
          <w:rFonts w:hAnsi="Times New Roman" w:hint="eastAsia"/>
          <w:b/>
          <w:snapToGrid w:val="0"/>
          <w:spacing w:val="-2"/>
          <w:kern w:val="2"/>
          <w:szCs w:val="28"/>
        </w:rPr>
        <w:t>7</w:t>
      </w:r>
      <w:r w:rsidR="00AF0C04">
        <w:rPr>
          <w:rFonts w:hAnsi="Times New Roman" w:hint="eastAsia"/>
          <w:b/>
          <w:snapToGrid w:val="0"/>
          <w:spacing w:val="-2"/>
          <w:kern w:val="2"/>
          <w:szCs w:val="28"/>
          <w:lang w:eastAsia="zh-HK"/>
        </w:rPr>
        <w:t>月底</w:t>
      </w:r>
      <w:r w:rsidRPr="00B84C11">
        <w:rPr>
          <w:rFonts w:hAnsi="Times New Roman" w:hint="eastAsia"/>
          <w:b/>
          <w:snapToGrid w:val="0"/>
          <w:spacing w:val="-2"/>
          <w:kern w:val="2"/>
          <w:szCs w:val="28"/>
        </w:rPr>
        <w:t>高級中等以下學校及</w:t>
      </w:r>
      <w:r w:rsidR="0070594D" w:rsidRPr="0070594D">
        <w:rPr>
          <w:rFonts w:hAnsi="Times New Roman" w:hint="eastAsia"/>
          <w:b/>
          <w:snapToGrid w:val="0"/>
          <w:spacing w:val="-2"/>
          <w:kern w:val="2"/>
          <w:szCs w:val="28"/>
        </w:rPr>
        <w:t>特殊教育</w:t>
      </w:r>
      <w:r w:rsidRPr="00B84C11">
        <w:rPr>
          <w:rFonts w:hAnsi="Times New Roman" w:hint="eastAsia"/>
          <w:b/>
          <w:snapToGrid w:val="0"/>
          <w:spacing w:val="-2"/>
          <w:kern w:val="2"/>
          <w:szCs w:val="28"/>
        </w:rPr>
        <w:t>學校無障礙設施</w:t>
      </w:r>
      <w:r w:rsidR="00AF0C04">
        <w:rPr>
          <w:rFonts w:hAnsi="Times New Roman" w:hint="eastAsia"/>
          <w:b/>
          <w:snapToGrid w:val="0"/>
          <w:spacing w:val="-2"/>
          <w:kern w:val="2"/>
          <w:szCs w:val="28"/>
          <w:lang w:eastAsia="zh-HK"/>
        </w:rPr>
        <w:t>合格率為</w:t>
      </w:r>
      <w:r w:rsidR="00AF0C04">
        <w:rPr>
          <w:rFonts w:hAnsi="Times New Roman" w:hint="eastAsia"/>
          <w:b/>
          <w:snapToGrid w:val="0"/>
          <w:spacing w:val="-2"/>
          <w:kern w:val="2"/>
          <w:szCs w:val="28"/>
        </w:rPr>
        <w:t>61%</w:t>
      </w:r>
      <w:r w:rsidR="00AF0C04" w:rsidRPr="00B84C11">
        <w:rPr>
          <w:rFonts w:hAnsi="Times New Roman"/>
          <w:b/>
          <w:snapToGrid w:val="0"/>
          <w:spacing w:val="-2"/>
          <w:kern w:val="2"/>
          <w:szCs w:val="28"/>
        </w:rPr>
        <w:t xml:space="preserve"> </w:t>
      </w:r>
    </w:p>
    <w:p w:rsidR="00B84C11" w:rsidRPr="00B84C11" w:rsidRDefault="00B84C11" w:rsidP="00B84C11">
      <w:pPr>
        <w:widowControl w:val="0"/>
        <w:adjustRightInd w:val="0"/>
        <w:ind w:leftChars="300" w:left="840" w:firstLine="560"/>
        <w:rPr>
          <w:rFonts w:hAnsi="標楷體"/>
          <w:snapToGrid w:val="0"/>
          <w:kern w:val="2"/>
          <w:szCs w:val="28"/>
        </w:rPr>
      </w:pPr>
      <w:r w:rsidRPr="00B84C11">
        <w:rPr>
          <w:rFonts w:hAnsi="標楷體" w:hint="eastAsia"/>
          <w:snapToGrid w:val="0"/>
          <w:kern w:val="2"/>
          <w:szCs w:val="28"/>
        </w:rPr>
        <w:t>為促使高級中等以下學校及幼兒園持續建置及改善無障礙校園環境，國教署雖於102年度已訂定「教育部國民及學前教育署補助改善無障礙校園環境原則」補助學校改善經費，然有關各公立學校及特殊教育學校無障礙設施基準之「公立高級中等以下學校及特殊教育學校無障礙設施設備設置要點」迄112年7月21日始訂定發布。</w:t>
      </w:r>
    </w:p>
    <w:p w:rsidR="00AF0C04" w:rsidRPr="00AF0C04" w:rsidRDefault="00AF0C04" w:rsidP="00AF0C04">
      <w:pPr>
        <w:widowControl w:val="0"/>
        <w:adjustRightInd w:val="0"/>
        <w:ind w:leftChars="300" w:left="840" w:firstLine="560"/>
        <w:rPr>
          <w:rFonts w:hAnsi="標楷體" w:hint="eastAsia"/>
          <w:snapToGrid w:val="0"/>
          <w:kern w:val="2"/>
          <w:szCs w:val="28"/>
        </w:rPr>
      </w:pPr>
      <w:r w:rsidRPr="00AF0C04">
        <w:rPr>
          <w:rFonts w:hAnsi="標楷體" w:hint="eastAsia"/>
          <w:snapToGrid w:val="0"/>
          <w:kern w:val="2"/>
          <w:szCs w:val="28"/>
        </w:rPr>
        <w:t>為協助公立高級中等以下學校及特殊教育學校（以下併稱學校）有效改善無障礙設施設備設置，國教署於113年1月發布「公立高級中等以下學校及特殊教育學校無障礙設施設備盤點實施計畫」明訂學校自行清查、各主管機關盤點，及學校盤點結果填報與主管機關覆核之相關機制，</w:t>
      </w:r>
      <w:r>
        <w:rPr>
          <w:rFonts w:hAnsi="標楷體" w:hint="eastAsia"/>
          <w:snapToGrid w:val="0"/>
          <w:kern w:val="2"/>
          <w:szCs w:val="28"/>
          <w:lang w:eastAsia="zh-HK"/>
        </w:rPr>
        <w:t>據國署表示，</w:t>
      </w:r>
      <w:r w:rsidRPr="00AF0C04">
        <w:rPr>
          <w:rFonts w:hAnsi="標楷體" w:hint="eastAsia"/>
          <w:snapToGrid w:val="0"/>
          <w:kern w:val="2"/>
          <w:szCs w:val="28"/>
        </w:rPr>
        <w:t>113年已完成3,600所學校清查、入校盤點及主管機關覆核作業。</w:t>
      </w:r>
    </w:p>
    <w:p w:rsidR="005C19AE" w:rsidRDefault="00AF0C04" w:rsidP="00AF0C04">
      <w:pPr>
        <w:widowControl w:val="0"/>
        <w:adjustRightInd w:val="0"/>
        <w:ind w:leftChars="300" w:left="840" w:firstLine="560"/>
        <w:rPr>
          <w:rFonts w:hAnsi="標楷體" w:hint="eastAsia"/>
          <w:snapToGrid w:val="0"/>
          <w:kern w:val="2"/>
          <w:szCs w:val="28"/>
        </w:rPr>
      </w:pPr>
      <w:r>
        <w:rPr>
          <w:rFonts w:hAnsi="標楷體" w:hint="eastAsia"/>
          <w:snapToGrid w:val="0"/>
          <w:kern w:val="2"/>
          <w:szCs w:val="28"/>
          <w:lang w:eastAsia="zh-HK"/>
        </w:rPr>
        <w:t>據稱</w:t>
      </w:r>
      <w:r w:rsidRPr="00AF0C04">
        <w:rPr>
          <w:rFonts w:hAnsi="標楷體" w:hint="eastAsia"/>
          <w:snapToGrid w:val="0"/>
          <w:kern w:val="2"/>
          <w:szCs w:val="28"/>
        </w:rPr>
        <w:t>為使資源有效運用，</w:t>
      </w:r>
      <w:r>
        <w:rPr>
          <w:rFonts w:hAnsi="標楷體" w:hint="eastAsia"/>
          <w:snapToGrid w:val="0"/>
          <w:kern w:val="2"/>
          <w:szCs w:val="28"/>
          <w:lang w:eastAsia="zh-HK"/>
        </w:rPr>
        <w:t>該</w:t>
      </w:r>
      <w:r w:rsidRPr="00AF0C04">
        <w:rPr>
          <w:rFonts w:hAnsi="標楷體" w:hint="eastAsia"/>
          <w:snapToGrid w:val="0"/>
          <w:kern w:val="2"/>
          <w:szCs w:val="28"/>
        </w:rPr>
        <w:t>計畫以學校建築物於101年12月31日前已取得建造執照，或建造執照法令適用日於101年12月31日前，且建物年份未滿50年者，依建築技術規則、</w:t>
      </w:r>
      <w:r w:rsidR="00D670D0">
        <w:rPr>
          <w:rFonts w:hAnsi="標楷體" w:hint="eastAsia"/>
          <w:snapToGrid w:val="0"/>
          <w:kern w:val="2"/>
          <w:szCs w:val="28"/>
        </w:rPr>
        <w:t>「</w:t>
      </w:r>
      <w:r w:rsidRPr="00AF0C04">
        <w:rPr>
          <w:rFonts w:hAnsi="標楷體" w:hint="eastAsia"/>
          <w:snapToGrid w:val="0"/>
          <w:kern w:val="2"/>
          <w:szCs w:val="28"/>
        </w:rPr>
        <w:t>既有公共建築物無障礙設施替代改善計畫作業程序及認定原則</w:t>
      </w:r>
      <w:r w:rsidR="00D670D0">
        <w:rPr>
          <w:rFonts w:hAnsi="標楷體" w:hint="eastAsia"/>
          <w:snapToGrid w:val="0"/>
          <w:kern w:val="2"/>
          <w:szCs w:val="28"/>
        </w:rPr>
        <w:t>」</w:t>
      </w:r>
      <w:r w:rsidRPr="00AF0C04">
        <w:rPr>
          <w:rFonts w:hAnsi="標楷體" w:hint="eastAsia"/>
          <w:snapToGrid w:val="0"/>
          <w:kern w:val="2"/>
          <w:szCs w:val="28"/>
        </w:rPr>
        <w:t>規定須改善，或基於考量教學現場之特殊性而須設置或改善之項目進行盤點。截至114年8月，共盤點35萬5,700項設施，合</w:t>
      </w:r>
      <w:r w:rsidRPr="00AF0C04">
        <w:rPr>
          <w:rFonts w:hAnsi="標楷體" w:hint="eastAsia"/>
          <w:snapToGrid w:val="0"/>
          <w:kern w:val="2"/>
          <w:szCs w:val="28"/>
        </w:rPr>
        <w:lastRenderedPageBreak/>
        <w:t>格率為61%</w:t>
      </w:r>
      <w:r>
        <w:rPr>
          <w:rFonts w:hAnsi="標楷體" w:hint="eastAsia"/>
          <w:snapToGrid w:val="0"/>
          <w:kern w:val="2"/>
          <w:szCs w:val="28"/>
        </w:rPr>
        <w:t>，</w:t>
      </w:r>
      <w:r>
        <w:rPr>
          <w:rFonts w:hAnsi="標楷體" w:hint="eastAsia"/>
          <w:snapToGrid w:val="0"/>
          <w:kern w:val="2"/>
          <w:szCs w:val="28"/>
          <w:lang w:eastAsia="zh-HK"/>
        </w:rPr>
        <w:t>其中以</w:t>
      </w:r>
      <w:r w:rsidRPr="00AF0C04">
        <w:rPr>
          <w:rFonts w:hAnsi="標楷體" w:hint="eastAsia"/>
          <w:snapToGrid w:val="0"/>
          <w:kern w:val="2"/>
          <w:szCs w:val="28"/>
          <w:lang w:eastAsia="zh-HK"/>
        </w:rPr>
        <w:t>室內活動場所-室內出入口</w:t>
      </w:r>
      <w:r>
        <w:rPr>
          <w:rFonts w:hAnsi="標楷體" w:hint="eastAsia"/>
          <w:snapToGrid w:val="0"/>
          <w:kern w:val="2"/>
          <w:szCs w:val="28"/>
          <w:lang w:eastAsia="zh-HK"/>
        </w:rPr>
        <w:t>合格率</w:t>
      </w:r>
      <w:r>
        <w:rPr>
          <w:rFonts w:hAnsi="標楷體" w:hint="eastAsia"/>
          <w:snapToGrid w:val="0"/>
          <w:kern w:val="2"/>
          <w:szCs w:val="28"/>
        </w:rPr>
        <w:t>23%</w:t>
      </w:r>
      <w:r>
        <w:rPr>
          <w:rFonts w:hAnsi="標楷體" w:hint="eastAsia"/>
          <w:snapToGrid w:val="0"/>
          <w:kern w:val="2"/>
          <w:szCs w:val="28"/>
          <w:lang w:eastAsia="zh-HK"/>
        </w:rPr>
        <w:t>最低，其次為</w:t>
      </w:r>
      <w:r w:rsidRPr="00AF0C04">
        <w:rPr>
          <w:rFonts w:hAnsi="標楷體" w:hint="eastAsia"/>
          <w:snapToGrid w:val="0"/>
          <w:kern w:val="2"/>
          <w:szCs w:val="28"/>
          <w:lang w:eastAsia="zh-HK"/>
        </w:rPr>
        <w:t>公共建築物-一般男廁</w:t>
      </w:r>
      <w:r>
        <w:rPr>
          <w:rFonts w:hAnsi="標楷體" w:hint="eastAsia"/>
          <w:snapToGrid w:val="0"/>
          <w:kern w:val="2"/>
          <w:szCs w:val="28"/>
        </w:rPr>
        <w:t>32%</w:t>
      </w:r>
      <w:r>
        <w:rPr>
          <w:rFonts w:hAnsi="標楷體" w:hint="eastAsia"/>
          <w:snapToGrid w:val="0"/>
          <w:kern w:val="2"/>
          <w:szCs w:val="28"/>
          <w:lang w:eastAsia="zh-HK"/>
        </w:rPr>
        <w:t>及</w:t>
      </w:r>
      <w:r w:rsidRPr="00AF0C04">
        <w:rPr>
          <w:rFonts w:hAnsi="標楷體" w:hint="eastAsia"/>
          <w:snapToGrid w:val="0"/>
          <w:kern w:val="2"/>
          <w:szCs w:val="28"/>
          <w:lang w:eastAsia="zh-HK"/>
        </w:rPr>
        <w:t>廁所盥洗室</w:t>
      </w:r>
      <w:r>
        <w:rPr>
          <w:rFonts w:hAnsi="標楷體" w:hint="eastAsia"/>
          <w:snapToGrid w:val="0"/>
          <w:kern w:val="2"/>
          <w:szCs w:val="28"/>
        </w:rPr>
        <w:t>33%(</w:t>
      </w:r>
      <w:r>
        <w:rPr>
          <w:rFonts w:hAnsi="標楷體" w:hint="eastAsia"/>
          <w:snapToGrid w:val="0"/>
          <w:kern w:val="2"/>
          <w:szCs w:val="28"/>
          <w:lang w:eastAsia="zh-HK"/>
        </w:rPr>
        <w:t>詳表</w:t>
      </w:r>
      <w:r>
        <w:rPr>
          <w:rFonts w:hAnsi="標楷體" w:hint="eastAsia"/>
          <w:snapToGrid w:val="0"/>
          <w:kern w:val="2"/>
          <w:szCs w:val="28"/>
        </w:rPr>
        <w:t>1)。</w:t>
      </w:r>
    </w:p>
    <w:p w:rsidR="00B84C11" w:rsidRPr="00B84C11" w:rsidRDefault="00B84C11" w:rsidP="00C60A46">
      <w:pPr>
        <w:widowControl w:val="0"/>
        <w:adjustRightInd w:val="0"/>
        <w:spacing w:beforeLines="50" w:before="120" w:line="0" w:lineRule="atLeast"/>
        <w:ind w:leftChars="300" w:left="1681" w:hangingChars="300" w:hanging="841"/>
        <w:rPr>
          <w:rFonts w:hAnsi="標楷體"/>
          <w:snapToGrid w:val="0"/>
          <w:kern w:val="2"/>
          <w:sz w:val="24"/>
          <w:szCs w:val="24"/>
        </w:rPr>
      </w:pPr>
      <w:r w:rsidRPr="00B84C11">
        <w:rPr>
          <w:rFonts w:hAnsi="標楷體" w:hint="eastAsia"/>
          <w:b/>
          <w:snapToGrid w:val="0"/>
          <w:kern w:val="2"/>
          <w:szCs w:val="28"/>
        </w:rPr>
        <w:t>表</w:t>
      </w:r>
      <w:r w:rsidR="00C60A46">
        <w:rPr>
          <w:rFonts w:hAnsi="標楷體"/>
          <w:b/>
          <w:snapToGrid w:val="0"/>
          <w:kern w:val="2"/>
          <w:szCs w:val="28"/>
        </w:rPr>
        <w:t>1</w:t>
      </w:r>
      <w:r w:rsidRPr="00B84C11">
        <w:rPr>
          <w:rFonts w:hAnsi="標楷體"/>
          <w:b/>
          <w:snapToGrid w:val="0"/>
          <w:kern w:val="2"/>
          <w:szCs w:val="28"/>
        </w:rPr>
        <w:t xml:space="preserve">  </w:t>
      </w:r>
      <w:r w:rsidRPr="00B84C11">
        <w:rPr>
          <w:rFonts w:hAnsi="標楷體" w:hint="eastAsia"/>
          <w:b/>
          <w:snapToGrid w:val="0"/>
          <w:kern w:val="2"/>
          <w:szCs w:val="28"/>
        </w:rPr>
        <w:t>公立高級中等以下學校及特殊教育學校無障礙設施設備盤點情形統計表</w:t>
      </w:r>
      <w:r w:rsidRPr="00B84C11">
        <w:rPr>
          <w:rFonts w:hAnsi="標楷體"/>
          <w:b/>
          <w:snapToGrid w:val="0"/>
          <w:kern w:val="2"/>
          <w:szCs w:val="28"/>
        </w:rPr>
        <w:t xml:space="preserve">          </w:t>
      </w:r>
      <w:r w:rsidR="005C19AE">
        <w:rPr>
          <w:rFonts w:hAnsi="標楷體"/>
          <w:b/>
          <w:snapToGrid w:val="0"/>
          <w:kern w:val="2"/>
          <w:szCs w:val="28"/>
        </w:rPr>
        <w:t xml:space="preserve"> </w:t>
      </w:r>
      <w:r w:rsidR="00AF0C04">
        <w:rPr>
          <w:rFonts w:hAnsi="標楷體"/>
          <w:b/>
          <w:snapToGrid w:val="0"/>
          <w:kern w:val="2"/>
          <w:szCs w:val="28"/>
        </w:rPr>
        <w:t xml:space="preserve">              </w:t>
      </w:r>
      <w:r w:rsidRPr="00B84C11">
        <w:rPr>
          <w:rFonts w:hAnsi="標楷體" w:hint="eastAsia"/>
          <w:snapToGrid w:val="0"/>
          <w:kern w:val="2"/>
          <w:sz w:val="24"/>
          <w:szCs w:val="24"/>
        </w:rPr>
        <w:t>單位：</w:t>
      </w:r>
      <w:r w:rsidR="00AF0C04">
        <w:rPr>
          <w:rFonts w:hAnsi="標楷體" w:hint="eastAsia"/>
          <w:snapToGrid w:val="0"/>
          <w:kern w:val="2"/>
          <w:sz w:val="24"/>
          <w:szCs w:val="24"/>
          <w:lang w:eastAsia="zh-HK"/>
        </w:rPr>
        <w:t>項</w:t>
      </w:r>
      <w:r w:rsidR="00AF0C04">
        <w:rPr>
          <w:rFonts w:hAnsi="標楷體" w:hint="eastAsia"/>
          <w:snapToGrid w:val="0"/>
          <w:kern w:val="2"/>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3686"/>
        <w:gridCol w:w="1701"/>
        <w:gridCol w:w="1302"/>
      </w:tblGrid>
      <w:tr w:rsidR="00AF0C04" w:rsidRPr="00D24F8F" w:rsidTr="00596AE2">
        <w:trPr>
          <w:trHeight w:val="20"/>
          <w:tblHeader/>
          <w:jc w:val="right"/>
        </w:trPr>
        <w:tc>
          <w:tcPr>
            <w:tcW w:w="992" w:type="dxa"/>
            <w:noWrap/>
            <w:hideMark/>
          </w:tcPr>
          <w:p w:rsidR="00AF0C04" w:rsidRPr="00D24F8F" w:rsidRDefault="00AF0C04" w:rsidP="00D24F8F">
            <w:pPr>
              <w:pStyle w:val="142"/>
              <w:ind w:firstLine="14"/>
            </w:pPr>
            <w:r w:rsidRPr="00D24F8F">
              <w:rPr>
                <w:rFonts w:hint="eastAsia"/>
              </w:rPr>
              <w:t>項次</w:t>
            </w:r>
          </w:p>
        </w:tc>
        <w:tc>
          <w:tcPr>
            <w:tcW w:w="3686" w:type="dxa"/>
            <w:noWrap/>
            <w:hideMark/>
          </w:tcPr>
          <w:p w:rsidR="00AF0C04" w:rsidRPr="00D24F8F" w:rsidRDefault="00AF0C04" w:rsidP="00D24F8F">
            <w:pPr>
              <w:pStyle w:val="142"/>
              <w:ind w:firstLine="14"/>
            </w:pPr>
            <w:r w:rsidRPr="00D24F8F">
              <w:rPr>
                <w:rFonts w:hint="eastAsia"/>
              </w:rPr>
              <w:t>設施名稱</w:t>
            </w:r>
          </w:p>
        </w:tc>
        <w:tc>
          <w:tcPr>
            <w:tcW w:w="1701" w:type="dxa"/>
            <w:noWrap/>
            <w:hideMark/>
          </w:tcPr>
          <w:p w:rsidR="00AF0C04" w:rsidRPr="00D24F8F" w:rsidRDefault="00AF0C04" w:rsidP="00D24F8F">
            <w:pPr>
              <w:pStyle w:val="142"/>
              <w:ind w:firstLine="14"/>
            </w:pPr>
            <w:r w:rsidRPr="00D24F8F">
              <w:rPr>
                <w:rFonts w:hint="eastAsia"/>
              </w:rPr>
              <w:t>總數</w:t>
            </w:r>
          </w:p>
        </w:tc>
        <w:tc>
          <w:tcPr>
            <w:tcW w:w="1302" w:type="dxa"/>
            <w:hideMark/>
          </w:tcPr>
          <w:p w:rsidR="00AF0C04" w:rsidRPr="00D24F8F" w:rsidRDefault="00AF0C04" w:rsidP="00D24F8F">
            <w:pPr>
              <w:pStyle w:val="142"/>
              <w:ind w:firstLine="14"/>
            </w:pPr>
            <w:r w:rsidRPr="00D24F8F">
              <w:rPr>
                <w:rFonts w:hint="eastAsia"/>
              </w:rPr>
              <w:t>合格率</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公共建築物-室外引導通路</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17,404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60</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2</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公共建築物-坡道及扶手</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14,394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52</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3</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公共建築物-避難層出入口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13,944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78</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4</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公共建築物-室內出入口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13,650</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61</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5</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公共建築物-樓梯</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17,004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34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6</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公共建築物-廁所盥洗室</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16,862</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33</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7</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公共建築物-室內通路走廊</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20,349</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86</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8</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公共建築物-昇降設備</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11,853</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43</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9</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公共建築物-浴室</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9,129</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94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10</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公共建築物-觀眾席</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9,279</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84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11</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公共建築物-停車位</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10,095</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59</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12</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公共建築物-一般男廁</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20,683</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32</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13</w:t>
            </w:r>
          </w:p>
        </w:tc>
        <w:tc>
          <w:tcPr>
            <w:tcW w:w="3686" w:type="dxa"/>
            <w:hideMark/>
          </w:tcPr>
          <w:p w:rsidR="00AF0C04" w:rsidRPr="00AF0C04" w:rsidRDefault="00AF0C04" w:rsidP="00AF0C04">
            <w:pPr>
              <w:pStyle w:val="142"/>
              <w:ind w:firstLine="14"/>
              <w:rPr>
                <w:snapToGrid w:val="0"/>
              </w:rPr>
            </w:pPr>
            <w:r w:rsidRPr="00AF0C04">
              <w:rPr>
                <w:rFonts w:hint="eastAsia"/>
                <w:snapToGrid w:val="0"/>
              </w:rPr>
              <w:t>室內活動場所-坡道及扶手</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41,796</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82</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14</w:t>
            </w:r>
          </w:p>
        </w:tc>
        <w:tc>
          <w:tcPr>
            <w:tcW w:w="3686" w:type="dxa"/>
            <w:hideMark/>
          </w:tcPr>
          <w:p w:rsidR="00AF0C04" w:rsidRPr="00AF0C04" w:rsidRDefault="00AF0C04" w:rsidP="00AF0C04">
            <w:pPr>
              <w:pStyle w:val="142"/>
              <w:ind w:firstLine="14"/>
              <w:rPr>
                <w:snapToGrid w:val="0"/>
              </w:rPr>
            </w:pPr>
            <w:r w:rsidRPr="00AF0C04">
              <w:rPr>
                <w:rFonts w:hint="eastAsia"/>
                <w:snapToGrid w:val="0"/>
              </w:rPr>
              <w:t>室內活動場所-室內出入口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50,257</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23</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15</w:t>
            </w:r>
          </w:p>
        </w:tc>
        <w:tc>
          <w:tcPr>
            <w:tcW w:w="3686" w:type="dxa"/>
            <w:hideMark/>
          </w:tcPr>
          <w:p w:rsidR="00AF0C04" w:rsidRPr="00AF0C04" w:rsidRDefault="00AF0C04" w:rsidP="00AF0C04">
            <w:pPr>
              <w:pStyle w:val="142"/>
              <w:ind w:firstLine="14"/>
              <w:rPr>
                <w:snapToGrid w:val="0"/>
              </w:rPr>
            </w:pPr>
            <w:r w:rsidRPr="00AF0C04">
              <w:rPr>
                <w:rFonts w:hint="eastAsia"/>
                <w:snapToGrid w:val="0"/>
              </w:rPr>
              <w:t>室內活動場所-室內通路走廊</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46,594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94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16</w:t>
            </w:r>
          </w:p>
        </w:tc>
        <w:tc>
          <w:tcPr>
            <w:tcW w:w="3686" w:type="dxa"/>
            <w:hideMark/>
          </w:tcPr>
          <w:p w:rsidR="00AF0C04" w:rsidRPr="00AF0C04" w:rsidRDefault="00AF0C04" w:rsidP="00AF0C04">
            <w:pPr>
              <w:pStyle w:val="142"/>
              <w:ind w:firstLine="14"/>
              <w:rPr>
                <w:snapToGrid w:val="0"/>
              </w:rPr>
            </w:pPr>
            <w:r w:rsidRPr="00AF0C04">
              <w:rPr>
                <w:rFonts w:hint="eastAsia"/>
                <w:snapToGrid w:val="0"/>
              </w:rPr>
              <w:t>戶外活動場所-室外引導通路</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15,135</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51</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17</w:t>
            </w:r>
          </w:p>
        </w:tc>
        <w:tc>
          <w:tcPr>
            <w:tcW w:w="3686" w:type="dxa"/>
            <w:hideMark/>
          </w:tcPr>
          <w:p w:rsidR="00AF0C04" w:rsidRPr="00AF0C04" w:rsidRDefault="00AF0C04" w:rsidP="00AF0C04">
            <w:pPr>
              <w:pStyle w:val="142"/>
              <w:ind w:firstLine="14"/>
              <w:rPr>
                <w:snapToGrid w:val="0"/>
              </w:rPr>
            </w:pPr>
            <w:r w:rsidRPr="00AF0C04">
              <w:rPr>
                <w:rFonts w:hint="eastAsia"/>
                <w:snapToGrid w:val="0"/>
              </w:rPr>
              <w:t>戶外活動場所-坡道及扶手</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13,900</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69</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18</w:t>
            </w:r>
          </w:p>
        </w:tc>
        <w:tc>
          <w:tcPr>
            <w:tcW w:w="3686" w:type="dxa"/>
            <w:hideMark/>
          </w:tcPr>
          <w:p w:rsidR="00AF0C04" w:rsidRPr="00AF0C04" w:rsidRDefault="00AF0C04" w:rsidP="00AF0C04">
            <w:pPr>
              <w:pStyle w:val="142"/>
              <w:ind w:firstLine="14"/>
              <w:rPr>
                <w:snapToGrid w:val="0"/>
              </w:rPr>
            </w:pPr>
            <w:r w:rsidRPr="00AF0C04">
              <w:rPr>
                <w:rFonts w:hint="eastAsia"/>
                <w:snapToGrid w:val="0"/>
              </w:rPr>
              <w:t>戶外活動場所-出入口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13,372</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91</w:t>
            </w:r>
          </w:p>
        </w:tc>
      </w:tr>
      <w:tr w:rsidR="00596AE2" w:rsidRPr="00AF0C04" w:rsidTr="00905E92">
        <w:trPr>
          <w:trHeight w:val="113"/>
          <w:jc w:val="right"/>
        </w:trPr>
        <w:tc>
          <w:tcPr>
            <w:tcW w:w="4678" w:type="dxa"/>
            <w:gridSpan w:val="2"/>
            <w:noWrap/>
            <w:vAlign w:val="bottom"/>
            <w:hideMark/>
          </w:tcPr>
          <w:p w:rsidR="00596AE2" w:rsidRPr="00AF0C04" w:rsidRDefault="00596AE2" w:rsidP="00D24F8F">
            <w:pPr>
              <w:pStyle w:val="142"/>
              <w:ind w:firstLine="14"/>
              <w:rPr>
                <w:snapToGrid w:val="0"/>
              </w:rPr>
            </w:pPr>
            <w:r w:rsidRPr="00AF0C04">
              <w:rPr>
                <w:rFonts w:hint="eastAsia"/>
                <w:snapToGrid w:val="0"/>
              </w:rPr>
              <w:t>小計</w:t>
            </w:r>
          </w:p>
        </w:tc>
        <w:tc>
          <w:tcPr>
            <w:tcW w:w="1701" w:type="dxa"/>
            <w:noWrap/>
            <w:vAlign w:val="center"/>
            <w:hideMark/>
          </w:tcPr>
          <w:p w:rsidR="00596AE2" w:rsidRPr="00596AE2" w:rsidRDefault="00596AE2" w:rsidP="00AF0C04">
            <w:pPr>
              <w:pStyle w:val="142"/>
              <w:ind w:firstLine="14"/>
              <w:jc w:val="right"/>
              <w:rPr>
                <w:b/>
                <w:snapToGrid w:val="0"/>
              </w:rPr>
            </w:pPr>
            <w:r w:rsidRPr="00596AE2">
              <w:rPr>
                <w:rFonts w:hint="eastAsia"/>
                <w:b/>
                <w:snapToGrid w:val="0"/>
              </w:rPr>
              <w:t>355,700</w:t>
            </w:r>
          </w:p>
        </w:tc>
        <w:tc>
          <w:tcPr>
            <w:tcW w:w="1302" w:type="dxa"/>
            <w:vAlign w:val="center"/>
            <w:hideMark/>
          </w:tcPr>
          <w:p w:rsidR="00596AE2" w:rsidRPr="00596AE2" w:rsidRDefault="00596AE2" w:rsidP="00AF0C04">
            <w:pPr>
              <w:pStyle w:val="142"/>
              <w:ind w:firstLine="14"/>
              <w:jc w:val="right"/>
              <w:rPr>
                <w:b/>
                <w:snapToGrid w:val="0"/>
              </w:rPr>
            </w:pPr>
            <w:r w:rsidRPr="00596AE2">
              <w:rPr>
                <w:rFonts w:hint="eastAsia"/>
                <w:b/>
                <w:snapToGrid w:val="0"/>
              </w:rPr>
              <w:t>61</w:t>
            </w:r>
          </w:p>
        </w:tc>
      </w:tr>
    </w:tbl>
    <w:p w:rsidR="00B84C11" w:rsidRPr="00B84C11" w:rsidRDefault="00B84C11" w:rsidP="00B84C11">
      <w:pPr>
        <w:widowControl w:val="0"/>
        <w:spacing w:line="280" w:lineRule="exact"/>
        <w:ind w:leftChars="301" w:left="2240" w:hangingChars="582" w:hanging="1397"/>
        <w:rPr>
          <w:rFonts w:hAnsi="標楷體"/>
          <w:snapToGrid w:val="0"/>
          <w:kern w:val="2"/>
          <w:sz w:val="24"/>
          <w:szCs w:val="28"/>
        </w:rPr>
      </w:pPr>
      <w:r w:rsidRPr="00B84C11">
        <w:rPr>
          <w:rFonts w:hAnsi="標楷體" w:hint="eastAsia"/>
          <w:snapToGrid w:val="0"/>
          <w:kern w:val="2"/>
          <w:sz w:val="24"/>
          <w:szCs w:val="28"/>
        </w:rPr>
        <w:t xml:space="preserve">說 </w:t>
      </w:r>
      <w:r w:rsidRPr="00B84C11">
        <w:rPr>
          <w:rFonts w:hAnsi="標楷體"/>
          <w:snapToGrid w:val="0"/>
          <w:kern w:val="2"/>
          <w:sz w:val="24"/>
          <w:szCs w:val="28"/>
        </w:rPr>
        <w:t xml:space="preserve">   </w:t>
      </w:r>
      <w:r w:rsidRPr="00B84C11">
        <w:rPr>
          <w:rFonts w:hAnsi="標楷體" w:hint="eastAsia"/>
          <w:snapToGrid w:val="0"/>
          <w:kern w:val="2"/>
          <w:sz w:val="24"/>
          <w:szCs w:val="28"/>
        </w:rPr>
        <w:t>明：本表清查日期截至11</w:t>
      </w:r>
      <w:r w:rsidR="00AF0C04">
        <w:rPr>
          <w:rFonts w:hAnsi="標楷體" w:hint="eastAsia"/>
          <w:snapToGrid w:val="0"/>
          <w:kern w:val="2"/>
          <w:sz w:val="24"/>
          <w:szCs w:val="28"/>
        </w:rPr>
        <w:t>4</w:t>
      </w:r>
      <w:r w:rsidRPr="00B84C11">
        <w:rPr>
          <w:rFonts w:hAnsi="標楷體" w:hint="eastAsia"/>
          <w:snapToGrid w:val="0"/>
          <w:kern w:val="2"/>
          <w:sz w:val="24"/>
          <w:szCs w:val="28"/>
        </w:rPr>
        <w:t>年</w:t>
      </w:r>
      <w:r w:rsidRPr="00B84C11">
        <w:rPr>
          <w:rFonts w:hAnsi="標楷體"/>
          <w:snapToGrid w:val="0"/>
          <w:kern w:val="2"/>
          <w:sz w:val="24"/>
          <w:szCs w:val="28"/>
        </w:rPr>
        <w:t>8</w:t>
      </w:r>
      <w:r w:rsidRPr="00B84C11">
        <w:rPr>
          <w:rFonts w:hAnsi="標楷體" w:hint="eastAsia"/>
          <w:snapToGrid w:val="0"/>
          <w:kern w:val="2"/>
          <w:sz w:val="24"/>
          <w:szCs w:val="28"/>
        </w:rPr>
        <w:t>月。</w:t>
      </w:r>
    </w:p>
    <w:p w:rsidR="00B84C11" w:rsidRDefault="00B84C11" w:rsidP="00B84C11">
      <w:pPr>
        <w:widowControl w:val="0"/>
        <w:spacing w:line="280" w:lineRule="exact"/>
        <w:ind w:leftChars="50" w:left="140" w:firstLineChars="300" w:firstLine="720"/>
        <w:rPr>
          <w:rFonts w:hAnsi="標楷體"/>
          <w:snapToGrid w:val="0"/>
          <w:kern w:val="2"/>
          <w:sz w:val="24"/>
          <w:szCs w:val="28"/>
        </w:rPr>
      </w:pPr>
      <w:r w:rsidRPr="00B84C11">
        <w:rPr>
          <w:rFonts w:hAnsi="標楷體" w:hint="eastAsia"/>
          <w:snapToGrid w:val="0"/>
          <w:kern w:val="2"/>
          <w:sz w:val="24"/>
          <w:szCs w:val="28"/>
        </w:rPr>
        <w:t>資料來源：國教署提供。</w:t>
      </w:r>
    </w:p>
    <w:p w:rsidR="00B84C11" w:rsidRPr="00B84C11" w:rsidRDefault="00B84C11" w:rsidP="00A37408">
      <w:pPr>
        <w:pStyle w:val="a4"/>
        <w:rPr>
          <w:rFonts w:hint="eastAsia"/>
        </w:rPr>
      </w:pPr>
      <w:r>
        <w:rPr>
          <w:rFonts w:hint="eastAsia"/>
        </w:rPr>
        <w:t>(二</w:t>
      </w:r>
      <w:r>
        <w:t>)</w:t>
      </w:r>
      <w:r w:rsidRPr="00B84C11">
        <w:rPr>
          <w:rFonts w:hint="eastAsia"/>
        </w:rPr>
        <w:t>幼兒園無障礙設施規範</w:t>
      </w:r>
      <w:r w:rsidR="00AF0C04">
        <w:rPr>
          <w:rFonts w:hint="eastAsia"/>
          <w:lang w:eastAsia="zh-HK"/>
        </w:rPr>
        <w:t>仍</w:t>
      </w:r>
      <w:r w:rsidRPr="00B84C11">
        <w:rPr>
          <w:rFonts w:hint="eastAsia"/>
        </w:rPr>
        <w:t>待研議</w:t>
      </w:r>
    </w:p>
    <w:p w:rsidR="00B84C11" w:rsidRPr="00B84C11" w:rsidRDefault="00B84C11" w:rsidP="00B84C11">
      <w:pPr>
        <w:widowControl w:val="0"/>
        <w:adjustRightInd w:val="0"/>
        <w:ind w:leftChars="300" w:left="840" w:firstLine="560"/>
        <w:rPr>
          <w:rFonts w:hAnsi="Times New Roman"/>
          <w:snapToGrid w:val="0"/>
          <w:kern w:val="2"/>
          <w:szCs w:val="28"/>
        </w:rPr>
      </w:pPr>
      <w:r>
        <w:rPr>
          <w:rFonts w:hAnsi="Times New Roman" w:hint="eastAsia"/>
          <w:snapToGrid w:val="0"/>
          <w:kern w:val="2"/>
          <w:szCs w:val="28"/>
        </w:rPr>
        <w:t>據國教署表示</w:t>
      </w:r>
      <w:r>
        <w:rPr>
          <w:rFonts w:hAnsi="標楷體" w:hint="eastAsia"/>
          <w:snapToGrid w:val="0"/>
          <w:kern w:val="2"/>
          <w:szCs w:val="28"/>
        </w:rPr>
        <w:t>，</w:t>
      </w:r>
      <w:r w:rsidRPr="00B84C11">
        <w:rPr>
          <w:rFonts w:hAnsi="Times New Roman" w:hint="eastAsia"/>
          <w:snapToGrid w:val="0"/>
          <w:kern w:val="2"/>
          <w:szCs w:val="28"/>
        </w:rPr>
        <w:t>「公立高級中等以下學校及特殊教育學校無障礙設施設備設置要點」無障礙</w:t>
      </w:r>
      <w:r w:rsidR="00596AE2">
        <w:rPr>
          <w:rFonts w:hAnsi="Times New Roman" w:hint="eastAsia"/>
          <w:snapToGrid w:val="0"/>
          <w:kern w:val="2"/>
          <w:szCs w:val="28"/>
          <w:lang w:eastAsia="zh-HK"/>
        </w:rPr>
        <w:t>衛生設備</w:t>
      </w:r>
      <w:r w:rsidRPr="00B84C11">
        <w:rPr>
          <w:rFonts w:hAnsi="Times New Roman" w:hint="eastAsia"/>
          <w:snapToGrid w:val="0"/>
          <w:kern w:val="2"/>
          <w:szCs w:val="28"/>
        </w:rPr>
        <w:t>規範均為成人尺寸，不符合幼兒園身心障礙幼兒需求，幼兒園尚難一體適用前揭規範，刻正</w:t>
      </w:r>
      <w:r w:rsidR="00596AE2">
        <w:rPr>
          <w:rFonts w:hAnsi="Times New Roman" w:hint="eastAsia"/>
          <w:snapToGrid w:val="0"/>
          <w:kern w:val="2"/>
          <w:szCs w:val="28"/>
          <w:lang w:eastAsia="zh-HK"/>
        </w:rPr>
        <w:t>辦理</w:t>
      </w:r>
      <w:r w:rsidRPr="00B84C11">
        <w:rPr>
          <w:rFonts w:hAnsi="Times New Roman" w:hint="eastAsia"/>
          <w:snapToGrid w:val="0"/>
          <w:kern w:val="2"/>
          <w:szCs w:val="28"/>
        </w:rPr>
        <w:t>「幼兒園及其分班基本設施設備標準」修正</w:t>
      </w:r>
      <w:r w:rsidR="00596AE2">
        <w:rPr>
          <w:rFonts w:hAnsi="Times New Roman" w:hint="eastAsia"/>
          <w:snapToGrid w:val="0"/>
          <w:kern w:val="2"/>
          <w:szCs w:val="28"/>
          <w:lang w:eastAsia="zh-HK"/>
        </w:rPr>
        <w:t>作業</w:t>
      </w:r>
      <w:r w:rsidRPr="00B84C11">
        <w:rPr>
          <w:rFonts w:hAnsi="Times New Roman" w:hint="eastAsia"/>
          <w:snapToGrid w:val="0"/>
          <w:kern w:val="2"/>
          <w:szCs w:val="28"/>
        </w:rPr>
        <w:t>，</w:t>
      </w:r>
      <w:r w:rsidR="00596AE2" w:rsidRPr="00596AE2">
        <w:rPr>
          <w:rFonts w:hAnsi="Times New Roman" w:hint="eastAsia"/>
          <w:snapToGrid w:val="0"/>
          <w:kern w:val="2"/>
          <w:szCs w:val="28"/>
        </w:rPr>
        <w:t>將幼兒無障礙衛生設備規</w:t>
      </w:r>
      <w:r w:rsidR="00596AE2">
        <w:rPr>
          <w:rFonts w:hAnsi="Times New Roman" w:hint="eastAsia"/>
          <w:snapToGrid w:val="0"/>
          <w:kern w:val="2"/>
          <w:szCs w:val="28"/>
          <w:lang w:eastAsia="zh-HK"/>
        </w:rPr>
        <w:t>範</w:t>
      </w:r>
      <w:r w:rsidR="00596AE2" w:rsidRPr="00596AE2">
        <w:rPr>
          <w:rFonts w:hAnsi="Times New Roman" w:hint="eastAsia"/>
          <w:snapToGrid w:val="0"/>
          <w:kern w:val="2"/>
          <w:szCs w:val="28"/>
        </w:rPr>
        <w:t>納入</w:t>
      </w:r>
      <w:r w:rsidR="00596AE2">
        <w:rPr>
          <w:rFonts w:hAnsi="Times New Roman" w:hint="eastAsia"/>
          <w:snapToGrid w:val="0"/>
          <w:kern w:val="2"/>
          <w:szCs w:val="28"/>
          <w:lang w:eastAsia="zh-HK"/>
        </w:rPr>
        <w:t>修正</w:t>
      </w:r>
      <w:r w:rsidR="00596AE2">
        <w:rPr>
          <w:rFonts w:hAnsi="標楷體" w:hint="eastAsia"/>
          <w:snapToGrid w:val="0"/>
          <w:kern w:val="2"/>
          <w:szCs w:val="28"/>
        </w:rPr>
        <w:t>，</w:t>
      </w:r>
      <w:r w:rsidRPr="00B84C11">
        <w:rPr>
          <w:rFonts w:hAnsi="Times New Roman" w:hint="eastAsia"/>
          <w:snapToGrid w:val="0"/>
          <w:kern w:val="2"/>
          <w:szCs w:val="28"/>
        </w:rPr>
        <w:t>並透過「補助直轄市縣（市）政府充實及改善幼兒園教學環境設施設備作業要點」另予補助，以優化及逐年引導各市、縣政府改善幼兒園無障礙設施設備。</w:t>
      </w:r>
    </w:p>
    <w:p w:rsidR="00B84C11" w:rsidRPr="00B84C11" w:rsidRDefault="00B84C11" w:rsidP="00B84C11">
      <w:pPr>
        <w:widowControl w:val="0"/>
        <w:ind w:left="840" w:hangingChars="100" w:hanging="280"/>
        <w:rPr>
          <w:rFonts w:hAnsi="Times New Roman"/>
          <w:b/>
          <w:snapToGrid w:val="0"/>
          <w:kern w:val="2"/>
          <w:szCs w:val="28"/>
        </w:rPr>
      </w:pPr>
      <w:r w:rsidRPr="00B84C11">
        <w:rPr>
          <w:rFonts w:hAnsi="Times New Roman" w:hint="eastAsia"/>
          <w:b/>
          <w:snapToGrid w:val="0"/>
          <w:kern w:val="2"/>
          <w:szCs w:val="28"/>
        </w:rPr>
        <w:t>(三</w:t>
      </w:r>
      <w:r w:rsidRPr="00B84C11">
        <w:rPr>
          <w:rFonts w:hAnsi="Times New Roman"/>
          <w:b/>
          <w:snapToGrid w:val="0"/>
          <w:kern w:val="2"/>
          <w:szCs w:val="28"/>
        </w:rPr>
        <w:t>)</w:t>
      </w:r>
      <w:r w:rsidRPr="00B84C11">
        <w:rPr>
          <w:rFonts w:hAnsi="Times New Roman" w:hint="eastAsia"/>
          <w:b/>
          <w:snapToGrid w:val="0"/>
          <w:kern w:val="2"/>
          <w:szCs w:val="28"/>
        </w:rPr>
        <w:t>高級中等以下學校及幼兒園無障礙設施資訊</w:t>
      </w:r>
      <w:r w:rsidRPr="00B84C11">
        <w:rPr>
          <w:rFonts w:hAnsi="標楷體" w:hint="eastAsia"/>
          <w:b/>
          <w:snapToGrid w:val="0"/>
          <w:kern w:val="2"/>
          <w:szCs w:val="28"/>
        </w:rPr>
        <w:t>，皆</w:t>
      </w:r>
      <w:r w:rsidR="00AF0C04">
        <w:rPr>
          <w:rFonts w:hAnsi="標楷體" w:hint="eastAsia"/>
          <w:b/>
          <w:snapToGrid w:val="0"/>
          <w:kern w:val="2"/>
          <w:szCs w:val="28"/>
          <w:lang w:eastAsia="zh-HK"/>
        </w:rPr>
        <w:t>尚</w:t>
      </w:r>
      <w:r w:rsidR="00234AA5">
        <w:rPr>
          <w:rFonts w:hAnsi="標楷體" w:hint="eastAsia"/>
          <w:b/>
          <w:snapToGrid w:val="0"/>
          <w:kern w:val="2"/>
          <w:szCs w:val="28"/>
          <w:lang w:eastAsia="zh-HK"/>
        </w:rPr>
        <w:t>未</w:t>
      </w:r>
      <w:r w:rsidRPr="00B84C11">
        <w:rPr>
          <w:rFonts w:hAnsi="Times New Roman" w:hint="eastAsia"/>
          <w:b/>
          <w:snapToGrid w:val="0"/>
          <w:kern w:val="2"/>
          <w:szCs w:val="28"/>
        </w:rPr>
        <w:t>達可及</w:t>
      </w:r>
      <w:r w:rsidRPr="00B84C11">
        <w:rPr>
          <w:rFonts w:hAnsi="Times New Roman" w:hint="eastAsia"/>
          <w:b/>
          <w:snapToGrid w:val="0"/>
          <w:kern w:val="2"/>
          <w:szCs w:val="28"/>
        </w:rPr>
        <w:lastRenderedPageBreak/>
        <w:t>性</w:t>
      </w:r>
      <w:r w:rsidRPr="00B84C11">
        <w:rPr>
          <w:rFonts w:hAnsi="標楷體" w:hint="eastAsia"/>
          <w:b/>
          <w:snapToGrid w:val="0"/>
          <w:kern w:val="2"/>
          <w:szCs w:val="28"/>
        </w:rPr>
        <w:t>，</w:t>
      </w:r>
      <w:r w:rsidRPr="00B84C11">
        <w:rPr>
          <w:rFonts w:hAnsi="Times New Roman" w:hint="eastAsia"/>
          <w:b/>
          <w:snapToGrid w:val="0"/>
          <w:kern w:val="2"/>
          <w:szCs w:val="28"/>
        </w:rPr>
        <w:t>允宜儘速改善</w:t>
      </w:r>
    </w:p>
    <w:p w:rsidR="00B84C11" w:rsidRPr="00B84C11" w:rsidRDefault="00B84C11" w:rsidP="00B84C11">
      <w:pPr>
        <w:widowControl w:val="0"/>
        <w:adjustRightInd w:val="0"/>
        <w:ind w:leftChars="300" w:left="840" w:firstLine="560"/>
        <w:rPr>
          <w:rFonts w:hAnsi="標楷體"/>
          <w:snapToGrid w:val="0"/>
          <w:kern w:val="2"/>
          <w:szCs w:val="28"/>
        </w:rPr>
      </w:pPr>
      <w:r w:rsidRPr="00B84C11">
        <w:rPr>
          <w:rFonts w:hAnsi="Times New Roman" w:hint="eastAsia"/>
          <w:kern w:val="2"/>
          <w:szCs w:val="28"/>
        </w:rPr>
        <w:t>按特殊教育中程計畫第2期</w:t>
      </w:r>
      <w:r w:rsidR="005C19AE">
        <w:rPr>
          <w:rFonts w:hAnsi="Times New Roman" w:hint="eastAsia"/>
          <w:kern w:val="2"/>
          <w:szCs w:val="28"/>
        </w:rPr>
        <w:t>(</w:t>
      </w:r>
      <w:r w:rsidR="005C19AE">
        <w:rPr>
          <w:rFonts w:hAnsi="Times New Roman"/>
          <w:kern w:val="2"/>
          <w:szCs w:val="28"/>
        </w:rPr>
        <w:t>112</w:t>
      </w:r>
      <w:r w:rsidR="00234AA5">
        <w:rPr>
          <w:rFonts w:hAnsi="Times New Roman" w:hint="eastAsia"/>
          <w:kern w:val="2"/>
          <w:szCs w:val="28"/>
          <w:lang w:eastAsia="zh-HK"/>
        </w:rPr>
        <w:t>至</w:t>
      </w:r>
      <w:r w:rsidR="005C19AE">
        <w:rPr>
          <w:rFonts w:hAnsi="Times New Roman"/>
          <w:kern w:val="2"/>
          <w:szCs w:val="28"/>
        </w:rPr>
        <w:t>116</w:t>
      </w:r>
      <w:r w:rsidR="005C19AE">
        <w:rPr>
          <w:rFonts w:hAnsi="Times New Roman" w:hint="eastAsia"/>
          <w:kern w:val="2"/>
          <w:szCs w:val="28"/>
        </w:rPr>
        <w:t>學年度</w:t>
      </w:r>
      <w:r w:rsidR="005C19AE">
        <w:rPr>
          <w:rFonts w:hAnsi="Times New Roman"/>
          <w:kern w:val="2"/>
          <w:szCs w:val="28"/>
        </w:rPr>
        <w:t>)</w:t>
      </w:r>
      <w:r w:rsidRPr="00B84C11">
        <w:rPr>
          <w:rFonts w:hAnsi="Times New Roman" w:hint="eastAsia"/>
          <w:kern w:val="2"/>
          <w:szCs w:val="28"/>
        </w:rPr>
        <w:t>將檢討各級學校及幼兒園無障礙環境與資訊可及性之實際狀況，調整學校資源配置列為其實施策略之一</w:t>
      </w:r>
      <w:r w:rsidRPr="00B84C11">
        <w:rPr>
          <w:rFonts w:hAnsi="標楷體" w:hint="eastAsia"/>
          <w:kern w:val="2"/>
          <w:szCs w:val="28"/>
        </w:rPr>
        <w:t>，</w:t>
      </w:r>
      <w:r w:rsidRPr="00B84C11">
        <w:rPr>
          <w:rFonts w:hAnsi="Times New Roman" w:hint="eastAsia"/>
          <w:kern w:val="2"/>
          <w:szCs w:val="28"/>
        </w:rPr>
        <w:t>惟據國教署表示，截至11</w:t>
      </w:r>
      <w:r w:rsidR="00AF0C04">
        <w:rPr>
          <w:rFonts w:hAnsi="Times New Roman" w:hint="eastAsia"/>
          <w:kern w:val="2"/>
          <w:szCs w:val="28"/>
        </w:rPr>
        <w:t>4</w:t>
      </w:r>
      <w:r w:rsidRPr="00B84C11">
        <w:rPr>
          <w:rFonts w:hAnsi="Times New Roman" w:hint="eastAsia"/>
          <w:kern w:val="2"/>
          <w:szCs w:val="28"/>
        </w:rPr>
        <w:t>年</w:t>
      </w:r>
      <w:r w:rsidRPr="00B84C11">
        <w:rPr>
          <w:rFonts w:hAnsi="Times New Roman"/>
          <w:kern w:val="2"/>
          <w:szCs w:val="28"/>
        </w:rPr>
        <w:t>7</w:t>
      </w:r>
      <w:r w:rsidRPr="00B84C11">
        <w:rPr>
          <w:rFonts w:hAnsi="Times New Roman" w:hint="eastAsia"/>
          <w:kern w:val="2"/>
          <w:szCs w:val="28"/>
        </w:rPr>
        <w:t>月底止高級中等以下學校及幼兒園無障礙設施資訊</w:t>
      </w:r>
      <w:r w:rsidR="0070594D">
        <w:rPr>
          <w:rFonts w:hAnsi="Times New Roman" w:hint="eastAsia"/>
          <w:kern w:val="2"/>
          <w:szCs w:val="28"/>
          <w:lang w:eastAsia="zh-HK"/>
        </w:rPr>
        <w:t>尚</w:t>
      </w:r>
      <w:r w:rsidR="00234AA5">
        <w:rPr>
          <w:rFonts w:hAnsi="Times New Roman" w:hint="eastAsia"/>
          <w:kern w:val="2"/>
          <w:szCs w:val="28"/>
          <w:lang w:eastAsia="zh-HK"/>
        </w:rPr>
        <w:t>未</w:t>
      </w:r>
      <w:r w:rsidRPr="00B84C11">
        <w:rPr>
          <w:rFonts w:hAnsi="Times New Roman" w:hint="eastAsia"/>
          <w:kern w:val="2"/>
          <w:szCs w:val="28"/>
        </w:rPr>
        <w:t>達可及性。其中公立高級中等以下學校及特殊教育學校無障礙設施相關資訊</w:t>
      </w:r>
      <w:r w:rsidR="00AF0C04">
        <w:rPr>
          <w:rFonts w:hAnsi="Times New Roman" w:hint="eastAsia"/>
          <w:kern w:val="2"/>
          <w:szCs w:val="28"/>
          <w:lang w:eastAsia="zh-HK"/>
        </w:rPr>
        <w:t>依前揭實施要點</w:t>
      </w:r>
      <w:r w:rsidR="00AF0C04" w:rsidRPr="00AF0C04">
        <w:rPr>
          <w:rFonts w:hAnsi="Times New Roman" w:hint="eastAsia"/>
          <w:kern w:val="2"/>
          <w:szCs w:val="28"/>
        </w:rPr>
        <w:t>為5年內（117年7月前）應改善完成項目</w:t>
      </w:r>
      <w:r w:rsidRPr="00B84C11">
        <w:rPr>
          <w:rFonts w:hAnsi="Times New Roman" w:hint="eastAsia"/>
          <w:kern w:val="2"/>
          <w:szCs w:val="28"/>
        </w:rPr>
        <w:t>，</w:t>
      </w:r>
      <w:r w:rsidR="00AF0C04">
        <w:rPr>
          <w:rFonts w:hAnsi="Times New Roman" w:hint="eastAsia"/>
          <w:kern w:val="2"/>
          <w:szCs w:val="28"/>
        </w:rPr>
        <w:t>114</w:t>
      </w:r>
      <w:r w:rsidR="00AF0C04">
        <w:rPr>
          <w:rFonts w:hAnsi="Times New Roman" w:hint="eastAsia"/>
          <w:kern w:val="2"/>
          <w:szCs w:val="28"/>
          <w:lang w:eastAsia="zh-HK"/>
        </w:rPr>
        <w:t>年已完成</w:t>
      </w:r>
      <w:r w:rsidR="00AF0C04" w:rsidRPr="00AF0C04">
        <w:rPr>
          <w:rFonts w:hAnsi="Times New Roman" w:hint="eastAsia"/>
          <w:kern w:val="2"/>
          <w:szCs w:val="28"/>
        </w:rPr>
        <w:t>「高級中等以下學校及特殊教育學校無障礙地圖指引」草案，預計於11月發布</w:t>
      </w:r>
      <w:r w:rsidRPr="00B84C11">
        <w:rPr>
          <w:rFonts w:hAnsi="Times New Roman" w:hint="eastAsia"/>
          <w:kern w:val="2"/>
          <w:szCs w:val="28"/>
        </w:rPr>
        <w:t>，</w:t>
      </w:r>
      <w:r w:rsidR="00AF0C04" w:rsidRPr="00AF0C04">
        <w:rPr>
          <w:rFonts w:hAnsi="Times New Roman" w:hint="eastAsia"/>
          <w:kern w:val="2"/>
          <w:szCs w:val="28"/>
        </w:rPr>
        <w:t>並於114至115年辦理無障礙地圖研習工作坊，於11</w:t>
      </w:r>
      <w:r w:rsidR="00596AE2">
        <w:rPr>
          <w:rFonts w:hAnsi="Times New Roman" w:hint="eastAsia"/>
          <w:kern w:val="2"/>
          <w:szCs w:val="28"/>
        </w:rPr>
        <w:t>7</w:t>
      </w:r>
      <w:r w:rsidR="00AF0C04" w:rsidRPr="00AF0C04">
        <w:rPr>
          <w:rFonts w:hAnsi="Times New Roman" w:hint="eastAsia"/>
          <w:kern w:val="2"/>
          <w:szCs w:val="28"/>
        </w:rPr>
        <w:t>年完成各校網站無障礙地圖上線作業</w:t>
      </w:r>
      <w:r w:rsidRPr="00B84C11">
        <w:rPr>
          <w:rFonts w:hAnsi="Times New Roman" w:hint="eastAsia"/>
          <w:kern w:val="2"/>
          <w:szCs w:val="28"/>
        </w:rPr>
        <w:t>，至幼兒園則仍處無障礙設施規範研議中</w:t>
      </w:r>
      <w:r w:rsidRPr="00B84C11">
        <w:rPr>
          <w:rFonts w:hAnsi="標楷體" w:hint="eastAsia"/>
          <w:kern w:val="2"/>
          <w:szCs w:val="28"/>
        </w:rPr>
        <w:t>；</w:t>
      </w:r>
      <w:r w:rsidRPr="00B84C11">
        <w:rPr>
          <w:rFonts w:hAnsi="Times New Roman" w:hint="eastAsia"/>
          <w:kern w:val="2"/>
          <w:szCs w:val="28"/>
        </w:rPr>
        <w:t>鑑於高級中等以下學校及幼兒園無障礙設施資訊皆尚無可及性，允宜儘速妥善規劃並如期如質辦理</w:t>
      </w:r>
      <w:r w:rsidRPr="00B84C11">
        <w:rPr>
          <w:rFonts w:hAnsi="標楷體" w:hint="eastAsia"/>
          <w:snapToGrid w:val="0"/>
          <w:kern w:val="2"/>
          <w:szCs w:val="28"/>
        </w:rPr>
        <w:t>。</w:t>
      </w:r>
    </w:p>
    <w:p w:rsidR="00B168A6" w:rsidRPr="00B168A6" w:rsidRDefault="00B168A6" w:rsidP="00B168A6">
      <w:pPr>
        <w:widowControl w:val="0"/>
        <w:ind w:left="560" w:firstLine="560"/>
        <w:rPr>
          <w:rFonts w:hAnsi="標楷體"/>
          <w:snapToGrid w:val="0"/>
          <w:kern w:val="2"/>
          <w:szCs w:val="28"/>
        </w:rPr>
      </w:pPr>
      <w:r w:rsidRPr="00B168A6">
        <w:rPr>
          <w:rFonts w:hAnsi="Times New Roman" w:hint="eastAsia"/>
          <w:snapToGrid w:val="0"/>
          <w:kern w:val="2"/>
          <w:szCs w:val="28"/>
        </w:rPr>
        <w:t>綜上</w:t>
      </w:r>
      <w:r w:rsidRPr="00B168A6">
        <w:rPr>
          <w:rFonts w:hAnsi="標楷體" w:hint="eastAsia"/>
          <w:snapToGrid w:val="0"/>
          <w:kern w:val="2"/>
          <w:szCs w:val="28"/>
        </w:rPr>
        <w:t>，</w:t>
      </w:r>
      <w:r w:rsidRPr="00B168A6">
        <w:rPr>
          <w:rFonts w:hAnsi="Times New Roman" w:hint="eastAsia"/>
          <w:snapToGrid w:val="0"/>
          <w:kern w:val="2"/>
          <w:szCs w:val="28"/>
        </w:rPr>
        <w:t>校園無障礙設施已推動多年</w:t>
      </w:r>
      <w:r w:rsidRPr="00B168A6">
        <w:rPr>
          <w:rFonts w:hAnsi="標楷體" w:hint="eastAsia"/>
          <w:snapToGrid w:val="0"/>
          <w:kern w:val="2"/>
          <w:szCs w:val="28"/>
        </w:rPr>
        <w:t>，</w:t>
      </w:r>
      <w:r w:rsidRPr="00B168A6">
        <w:rPr>
          <w:rFonts w:hAnsi="Times New Roman" w:hint="eastAsia"/>
          <w:snapToGrid w:val="0"/>
          <w:kern w:val="2"/>
          <w:szCs w:val="28"/>
        </w:rPr>
        <w:t>高級中等以下學校無障礙設施盤點</w:t>
      </w:r>
      <w:r w:rsidR="00AF0C04">
        <w:rPr>
          <w:rFonts w:hAnsi="Times New Roman" w:hint="eastAsia"/>
          <w:snapToGrid w:val="0"/>
          <w:kern w:val="2"/>
          <w:szCs w:val="28"/>
          <w:lang w:eastAsia="zh-HK"/>
        </w:rPr>
        <w:t>結果合格率為</w:t>
      </w:r>
      <w:r w:rsidR="00AF0C04">
        <w:rPr>
          <w:rFonts w:hAnsi="Times New Roman" w:hint="eastAsia"/>
          <w:snapToGrid w:val="0"/>
          <w:kern w:val="2"/>
          <w:szCs w:val="28"/>
        </w:rPr>
        <w:t>61%</w:t>
      </w:r>
      <w:r w:rsidRPr="00B168A6">
        <w:rPr>
          <w:rFonts w:hAnsi="Times New Roman" w:hint="eastAsia"/>
          <w:snapToGrid w:val="0"/>
          <w:kern w:val="2"/>
          <w:szCs w:val="28"/>
        </w:rPr>
        <w:t>，幼兒園無障礙設施規範尚未訂定，且高級中等以下學校及幼兒園無障礙設施資訊尚無可及性</w:t>
      </w:r>
      <w:r w:rsidRPr="00B168A6">
        <w:rPr>
          <w:rFonts w:hAnsi="標楷體" w:hint="eastAsia"/>
          <w:snapToGrid w:val="0"/>
          <w:kern w:val="2"/>
          <w:szCs w:val="28"/>
        </w:rPr>
        <w:t>，</w:t>
      </w:r>
      <w:r w:rsidRPr="00B168A6">
        <w:rPr>
          <w:rFonts w:hAnsi="Times New Roman" w:hint="eastAsia"/>
          <w:snapToGrid w:val="0"/>
          <w:kern w:val="2"/>
          <w:szCs w:val="28"/>
        </w:rPr>
        <w:t>允宜積極研謀改善</w:t>
      </w:r>
      <w:r w:rsidRPr="00B168A6">
        <w:rPr>
          <w:rFonts w:hAnsi="標楷體" w:hint="eastAsia"/>
          <w:snapToGrid w:val="0"/>
          <w:kern w:val="2"/>
          <w:szCs w:val="28"/>
        </w:rPr>
        <w:t>。</w:t>
      </w:r>
    </w:p>
    <w:bookmarkEnd w:id="2"/>
    <w:sectPr w:rsidR="00B168A6" w:rsidRPr="00B168A6"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1A13DD" w:rsidRPr="001A13DD">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3DD"/>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28B5233-6669-4F9D-800B-3CF3C0551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612CB-5CF8-4B70-B897-59613E98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468</Words>
  <Characters>2668</Characters>
  <Application>Microsoft Office Word</Application>
  <DocSecurity>0</DocSecurity>
  <Lines>22</Lines>
  <Paragraphs>6</Paragraphs>
  <ScaleCrop>false</ScaleCrop>
  <Company/>
  <LinksUpToDate>false</LinksUpToDate>
  <CharactersWithSpaces>3130</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