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bookmarkStart w:id="0" w:name="_GoBack"/>
      <w:bookmarkEnd w:id="0"/>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1" w:name="_Toc147409881"/>
      <w:bookmarkStart w:id="2"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F62D8F" w:rsidRPr="0031291F" w:rsidRDefault="00F62D8F" w:rsidP="009E5967">
      <w:pPr>
        <w:pStyle w:val="14"/>
      </w:pPr>
      <w:bookmarkStart w:id="3" w:name="_Toc145440143"/>
      <w:bookmarkStart w:id="4" w:name="_Toc147409880"/>
      <w:bookmarkStart w:id="5" w:name="_Toc529190314"/>
      <w:bookmarkStart w:id="6" w:name="_Toc86331434"/>
      <w:bookmarkStart w:id="7" w:name="_Toc52959307"/>
      <w:bookmarkStart w:id="8" w:name="_Toc213247885"/>
      <w:bookmarkEnd w:id="1"/>
      <w:bookmarkEnd w:id="2"/>
      <w:r w:rsidRPr="0031291F">
        <w:rPr>
          <w:rFonts w:hint="eastAsia"/>
        </w:rPr>
        <w:t>四</w:t>
      </w:r>
      <w:r w:rsidRPr="0031291F">
        <w:t>、</w:t>
      </w:r>
      <w:r w:rsidR="009E5967" w:rsidRPr="0031291F">
        <w:rPr>
          <w:rFonts w:hint="eastAsia"/>
          <w:spacing w:val="-2"/>
        </w:rPr>
        <w:t>賡續</w:t>
      </w:r>
      <w:r w:rsidRPr="0031291F">
        <w:rPr>
          <w:rFonts w:hint="eastAsia"/>
          <w:spacing w:val="-2"/>
        </w:rPr>
        <w:t>推動臨床教學與研究補助</w:t>
      </w:r>
      <w:r w:rsidR="009E5967" w:rsidRPr="0031291F">
        <w:rPr>
          <w:rFonts w:hint="eastAsia"/>
          <w:spacing w:val="-2"/>
        </w:rPr>
        <w:t>業務</w:t>
      </w:r>
      <w:r w:rsidRPr="0031291F">
        <w:rPr>
          <w:rFonts w:hint="eastAsia"/>
          <w:spacing w:val="-2"/>
        </w:rPr>
        <w:t>，惟</w:t>
      </w:r>
      <w:r w:rsidR="009E5967" w:rsidRPr="0031291F">
        <w:rPr>
          <w:rFonts w:hint="eastAsia"/>
          <w:spacing w:val="-2"/>
        </w:rPr>
        <w:t>各榮總體系之執行成果容有差異，且研究資源與量能恐未能有效擴及各分院</w:t>
      </w:r>
      <w:r w:rsidRPr="0031291F">
        <w:rPr>
          <w:rFonts w:hint="eastAsia"/>
          <w:spacing w:val="-2"/>
        </w:rPr>
        <w:t>，允宜研議跨院區研究協作及臨床教學資源整合策略，以</w:t>
      </w:r>
      <w:r w:rsidR="009E5967" w:rsidRPr="0031291F">
        <w:rPr>
          <w:rFonts w:hint="eastAsia"/>
          <w:spacing w:val="-2"/>
        </w:rPr>
        <w:t>均衡</w:t>
      </w:r>
      <w:r w:rsidRPr="0031291F">
        <w:rPr>
          <w:rFonts w:hint="eastAsia"/>
          <w:spacing w:val="-2"/>
        </w:rPr>
        <w:t>補助資源</w:t>
      </w:r>
      <w:r w:rsidR="00D23AE1" w:rsidRPr="0031291F">
        <w:rPr>
          <w:rFonts w:hint="eastAsia"/>
          <w:spacing w:val="-2"/>
        </w:rPr>
        <w:t>使用</w:t>
      </w:r>
      <w:r w:rsidR="009E5967" w:rsidRPr="0031291F">
        <w:rPr>
          <w:rFonts w:hint="eastAsia"/>
          <w:spacing w:val="-2"/>
        </w:rPr>
        <w:t>效益</w:t>
      </w:r>
      <w:bookmarkEnd w:id="8"/>
    </w:p>
    <w:p w:rsidR="00F62D8F" w:rsidRPr="0031291F" w:rsidRDefault="00F62D8F" w:rsidP="008D4482">
      <w:pPr>
        <w:ind w:left="566" w:firstLine="566"/>
        <w:rPr>
          <w:rFonts w:hint="eastAsia"/>
        </w:rPr>
      </w:pPr>
      <w:bookmarkStart w:id="9" w:name="_Hlk210114186"/>
      <w:bookmarkStart w:id="10" w:name="_Hlk211258345"/>
      <w:r w:rsidRPr="0031291F">
        <w:rPr>
          <w:rFonts w:hint="eastAsia"/>
        </w:rPr>
        <w:t>為提升研究量能及臨床醫療品質，退輔會115年度預算案於「醫學臨床教學研究」工作計畫之「各榮總及其分院臨床教學與研究」分支計畫編列補助費</w:t>
      </w:r>
      <w:r w:rsidRPr="0031291F">
        <w:t>11</w:t>
      </w:r>
      <w:r w:rsidRPr="0031291F">
        <w:rPr>
          <w:rFonts w:hint="eastAsia"/>
        </w:rPr>
        <w:t>億</w:t>
      </w:r>
      <w:r w:rsidRPr="0031291F">
        <w:t>380</w:t>
      </w:r>
      <w:r w:rsidRPr="0031291F">
        <w:rPr>
          <w:rFonts w:hint="eastAsia"/>
        </w:rPr>
        <w:t>萬</w:t>
      </w:r>
      <w:r w:rsidRPr="0031291F">
        <w:t>8</w:t>
      </w:r>
      <w:r w:rsidRPr="0031291F">
        <w:rPr>
          <w:rFonts w:hint="eastAsia"/>
        </w:rPr>
        <w:t>千元，較114年度預算數增加</w:t>
      </w:r>
      <w:r w:rsidRPr="0031291F">
        <w:t>121</w:t>
      </w:r>
      <w:r w:rsidRPr="0031291F">
        <w:rPr>
          <w:rFonts w:hint="eastAsia"/>
        </w:rPr>
        <w:t>萬</w:t>
      </w:r>
      <w:r w:rsidRPr="0031291F">
        <w:t>1</w:t>
      </w:r>
      <w:r w:rsidRPr="0031291F">
        <w:rPr>
          <w:rFonts w:hint="eastAsia"/>
        </w:rPr>
        <w:t>千元(增幅</w:t>
      </w:r>
      <w:r w:rsidRPr="0031291F">
        <w:t>0.11%</w:t>
      </w:r>
      <w:r w:rsidRPr="0031291F">
        <w:rPr>
          <w:rFonts w:hint="eastAsia"/>
        </w:rPr>
        <w:t>)</w:t>
      </w:r>
      <w:r w:rsidRPr="0031291F">
        <w:rPr>
          <w:rFonts w:hAnsi="標楷體" w:hint="eastAsia"/>
        </w:rPr>
        <w:t>，</w:t>
      </w:r>
      <w:r w:rsidRPr="0031291F">
        <w:rPr>
          <w:rFonts w:hint="eastAsia"/>
        </w:rPr>
        <w:t>係補助4所榮總及其分院從事重大醫學臨床教學與研究計畫經費，以增進各類醫事人員專業知能及精進醫學臨床教學與研究成果</w:t>
      </w:r>
      <w:r w:rsidRPr="0031291F">
        <w:rPr>
          <w:rFonts w:hAnsi="標楷體" w:hint="eastAsia"/>
        </w:rPr>
        <w:t>，</w:t>
      </w:r>
      <w:r w:rsidRPr="0031291F">
        <w:rPr>
          <w:rFonts w:hint="eastAsia"/>
        </w:rPr>
        <w:t>惟各榮總體系執行成果</w:t>
      </w:r>
      <w:r w:rsidR="008D4482" w:rsidRPr="0031291F">
        <w:rPr>
          <w:rFonts w:hint="eastAsia"/>
        </w:rPr>
        <w:t>容有差異</w:t>
      </w:r>
      <w:r w:rsidRPr="0031291F">
        <w:rPr>
          <w:rFonts w:hAnsi="標楷體" w:hint="eastAsia"/>
        </w:rPr>
        <w:t>，</w:t>
      </w:r>
      <w:r w:rsidR="008D4482" w:rsidRPr="0031291F">
        <w:rPr>
          <w:rFonts w:hAnsi="標楷體" w:hint="eastAsia"/>
        </w:rPr>
        <w:t>允宜均衡提高補助資源使用效益</w:t>
      </w:r>
      <w:r w:rsidRPr="0031291F">
        <w:rPr>
          <w:rFonts w:hint="eastAsia"/>
        </w:rPr>
        <w:t>。經查：</w:t>
      </w:r>
    </w:p>
    <w:p w:rsidR="00F62D8F" w:rsidRPr="0031291F" w:rsidRDefault="00F62D8F" w:rsidP="00F62D8F">
      <w:pPr>
        <w:pStyle w:val="a4"/>
        <w:ind w:left="849" w:hanging="283"/>
        <w:rPr>
          <w:rFonts w:hint="eastAsia"/>
          <w:b/>
        </w:rPr>
      </w:pPr>
      <w:r w:rsidRPr="0031291F">
        <w:rPr>
          <w:rFonts w:hint="eastAsia"/>
          <w:b/>
        </w:rPr>
        <w:t>(一)</w:t>
      </w:r>
      <w:r w:rsidR="008D4482" w:rsidRPr="0031291F">
        <w:rPr>
          <w:rFonts w:hint="eastAsia"/>
          <w:b/>
        </w:rPr>
        <w:t>賡續</w:t>
      </w:r>
      <w:r w:rsidRPr="0031291F">
        <w:rPr>
          <w:rFonts w:hint="eastAsia"/>
          <w:b/>
        </w:rPr>
        <w:t>推動臨床教學與研究補助，惟區域間執行成果</w:t>
      </w:r>
      <w:r w:rsidR="008D4482" w:rsidRPr="0031291F">
        <w:rPr>
          <w:rFonts w:hint="eastAsia"/>
          <w:b/>
        </w:rPr>
        <w:t>容有差異</w:t>
      </w:r>
      <w:r w:rsidRPr="0031291F">
        <w:rPr>
          <w:rFonts w:hAnsi="標楷體" w:hint="eastAsia"/>
          <w:b/>
        </w:rPr>
        <w:t>，</w:t>
      </w:r>
      <w:r w:rsidR="008D4482" w:rsidRPr="0031291F">
        <w:rPr>
          <w:rFonts w:hAnsi="標楷體" w:hint="eastAsia"/>
          <w:b/>
        </w:rPr>
        <w:t>允宜均衡</w:t>
      </w:r>
      <w:r w:rsidRPr="0031291F">
        <w:rPr>
          <w:rFonts w:hAnsi="標楷體" w:hint="eastAsia"/>
          <w:b/>
        </w:rPr>
        <w:t>提高資源使用效益</w:t>
      </w:r>
    </w:p>
    <w:p w:rsidR="00F62D8F" w:rsidRPr="0031291F" w:rsidRDefault="007E1699" w:rsidP="00F62D8F">
      <w:pPr>
        <w:pStyle w:val="21"/>
        <w:ind w:left="850" w:firstLine="566"/>
        <w:rPr>
          <w:rFonts w:hAnsi="標楷體" w:hint="eastAsia"/>
        </w:rPr>
      </w:pPr>
      <w:r w:rsidRPr="0031291F">
        <w:rPr>
          <w:rFonts w:hint="eastAsia"/>
        </w:rPr>
        <w:t>退</w:t>
      </w:r>
      <w:r w:rsidR="00F62D8F" w:rsidRPr="0031291F">
        <w:rPr>
          <w:rFonts w:hint="eastAsia"/>
        </w:rPr>
        <w:t>輔會依</w:t>
      </w:r>
      <w:r w:rsidR="00F62D8F" w:rsidRPr="0031291F">
        <w:rPr>
          <w:rFonts w:hAnsi="標楷體" w:hint="eastAsia"/>
        </w:rPr>
        <w:t>「</w:t>
      </w:r>
      <w:r w:rsidR="00F62D8F" w:rsidRPr="0031291F">
        <w:rPr>
          <w:rFonts w:hint="eastAsia"/>
        </w:rPr>
        <w:t>國軍退除役官兵輔導委員會所屬醫療機構醫學臨床教學研究計畫作業指導原則</w:t>
      </w:r>
      <w:r w:rsidR="00F62D8F" w:rsidRPr="0031291F">
        <w:rPr>
          <w:rFonts w:hAnsi="標楷體" w:hint="eastAsia"/>
        </w:rPr>
        <w:t>」，</w:t>
      </w:r>
      <w:r w:rsidR="00F62D8F" w:rsidRPr="0031291F">
        <w:rPr>
          <w:rFonts w:hint="eastAsia"/>
        </w:rPr>
        <w:t>為提供榮民(眷)</w:t>
      </w:r>
      <w:r w:rsidR="00F62D8F" w:rsidRPr="0031291F">
        <w:rPr>
          <w:rFonts w:ascii="新細明體" w:eastAsia="新細明體" w:hAnsi="新細明體" w:hint="eastAsia"/>
        </w:rPr>
        <w:t>、</w:t>
      </w:r>
      <w:r w:rsidR="00F62D8F" w:rsidRPr="0031291F">
        <w:rPr>
          <w:rFonts w:hint="eastAsia"/>
        </w:rPr>
        <w:t>民眾優質醫療服務</w:t>
      </w:r>
      <w:r w:rsidR="00F62D8F" w:rsidRPr="0031291F">
        <w:rPr>
          <w:rFonts w:hAnsi="標楷體" w:hint="eastAsia"/>
        </w:rPr>
        <w:t>，</w:t>
      </w:r>
      <w:r w:rsidR="00F62D8F" w:rsidRPr="0031291F">
        <w:rPr>
          <w:rFonts w:hint="eastAsia"/>
        </w:rPr>
        <w:t>並提升國內醫學研究水準</w:t>
      </w:r>
      <w:r w:rsidR="00F62D8F" w:rsidRPr="0031291F">
        <w:rPr>
          <w:rFonts w:hAnsi="標楷體" w:hint="eastAsia"/>
        </w:rPr>
        <w:t>，</w:t>
      </w:r>
      <w:r w:rsidR="00F62D8F" w:rsidRPr="0031291F">
        <w:rPr>
          <w:rFonts w:hint="eastAsia"/>
        </w:rPr>
        <w:t>每年依法編列醫學研究相關預算</w:t>
      </w:r>
      <w:r w:rsidR="008D4482" w:rsidRPr="0031291F">
        <w:rPr>
          <w:rStyle w:val="afc"/>
        </w:rPr>
        <w:footnoteReference w:id="2"/>
      </w:r>
      <w:r w:rsidR="00F62D8F" w:rsidRPr="0031291F">
        <w:rPr>
          <w:rFonts w:hAnsi="標楷體" w:hint="eastAsia"/>
        </w:rPr>
        <w:t>。</w:t>
      </w:r>
    </w:p>
    <w:p w:rsidR="00F62D8F" w:rsidRPr="0031291F" w:rsidRDefault="00F62D8F" w:rsidP="00F62D8F">
      <w:pPr>
        <w:pStyle w:val="21"/>
        <w:ind w:left="850" w:firstLine="566"/>
        <w:rPr>
          <w:rFonts w:hAnsi="標楷體" w:hint="eastAsia"/>
        </w:rPr>
      </w:pPr>
      <w:r w:rsidRPr="0031291F">
        <w:rPr>
          <w:rFonts w:hAnsi="標楷體" w:hint="eastAsia"/>
        </w:rPr>
        <w:lastRenderedPageBreak/>
        <w:t>參據該會提供之近年度補助榮民醫療體系臨床教學與研究</w:t>
      </w:r>
      <w:r w:rsidRPr="0031291F">
        <w:rPr>
          <w:rFonts w:hAnsi="標楷體" w:hint="eastAsia"/>
        </w:rPr>
        <w:lastRenderedPageBreak/>
        <w:t>經費統計資料(詳表1），111至114年度</w:t>
      </w:r>
      <w:r w:rsidR="007B4211" w:rsidRPr="0031291F">
        <w:rPr>
          <w:rFonts w:hAnsi="標楷體" w:hint="eastAsia"/>
        </w:rPr>
        <w:t>(</w:t>
      </w:r>
      <w:r w:rsidRPr="0031291F">
        <w:rPr>
          <w:rFonts w:hAnsi="標楷體" w:hint="eastAsia"/>
        </w:rPr>
        <w:t>截至8月底止</w:t>
      </w:r>
      <w:r w:rsidR="007B4211" w:rsidRPr="0031291F">
        <w:rPr>
          <w:rFonts w:hAnsi="標楷體" w:hint="eastAsia"/>
        </w:rPr>
        <w:t>)</w:t>
      </w:r>
      <w:r w:rsidRPr="0031291F">
        <w:rPr>
          <w:rFonts w:hAnsi="標楷體" w:hint="eastAsia"/>
        </w:rPr>
        <w:t>「補助榮民醫療體系臨床教學與研究經費」合計</w:t>
      </w:r>
      <w:r w:rsidRPr="0031291F">
        <w:rPr>
          <w:rFonts w:hAnsi="標楷體"/>
        </w:rPr>
        <w:t>24</w:t>
      </w:r>
      <w:r w:rsidRPr="0031291F">
        <w:rPr>
          <w:rFonts w:hAnsi="標楷體" w:hint="eastAsia"/>
        </w:rPr>
        <w:t>.46億餘元</w:t>
      </w:r>
      <w:r w:rsidR="00D23AE1" w:rsidRPr="0031291F">
        <w:rPr>
          <w:rFonts w:hAnsi="標楷體" w:hint="eastAsia"/>
        </w:rPr>
        <w:t>(詳表1)</w:t>
      </w:r>
      <w:r w:rsidRPr="0031291F">
        <w:rPr>
          <w:rFonts w:hAnsi="標楷體" w:hint="eastAsia"/>
        </w:rPr>
        <w:t>，其中「運用於改善臨床照護品質」共10.41億餘元，占該項補助經費總額之比率為42.56%。</w:t>
      </w:r>
      <w:r w:rsidR="007E1699" w:rsidRPr="0031291F">
        <w:rPr>
          <w:rFonts w:hAnsi="標楷體" w:hint="eastAsia"/>
        </w:rPr>
        <w:t>另檢視</w:t>
      </w:r>
      <w:r w:rsidRPr="0031291F">
        <w:rPr>
          <w:rFonts w:hAnsi="標楷體" w:hint="eastAsia"/>
        </w:rPr>
        <w:t>各榮總體系經費分布與成效，臺北榮總體系(含所轄分院)補助金額合計</w:t>
      </w:r>
      <w:r w:rsidRPr="0031291F">
        <w:rPr>
          <w:rFonts w:hAnsi="標楷體"/>
        </w:rPr>
        <w:t>13</w:t>
      </w:r>
      <w:r w:rsidRPr="0031291F">
        <w:rPr>
          <w:rFonts w:hAnsi="標楷體" w:hint="eastAsia"/>
        </w:rPr>
        <w:t>.27億餘元為最高，占該項補助經費總額之比率為</w:t>
      </w:r>
      <w:r w:rsidR="007B4211" w:rsidRPr="0031291F">
        <w:rPr>
          <w:rFonts w:hAnsi="標楷體" w:hint="eastAsia"/>
        </w:rPr>
        <w:t>54.27</w:t>
      </w:r>
      <w:r w:rsidRPr="0031291F">
        <w:rPr>
          <w:rFonts w:hAnsi="標楷體" w:hint="eastAsia"/>
        </w:rPr>
        <w:t>%，對應研究發表共5,013篇，顯示研究產出與經費投入呈正相關，臺中榮總體系(含所轄分院)補助金額計4.62億餘元居次，研究發表2,660篇，顯示經費使用效益相對穩定。然高雄榮總體系(含所轄分院)雖獲補助金額計6.05億餘元，惟其相關研究成果發表於國際專業期刊篇數僅1,480篇，顯示南部研究能量仍有提升空間</w:t>
      </w:r>
      <w:r w:rsidR="007B4211" w:rsidRPr="0031291F">
        <w:rPr>
          <w:rFonts w:hAnsi="標楷體" w:hint="eastAsia"/>
        </w:rPr>
        <w:t>，容待均衡提高資源使用效益。</w:t>
      </w:r>
    </w:p>
    <w:p w:rsidR="00F62D8F" w:rsidRPr="0031291F" w:rsidRDefault="00F62D8F" w:rsidP="00F62D8F">
      <w:pPr>
        <w:ind w:leftChars="-4" w:left="658" w:rightChars="-7" w:right="-20" w:hangingChars="236" w:hanging="669"/>
        <w:rPr>
          <w:rFonts w:hint="eastAsia"/>
          <w:b/>
        </w:rPr>
      </w:pPr>
      <w:bookmarkStart w:id="11" w:name="_Hlk212713167"/>
      <w:r w:rsidRPr="0031291F">
        <w:rPr>
          <w:rFonts w:hint="eastAsia"/>
          <w:b/>
        </w:rPr>
        <w:t>表1退輔會111至114年度(截至8月底)</w:t>
      </w:r>
      <w:r w:rsidR="00D23AE1" w:rsidRPr="0031291F">
        <w:rPr>
          <w:rFonts w:hAnsi="標楷體" w:hint="eastAsia"/>
          <w:b/>
        </w:rPr>
        <w:t>「</w:t>
      </w:r>
      <w:r w:rsidRPr="0031291F">
        <w:rPr>
          <w:rFonts w:hint="eastAsia"/>
          <w:b/>
        </w:rPr>
        <w:t>補助榮民醫療體系臨床教學與研究經費</w:t>
      </w:r>
      <w:r w:rsidR="00D23AE1" w:rsidRPr="0031291F">
        <w:rPr>
          <w:rFonts w:hAnsi="標楷體" w:hint="eastAsia"/>
          <w:b/>
        </w:rPr>
        <w:t>」</w:t>
      </w:r>
      <w:r w:rsidRPr="0031291F">
        <w:rPr>
          <w:rFonts w:hint="eastAsia"/>
          <w:b/>
        </w:rPr>
        <w:t>情形表</w:t>
      </w:r>
      <w:r w:rsidR="007E1699" w:rsidRPr="0031291F">
        <w:rPr>
          <w:rFonts w:hint="eastAsia"/>
          <w:sz w:val="24"/>
          <w:szCs w:val="24"/>
        </w:rPr>
        <w:t xml:space="preserve">                       單位：新臺幣千元；篇 </w:t>
      </w:r>
    </w:p>
    <w:tbl>
      <w:tblPr>
        <w:tblW w:w="85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15"/>
        <w:gridCol w:w="2203"/>
        <w:gridCol w:w="2202"/>
        <w:gridCol w:w="2043"/>
      </w:tblGrid>
      <w:tr w:rsidR="00F62D8F" w:rsidRPr="0031291F" w:rsidTr="00072A82">
        <w:trPr>
          <w:trHeight w:val="340"/>
          <w:tblHeader/>
          <w:jc w:val="center"/>
        </w:trPr>
        <w:tc>
          <w:tcPr>
            <w:tcW w:w="2115" w:type="dxa"/>
            <w:shd w:val="clear" w:color="auto" w:fill="auto"/>
            <w:noWrap/>
            <w:vAlign w:val="center"/>
            <w:hideMark/>
          </w:tcPr>
          <w:p w:rsidR="00F62D8F" w:rsidRPr="0031291F" w:rsidRDefault="00F62D8F" w:rsidP="007E1699">
            <w:pPr>
              <w:pStyle w:val="142"/>
              <w:jc w:val="center"/>
              <w:rPr>
                <w:snapToGrid/>
              </w:rPr>
            </w:pPr>
            <w:r w:rsidRPr="0031291F">
              <w:rPr>
                <w:rFonts w:hint="eastAsia"/>
                <w:snapToGrid/>
              </w:rPr>
              <w:t>醫院別</w:t>
            </w:r>
          </w:p>
        </w:tc>
        <w:tc>
          <w:tcPr>
            <w:tcW w:w="2203" w:type="dxa"/>
            <w:shd w:val="clear" w:color="auto" w:fill="auto"/>
            <w:noWrap/>
            <w:vAlign w:val="center"/>
            <w:hideMark/>
          </w:tcPr>
          <w:p w:rsidR="00F62D8F" w:rsidRPr="0031291F" w:rsidRDefault="00F62D8F" w:rsidP="00A017D3">
            <w:pPr>
              <w:pStyle w:val="142"/>
              <w:jc w:val="center"/>
              <w:rPr>
                <w:snapToGrid/>
              </w:rPr>
            </w:pPr>
            <w:r w:rsidRPr="0031291F">
              <w:rPr>
                <w:rFonts w:hint="eastAsia"/>
                <w:snapToGrid/>
              </w:rPr>
              <w:t>運用於改善臨床照護品質內容之金額合計</w:t>
            </w:r>
            <w:r w:rsidR="00D23AE1" w:rsidRPr="0031291F">
              <w:rPr>
                <w:rFonts w:hint="eastAsia"/>
                <w:snapToGrid/>
              </w:rPr>
              <w:t>數</w:t>
            </w:r>
          </w:p>
        </w:tc>
        <w:tc>
          <w:tcPr>
            <w:tcW w:w="2202" w:type="dxa"/>
            <w:shd w:val="clear" w:color="auto" w:fill="auto"/>
            <w:noWrap/>
            <w:vAlign w:val="center"/>
            <w:hideMark/>
          </w:tcPr>
          <w:p w:rsidR="00F62D8F" w:rsidRPr="0031291F" w:rsidRDefault="00F62D8F" w:rsidP="00A017D3">
            <w:pPr>
              <w:pStyle w:val="142"/>
              <w:jc w:val="center"/>
              <w:rPr>
                <w:snapToGrid/>
              </w:rPr>
            </w:pPr>
            <w:r w:rsidRPr="0031291F">
              <w:rPr>
                <w:rFonts w:hint="eastAsia"/>
                <w:snapToGrid/>
              </w:rPr>
              <w:t>補助項目之年度補助金額合計</w:t>
            </w:r>
            <w:r w:rsidR="00D23AE1" w:rsidRPr="0031291F">
              <w:rPr>
                <w:rFonts w:hint="eastAsia"/>
                <w:snapToGrid/>
              </w:rPr>
              <w:t>數</w:t>
            </w:r>
          </w:p>
        </w:tc>
        <w:tc>
          <w:tcPr>
            <w:tcW w:w="2043" w:type="dxa"/>
            <w:shd w:val="clear" w:color="auto" w:fill="auto"/>
            <w:noWrap/>
            <w:vAlign w:val="center"/>
            <w:hideMark/>
          </w:tcPr>
          <w:p w:rsidR="00F62D8F" w:rsidRPr="0031291F" w:rsidRDefault="00F62D8F" w:rsidP="007E1699">
            <w:pPr>
              <w:pStyle w:val="142"/>
              <w:jc w:val="both"/>
              <w:rPr>
                <w:snapToGrid/>
              </w:rPr>
            </w:pPr>
            <w:r w:rsidRPr="0031291F">
              <w:rPr>
                <w:rFonts w:hint="eastAsia"/>
                <w:snapToGrid/>
              </w:rPr>
              <w:t>相關研究成果發表於國際專業期刊合計篇數合計</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臺北榮總</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421,087</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1,277,000</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4,781</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桃園分院</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9,986</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9,425</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93</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新竹分院</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3,502</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3,502</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29</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蘇澳分院(含員山)</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12,472</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11,529</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96</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玉里分院(含鳳林、臺東分院)</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0</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26,111</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14</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臺北榮總及其所轄分院小計</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447,047</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1,327,567</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5,013</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臺中榮總</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259,271</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442,917</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2,538</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埔里分院</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0</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8,900</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35</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嘉義分院</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10,279</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10,279</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87</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臺中榮總及其所轄</w:t>
            </w:r>
            <w:r w:rsidRPr="0031291F">
              <w:rPr>
                <w:rFonts w:hint="eastAsia"/>
                <w:b/>
                <w:bCs/>
                <w:snapToGrid/>
              </w:rPr>
              <w:lastRenderedPageBreak/>
              <w:t>分院小計</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lastRenderedPageBreak/>
              <w:t>269,550</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462,096</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2,660</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高雄榮總</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324,516</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593,029</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1,470</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810846">
            <w:pPr>
              <w:pStyle w:val="142"/>
              <w:jc w:val="center"/>
              <w:rPr>
                <w:snapToGrid/>
              </w:rPr>
            </w:pPr>
            <w:r w:rsidRPr="0031291F">
              <w:rPr>
                <w:rFonts w:hint="eastAsia"/>
                <w:snapToGrid/>
              </w:rPr>
              <w:t>臺南分院</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0</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12,342</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10</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高雄榮總及其所轄分院小計</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324,516</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605,371</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1,480</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B613C5">
            <w:pPr>
              <w:pStyle w:val="142"/>
              <w:jc w:val="center"/>
              <w:rPr>
                <w:b/>
                <w:bCs/>
                <w:snapToGrid/>
              </w:rPr>
            </w:pPr>
            <w:r w:rsidRPr="0031291F">
              <w:rPr>
                <w:rFonts w:hint="eastAsia"/>
                <w:snapToGrid/>
              </w:rPr>
              <w:lastRenderedPageBreak/>
              <w:t>屏東榮總(含龍泉)</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0</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51,111</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60</w:t>
            </w:r>
          </w:p>
        </w:tc>
      </w:tr>
      <w:tr w:rsidR="00F62D8F" w:rsidRPr="0031291F" w:rsidTr="00072A82">
        <w:trPr>
          <w:trHeight w:val="340"/>
          <w:jc w:val="center"/>
        </w:trPr>
        <w:tc>
          <w:tcPr>
            <w:tcW w:w="2115"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合計</w:t>
            </w:r>
          </w:p>
        </w:tc>
        <w:tc>
          <w:tcPr>
            <w:tcW w:w="220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1,041,113</w:t>
            </w:r>
          </w:p>
        </w:tc>
        <w:tc>
          <w:tcPr>
            <w:tcW w:w="220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2,446,145</w:t>
            </w:r>
          </w:p>
        </w:tc>
        <w:tc>
          <w:tcPr>
            <w:tcW w:w="2043"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9,213</w:t>
            </w:r>
          </w:p>
        </w:tc>
      </w:tr>
    </w:tbl>
    <w:p w:rsidR="00F62D8F" w:rsidRPr="0031291F" w:rsidRDefault="00F62D8F" w:rsidP="00195058">
      <w:pPr>
        <w:pStyle w:val="142"/>
        <w:ind w:left="1231" w:rightChars="-7" w:right="-20" w:hangingChars="506" w:hanging="1231"/>
        <w:jc w:val="both"/>
        <w:rPr>
          <w:rFonts w:hint="eastAsia"/>
        </w:rPr>
      </w:pPr>
      <w:r w:rsidRPr="0031291F">
        <w:rPr>
          <w:rFonts w:hint="eastAsia"/>
        </w:rPr>
        <w:t>說    明：本表數據係包括精準醫學與遺傳基因醫學、人工智慧與智慧大數據醫療精準醫學與遺傳基因醫學、人工智慧與智慧大數據醫療、慢性病管理與醫院管理、高齡醫學、長期照顧與精神醫學、癌症醫學、心血管代謝疾病與過敏免疫、神經肌肉骨骼與3D列印、新興感染症、細胞基因免疫治療、再生醫療及其他前瞻創新研究等範疇之醫學臨床研究合計數</w:t>
      </w:r>
      <w:r w:rsidRPr="0031291F">
        <w:rPr>
          <w:rFonts w:hAnsi="標楷體" w:hint="eastAsia"/>
        </w:rPr>
        <w:t>。</w:t>
      </w:r>
    </w:p>
    <w:bookmarkEnd w:id="11"/>
    <w:p w:rsidR="00F62D8F" w:rsidRPr="0031291F" w:rsidRDefault="00F62D8F" w:rsidP="00F62D8F">
      <w:pPr>
        <w:pStyle w:val="142"/>
        <w:ind w:left="567" w:hanging="567"/>
        <w:rPr>
          <w:rFonts w:hint="eastAsia"/>
          <w:b/>
        </w:rPr>
      </w:pPr>
      <w:r w:rsidRPr="0031291F">
        <w:rPr>
          <w:rFonts w:hint="eastAsia"/>
        </w:rPr>
        <w:t>資料來源：輔導會提供，本中心彙製。</w:t>
      </w:r>
    </w:p>
    <w:p w:rsidR="00F62D8F" w:rsidRPr="0031291F" w:rsidRDefault="00F62D8F" w:rsidP="00F62D8F">
      <w:pPr>
        <w:ind w:left="849" w:hangingChars="100" w:hanging="283"/>
        <w:rPr>
          <w:b/>
        </w:rPr>
      </w:pPr>
      <w:r w:rsidRPr="0031291F">
        <w:rPr>
          <w:b/>
        </w:rPr>
        <w:t>(</w:t>
      </w:r>
      <w:r w:rsidRPr="0031291F">
        <w:rPr>
          <w:rFonts w:hint="eastAsia"/>
          <w:b/>
        </w:rPr>
        <w:t>二</w:t>
      </w:r>
      <w:r w:rsidRPr="0031291F">
        <w:rPr>
          <w:b/>
        </w:rPr>
        <w:t>)</w:t>
      </w:r>
      <w:r w:rsidRPr="0031291F">
        <w:rPr>
          <w:rFonts w:hint="eastAsia"/>
          <w:b/>
        </w:rPr>
        <w:t>各級榮院</w:t>
      </w:r>
      <w:r w:rsidR="007B4211" w:rsidRPr="0031291F">
        <w:rPr>
          <w:rFonts w:hint="eastAsia"/>
          <w:b/>
        </w:rPr>
        <w:t>教學</w:t>
      </w:r>
      <w:r w:rsidRPr="0031291F">
        <w:rPr>
          <w:rFonts w:hint="eastAsia"/>
          <w:b/>
        </w:rPr>
        <w:t>研究與臨床訓練資源分配</w:t>
      </w:r>
      <w:r w:rsidR="007B4211" w:rsidRPr="0031291F">
        <w:rPr>
          <w:rFonts w:hint="eastAsia"/>
          <w:b/>
        </w:rPr>
        <w:t>容有差異</w:t>
      </w:r>
      <w:r w:rsidRPr="0031291F">
        <w:rPr>
          <w:rFonts w:hAnsi="標楷體" w:hint="eastAsia"/>
          <w:b/>
        </w:rPr>
        <w:t>，</w:t>
      </w:r>
      <w:r w:rsidR="007B4211" w:rsidRPr="0031291F">
        <w:rPr>
          <w:rFonts w:hAnsi="標楷體" w:hint="eastAsia"/>
          <w:b/>
        </w:rPr>
        <w:t>且研究資源與量能恐未能有效擴及各分院，</w:t>
      </w:r>
      <w:r w:rsidRPr="0031291F">
        <w:rPr>
          <w:rFonts w:hAnsi="標楷體" w:hint="eastAsia"/>
          <w:b/>
        </w:rPr>
        <w:t>允</w:t>
      </w:r>
      <w:r w:rsidRPr="0031291F">
        <w:rPr>
          <w:rFonts w:hint="eastAsia"/>
          <w:b/>
        </w:rPr>
        <w:t>宜研議跨院區研究協作及臨床教學資源整合策略，以提升整體研究與教學品質</w:t>
      </w:r>
    </w:p>
    <w:p w:rsidR="00F62D8F" w:rsidRPr="0031291F" w:rsidRDefault="00F62D8F" w:rsidP="00F62D8F">
      <w:pPr>
        <w:pStyle w:val="21"/>
        <w:ind w:left="850" w:firstLine="566"/>
        <w:rPr>
          <w:rFonts w:hint="eastAsia"/>
        </w:rPr>
      </w:pPr>
      <w:r w:rsidRPr="0031291F">
        <w:rPr>
          <w:rFonts w:hint="eastAsia"/>
        </w:rPr>
        <w:t>另觀各級榮院教學研究業務執行成效(詳表2)，111至114年度(截至114年8月底止)，所屬臺北、臺中及高雄三所榮民醫療體系在4年期間合計期刊發表共9,213篇，專利申請共267件，臨床醫事師資培育共1萬7,130人，臨床技能訓練參與人次共28萬8,364人次，博碩士進修人數共2,383人，顯示體系具備穩定且可觀的教學與研究能量。</w:t>
      </w:r>
    </w:p>
    <w:p w:rsidR="00F62D8F" w:rsidRPr="0031291F" w:rsidRDefault="00F62D8F" w:rsidP="00F62D8F">
      <w:pPr>
        <w:pStyle w:val="21"/>
        <w:ind w:left="850" w:firstLine="566"/>
        <w:rPr>
          <w:rFonts w:hAnsi="標楷體" w:hint="eastAsia"/>
        </w:rPr>
      </w:pPr>
      <w:r w:rsidRPr="0031291F">
        <w:rPr>
          <w:rFonts w:hint="eastAsia"/>
        </w:rPr>
        <w:t>然觀各榮總體系內總醫院與其所轄分院之間，研究能量顯存有差距。例如臺北榮總體系</w:t>
      </w:r>
      <w:r w:rsidRPr="0031291F">
        <w:rPr>
          <w:rFonts w:hAnsi="標楷體" w:hint="eastAsia"/>
        </w:rPr>
        <w:t>「</w:t>
      </w:r>
      <w:r w:rsidRPr="0031291F">
        <w:rPr>
          <w:rFonts w:hint="eastAsia"/>
        </w:rPr>
        <w:t>期刊發表</w:t>
      </w:r>
      <w:r w:rsidRPr="0031291F">
        <w:rPr>
          <w:rFonts w:hAnsi="標楷體" w:hint="eastAsia"/>
        </w:rPr>
        <w:t>」</w:t>
      </w:r>
      <w:r w:rsidRPr="0031291F">
        <w:rPr>
          <w:rFonts w:hint="eastAsia"/>
        </w:rPr>
        <w:t>共</w:t>
      </w:r>
      <w:r w:rsidRPr="0031291F">
        <w:t>5,013</w:t>
      </w:r>
      <w:r w:rsidRPr="0031291F">
        <w:rPr>
          <w:rFonts w:hint="eastAsia"/>
        </w:rPr>
        <w:t>篇</w:t>
      </w:r>
      <w:r w:rsidRPr="0031291F">
        <w:rPr>
          <w:rFonts w:hAnsi="標楷體" w:hint="eastAsia"/>
        </w:rPr>
        <w:t>，臺中榮總體系共</w:t>
      </w:r>
      <w:r w:rsidRPr="0031291F">
        <w:rPr>
          <w:rFonts w:hAnsi="標楷體"/>
        </w:rPr>
        <w:t>2,660</w:t>
      </w:r>
      <w:r w:rsidRPr="0031291F">
        <w:rPr>
          <w:rFonts w:hAnsi="標楷體" w:hint="eastAsia"/>
        </w:rPr>
        <w:t>篇居次，惟高雄榮總體系及屏東榮總(含龍泉)分別共1,480篇及</w:t>
      </w:r>
      <w:r w:rsidRPr="0031291F">
        <w:rPr>
          <w:rFonts w:hAnsi="標楷體"/>
        </w:rPr>
        <w:t>60</w:t>
      </w:r>
      <w:r w:rsidRPr="0031291F">
        <w:rPr>
          <w:rFonts w:hAnsi="標楷體" w:hint="eastAsia"/>
        </w:rPr>
        <w:t>篇相對偏低，顯示南部榮院研究能量仍有精進空間。另「專利申請」以臺北榮總</w:t>
      </w:r>
      <w:r w:rsidRPr="0031291F">
        <w:rPr>
          <w:rFonts w:hAnsi="標楷體"/>
        </w:rPr>
        <w:t>93</w:t>
      </w:r>
      <w:r w:rsidRPr="0031291F">
        <w:rPr>
          <w:rFonts w:hAnsi="標楷體" w:hint="eastAsia"/>
        </w:rPr>
        <w:t>人最高，然新竹分院、玉里分院(含鳳林、臺東分院)之專利申請卻均為0人，此現象顯示，雖同屬臺北榮總體系，惟總院之研究資源與能量恐未能</w:t>
      </w:r>
      <w:r w:rsidRPr="0031291F">
        <w:rPr>
          <w:rFonts w:hAnsi="標楷體" w:hint="eastAsia"/>
        </w:rPr>
        <w:lastRenderedPageBreak/>
        <w:t>有效擴及各分院，各分院多以地區醫療服務為主，研究功能相對薄弱，跨院區研究協作容待強化。</w:t>
      </w:r>
    </w:p>
    <w:p w:rsidR="00F62D8F" w:rsidRPr="0031291F" w:rsidRDefault="00F62D8F" w:rsidP="00F62D8F">
      <w:pPr>
        <w:pStyle w:val="21"/>
        <w:ind w:left="850" w:firstLine="566"/>
        <w:rPr>
          <w:rFonts w:hAnsi="標楷體" w:hint="eastAsia"/>
        </w:rPr>
      </w:pPr>
      <w:r w:rsidRPr="0031291F">
        <w:rPr>
          <w:rFonts w:hAnsi="標楷體" w:hint="eastAsia"/>
        </w:rPr>
        <w:t>又「臨床醫事師資培育」方面，以臺中榮總體系共</w:t>
      </w:r>
      <w:r w:rsidRPr="0031291F">
        <w:rPr>
          <w:rFonts w:hAnsi="標楷體"/>
        </w:rPr>
        <w:t>1</w:t>
      </w:r>
      <w:r w:rsidRPr="0031291F">
        <w:rPr>
          <w:rFonts w:hAnsi="標楷體" w:hint="eastAsia"/>
        </w:rPr>
        <w:t>萬</w:t>
      </w:r>
      <w:r w:rsidRPr="0031291F">
        <w:rPr>
          <w:rFonts w:hAnsi="標楷體"/>
        </w:rPr>
        <w:t>1,664</w:t>
      </w:r>
      <w:r w:rsidRPr="0031291F">
        <w:rPr>
          <w:rFonts w:hAnsi="標楷體" w:hint="eastAsia"/>
        </w:rPr>
        <w:lastRenderedPageBreak/>
        <w:t>人最高，臺北榮總體系及高雄榮總體系合計各為</w:t>
      </w:r>
      <w:r w:rsidRPr="0031291F">
        <w:rPr>
          <w:rFonts w:hAnsi="標楷體"/>
        </w:rPr>
        <w:t>2,996</w:t>
      </w:r>
      <w:r w:rsidRPr="0031291F">
        <w:rPr>
          <w:rFonts w:hAnsi="標楷體" w:hint="eastAsia"/>
        </w:rPr>
        <w:t>人及</w:t>
      </w:r>
      <w:r w:rsidRPr="0031291F">
        <w:rPr>
          <w:rFonts w:hAnsi="標楷體"/>
        </w:rPr>
        <w:t>1,809</w:t>
      </w:r>
      <w:r w:rsidRPr="0031291F">
        <w:rPr>
          <w:rFonts w:hAnsi="標楷體" w:hint="eastAsia"/>
        </w:rPr>
        <w:t>人相對偏低；「臨床技能訓練參與」方面，以臺北及高雄榮總體系分別為</w:t>
      </w:r>
      <w:r w:rsidRPr="0031291F">
        <w:rPr>
          <w:rFonts w:hAnsi="標楷體"/>
        </w:rPr>
        <w:t>13</w:t>
      </w:r>
      <w:r w:rsidRPr="0031291F">
        <w:rPr>
          <w:rFonts w:hAnsi="標楷體" w:hint="eastAsia"/>
        </w:rPr>
        <w:t>萬</w:t>
      </w:r>
      <w:r w:rsidRPr="0031291F">
        <w:rPr>
          <w:rFonts w:hAnsi="標楷體"/>
        </w:rPr>
        <w:t>6,591</w:t>
      </w:r>
      <w:r w:rsidRPr="0031291F">
        <w:rPr>
          <w:rFonts w:hAnsi="標楷體" w:hint="eastAsia"/>
        </w:rPr>
        <w:t>人次及</w:t>
      </w:r>
      <w:r w:rsidRPr="0031291F">
        <w:rPr>
          <w:rFonts w:hAnsi="標楷體"/>
        </w:rPr>
        <w:t>11</w:t>
      </w:r>
      <w:r w:rsidRPr="0031291F">
        <w:rPr>
          <w:rFonts w:hAnsi="標楷體" w:hint="eastAsia"/>
        </w:rPr>
        <w:t>萬</w:t>
      </w:r>
      <w:r w:rsidRPr="0031291F">
        <w:rPr>
          <w:rFonts w:hAnsi="標楷體"/>
        </w:rPr>
        <w:t>1,160</w:t>
      </w:r>
      <w:r w:rsidRPr="0031291F">
        <w:rPr>
          <w:rFonts w:hAnsi="標楷體" w:hint="eastAsia"/>
        </w:rPr>
        <w:t>人次，均逾十萬餘人，惟臺中榮總體系計僅</w:t>
      </w:r>
      <w:r w:rsidRPr="0031291F">
        <w:rPr>
          <w:rFonts w:hAnsi="標楷體"/>
        </w:rPr>
        <w:t>3</w:t>
      </w:r>
      <w:r w:rsidRPr="0031291F">
        <w:rPr>
          <w:rFonts w:hAnsi="標楷體" w:hint="eastAsia"/>
        </w:rPr>
        <w:t>萬</w:t>
      </w:r>
      <w:r w:rsidRPr="0031291F">
        <w:rPr>
          <w:rFonts w:hAnsi="標楷體"/>
        </w:rPr>
        <w:t>9,888</w:t>
      </w:r>
      <w:r w:rsidRPr="0031291F">
        <w:rPr>
          <w:rFonts w:hAnsi="標楷體" w:hint="eastAsia"/>
        </w:rPr>
        <w:t>人次，各體系臨床教學資源差距頗大</w:t>
      </w:r>
      <w:r w:rsidR="00E95CCA" w:rsidRPr="0031291F">
        <w:rPr>
          <w:rFonts w:hAnsi="標楷體" w:hint="eastAsia"/>
        </w:rPr>
        <w:t>，</w:t>
      </w:r>
      <w:r w:rsidRPr="0031291F">
        <w:rPr>
          <w:rFonts w:hAnsi="標楷體" w:hint="eastAsia"/>
        </w:rPr>
        <w:t>退輔會允宜研議跨院區研究協作及臨床教學資源整合策略，以提升整體研究與教學品質。</w:t>
      </w:r>
    </w:p>
    <w:p w:rsidR="00F62D8F" w:rsidRPr="0031291F" w:rsidRDefault="00F62D8F" w:rsidP="00F62D8F">
      <w:pPr>
        <w:ind w:leftChars="-54" w:left="567" w:rightChars="-86" w:right="-244" w:hangingChars="254" w:hanging="720"/>
        <w:rPr>
          <w:rFonts w:hint="eastAsia"/>
          <w:b/>
        </w:rPr>
      </w:pPr>
      <w:r w:rsidRPr="0031291F">
        <w:rPr>
          <w:rFonts w:hint="eastAsia"/>
          <w:b/>
        </w:rPr>
        <w:t>表2 111至114年度(截至8月底止)各級榮院教學研究業務執行成效表</w:t>
      </w:r>
    </w:p>
    <w:tbl>
      <w:tblPr>
        <w:tblW w:w="876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56"/>
        <w:gridCol w:w="1462"/>
        <w:gridCol w:w="1462"/>
        <w:gridCol w:w="1462"/>
        <w:gridCol w:w="1462"/>
        <w:gridCol w:w="1462"/>
      </w:tblGrid>
      <w:tr w:rsidR="00F62D8F" w:rsidRPr="0031291F" w:rsidTr="00231B45">
        <w:trPr>
          <w:trHeight w:val="680"/>
          <w:tblHeader/>
          <w:jc w:val="center"/>
        </w:trPr>
        <w:tc>
          <w:tcPr>
            <w:tcW w:w="1456" w:type="dxa"/>
            <w:shd w:val="clear" w:color="auto" w:fill="auto"/>
            <w:vAlign w:val="center"/>
            <w:hideMark/>
          </w:tcPr>
          <w:p w:rsidR="00F62D8F" w:rsidRPr="0031291F" w:rsidRDefault="00F62D8F" w:rsidP="007E1699">
            <w:pPr>
              <w:pStyle w:val="142"/>
              <w:rPr>
                <w:snapToGrid/>
              </w:rPr>
            </w:pPr>
            <w:r w:rsidRPr="0031291F">
              <w:rPr>
                <w:rFonts w:hint="eastAsia"/>
                <w:snapToGrid/>
              </w:rPr>
              <w:t>醫院別</w:t>
            </w:r>
          </w:p>
        </w:tc>
        <w:tc>
          <w:tcPr>
            <w:tcW w:w="1462" w:type="dxa"/>
            <w:shd w:val="clear" w:color="auto" w:fill="auto"/>
            <w:vAlign w:val="center"/>
            <w:hideMark/>
          </w:tcPr>
          <w:p w:rsidR="00F62D8F" w:rsidRPr="0031291F" w:rsidRDefault="00F62D8F" w:rsidP="007E1699">
            <w:pPr>
              <w:pStyle w:val="142"/>
              <w:jc w:val="center"/>
              <w:rPr>
                <w:snapToGrid/>
              </w:rPr>
            </w:pPr>
            <w:r w:rsidRPr="0031291F">
              <w:rPr>
                <w:rFonts w:hint="eastAsia"/>
                <w:snapToGrid/>
              </w:rPr>
              <w:t>期刊發表(篇)</w:t>
            </w:r>
          </w:p>
        </w:tc>
        <w:tc>
          <w:tcPr>
            <w:tcW w:w="1462" w:type="dxa"/>
            <w:shd w:val="clear" w:color="auto" w:fill="auto"/>
            <w:vAlign w:val="center"/>
            <w:hideMark/>
          </w:tcPr>
          <w:p w:rsidR="00F62D8F" w:rsidRPr="0031291F" w:rsidRDefault="00F62D8F" w:rsidP="007E1699">
            <w:pPr>
              <w:pStyle w:val="142"/>
              <w:jc w:val="center"/>
              <w:rPr>
                <w:snapToGrid/>
              </w:rPr>
            </w:pPr>
            <w:r w:rsidRPr="0031291F">
              <w:rPr>
                <w:rFonts w:hint="eastAsia"/>
                <w:snapToGrid/>
              </w:rPr>
              <w:t>專利申請(人)</w:t>
            </w:r>
          </w:p>
        </w:tc>
        <w:tc>
          <w:tcPr>
            <w:tcW w:w="1462" w:type="dxa"/>
            <w:shd w:val="clear" w:color="auto" w:fill="auto"/>
            <w:vAlign w:val="center"/>
            <w:hideMark/>
          </w:tcPr>
          <w:p w:rsidR="00F62D8F" w:rsidRPr="0031291F" w:rsidRDefault="00F62D8F" w:rsidP="007E1699">
            <w:pPr>
              <w:pStyle w:val="142"/>
              <w:jc w:val="center"/>
              <w:rPr>
                <w:rFonts w:hint="eastAsia"/>
                <w:snapToGrid/>
              </w:rPr>
            </w:pPr>
            <w:r w:rsidRPr="0031291F">
              <w:rPr>
                <w:rFonts w:hint="eastAsia"/>
                <w:snapToGrid/>
              </w:rPr>
              <w:t>臨床醫事師資培育</w:t>
            </w:r>
          </w:p>
          <w:p w:rsidR="00F62D8F" w:rsidRPr="0031291F" w:rsidRDefault="00F62D8F" w:rsidP="007E1699">
            <w:pPr>
              <w:pStyle w:val="142"/>
              <w:jc w:val="center"/>
              <w:rPr>
                <w:snapToGrid/>
              </w:rPr>
            </w:pPr>
            <w:r w:rsidRPr="0031291F">
              <w:rPr>
                <w:rFonts w:hint="eastAsia"/>
                <w:snapToGrid/>
              </w:rPr>
              <w:t>(人)</w:t>
            </w:r>
          </w:p>
        </w:tc>
        <w:tc>
          <w:tcPr>
            <w:tcW w:w="1462" w:type="dxa"/>
            <w:shd w:val="clear" w:color="auto" w:fill="auto"/>
            <w:vAlign w:val="center"/>
            <w:hideMark/>
          </w:tcPr>
          <w:p w:rsidR="00F62D8F" w:rsidRPr="0031291F" w:rsidRDefault="00F62D8F" w:rsidP="007E1699">
            <w:pPr>
              <w:pStyle w:val="142"/>
              <w:jc w:val="center"/>
              <w:rPr>
                <w:rFonts w:hint="eastAsia"/>
                <w:snapToGrid/>
              </w:rPr>
            </w:pPr>
            <w:r w:rsidRPr="0031291F">
              <w:rPr>
                <w:rFonts w:hint="eastAsia"/>
                <w:snapToGrid/>
              </w:rPr>
              <w:t>臨床技能訓練參與</w:t>
            </w:r>
          </w:p>
          <w:p w:rsidR="00F62D8F" w:rsidRPr="0031291F" w:rsidRDefault="00F62D8F" w:rsidP="007E1699">
            <w:pPr>
              <w:pStyle w:val="142"/>
              <w:jc w:val="center"/>
              <w:rPr>
                <w:snapToGrid/>
              </w:rPr>
            </w:pPr>
            <w:r w:rsidRPr="0031291F">
              <w:rPr>
                <w:rFonts w:hint="eastAsia"/>
                <w:snapToGrid/>
              </w:rPr>
              <w:t>(人次)</w:t>
            </w:r>
          </w:p>
        </w:tc>
        <w:tc>
          <w:tcPr>
            <w:tcW w:w="1462" w:type="dxa"/>
            <w:shd w:val="clear" w:color="auto" w:fill="auto"/>
            <w:vAlign w:val="center"/>
            <w:hideMark/>
          </w:tcPr>
          <w:p w:rsidR="00F62D8F" w:rsidRPr="0031291F" w:rsidRDefault="00F62D8F" w:rsidP="007E1699">
            <w:pPr>
              <w:pStyle w:val="142"/>
              <w:jc w:val="center"/>
              <w:rPr>
                <w:snapToGrid/>
              </w:rPr>
            </w:pPr>
            <w:r w:rsidRPr="0031291F">
              <w:rPr>
                <w:rFonts w:hint="eastAsia"/>
                <w:snapToGrid/>
              </w:rPr>
              <w:t>博碩士進修(人)</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shd w:val="pct15" w:color="auto" w:fill="FFFFFF"/>
              </w:rPr>
              <w:t>臺北榮總</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4,781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shd w:val="pct15" w:color="auto" w:fill="FFFFFF"/>
              </w:rPr>
              <w:t>93</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2,537</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118,531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1,006</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rPr>
              <w:t>桃園分院</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93</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82</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9,989</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71</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shd w:val="pct15" w:color="auto" w:fill="FFFFFF"/>
              </w:rPr>
              <w:t>新竹分院</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29</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shd w:val="pct15" w:color="auto" w:fill="FFFFFF"/>
              </w:rPr>
              <w:t>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59</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5,297</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26</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rFonts w:hint="eastAsia"/>
                <w:snapToGrid/>
              </w:rPr>
            </w:pPr>
            <w:r w:rsidRPr="0031291F">
              <w:rPr>
                <w:rFonts w:hint="eastAsia"/>
                <w:snapToGrid/>
              </w:rPr>
              <w:t>蘇澳分院</w:t>
            </w:r>
          </w:p>
          <w:p w:rsidR="00F62D8F" w:rsidRPr="0031291F" w:rsidRDefault="00F62D8F" w:rsidP="00231B45">
            <w:pPr>
              <w:pStyle w:val="142"/>
              <w:jc w:val="center"/>
              <w:rPr>
                <w:snapToGrid/>
              </w:rPr>
            </w:pPr>
            <w:r w:rsidRPr="0031291F">
              <w:rPr>
                <w:rFonts w:hint="eastAsia"/>
                <w:snapToGrid/>
              </w:rPr>
              <w:t>(含員山)</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96</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172</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1,710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59</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rFonts w:hint="eastAsia"/>
                <w:snapToGrid/>
                <w:shd w:val="pct15" w:color="auto" w:fill="FFFFFF"/>
              </w:rPr>
            </w:pPr>
            <w:r w:rsidRPr="0031291F">
              <w:rPr>
                <w:rFonts w:hint="eastAsia"/>
                <w:snapToGrid/>
                <w:shd w:val="pct15" w:color="auto" w:fill="FFFFFF"/>
              </w:rPr>
              <w:t>玉里分院</w:t>
            </w:r>
          </w:p>
          <w:p w:rsidR="00F62D8F" w:rsidRPr="0031291F" w:rsidRDefault="00F62D8F" w:rsidP="00231B45">
            <w:pPr>
              <w:pStyle w:val="142"/>
              <w:jc w:val="center"/>
              <w:rPr>
                <w:snapToGrid/>
                <w:shd w:val="pct15" w:color="auto" w:fill="FFFFFF"/>
              </w:rPr>
            </w:pPr>
            <w:r w:rsidRPr="0031291F">
              <w:rPr>
                <w:rFonts w:hint="eastAsia"/>
                <w:snapToGrid/>
                <w:shd w:val="pct15" w:color="auto" w:fill="FFFFFF"/>
              </w:rPr>
              <w:t>(含鳳林、臺東分院)</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14</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shd w:val="pct15" w:color="auto" w:fill="FFFFFF"/>
              </w:rPr>
              <w:t>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146</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1,064</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63</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臺北榮總及其所轄分院小計</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Cs/>
                <w:shd w:val="pct15" w:color="auto" w:fill="FFFFFF"/>
              </w:rPr>
              <w:t>5,01</w:t>
            </w:r>
            <w:r w:rsidRPr="0031291F">
              <w:rPr>
                <w:rFonts w:hint="eastAsia"/>
                <w:b/>
                <w:bCs/>
                <w:shd w:val="pct15" w:color="auto" w:fill="FFFFFF"/>
              </w:rPr>
              <w:t>3</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97</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2,996</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136,591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1,225</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rPr>
              <w:t>臺中榮總</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2,538</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73</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7,045</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35,635</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805</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rPr>
              <w:t>埔里分院</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35</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4</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1,511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2,366</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76</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rPr>
              <w:t>嘉義分院</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87</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14</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3,108</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1,887</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94</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臺中榮總及其所轄分院小計</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2,660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91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11,664</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39,888</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975</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rPr>
              <w:t>高雄榮總</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1,470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61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1,699</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109,590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72</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231B45">
            <w:pPr>
              <w:pStyle w:val="142"/>
              <w:jc w:val="center"/>
              <w:rPr>
                <w:snapToGrid/>
              </w:rPr>
            </w:pPr>
            <w:r w:rsidRPr="0031291F">
              <w:rPr>
                <w:rFonts w:hint="eastAsia"/>
                <w:snapToGrid/>
              </w:rPr>
              <w:t>臺南分院</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9</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110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1,570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szCs w:val="24"/>
              </w:rPr>
            </w:pPr>
            <w:r w:rsidRPr="0031291F">
              <w:rPr>
                <w:rFonts w:hint="eastAsia"/>
              </w:rPr>
              <w:t>41</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高雄榮總及其所轄分院小計</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1,480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70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1,809</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shd w:val="pct15" w:color="auto" w:fill="FFFFFF"/>
              </w:rPr>
              <w:t>111,160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113</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t>屏東榮總(含龍泉)</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60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9</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661</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725</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rPr>
            </w:pPr>
            <w:r w:rsidRPr="0031291F">
              <w:rPr>
                <w:rFonts w:hint="eastAsia"/>
                <w:b/>
                <w:bCs/>
              </w:rPr>
              <w:t>70</w:t>
            </w:r>
          </w:p>
        </w:tc>
      </w:tr>
      <w:tr w:rsidR="00F62D8F" w:rsidRPr="0031291F" w:rsidTr="007E1699">
        <w:trPr>
          <w:trHeight w:val="340"/>
          <w:jc w:val="center"/>
        </w:trPr>
        <w:tc>
          <w:tcPr>
            <w:tcW w:w="1456" w:type="dxa"/>
            <w:shd w:val="clear" w:color="auto" w:fill="auto"/>
            <w:noWrap/>
            <w:vAlign w:val="center"/>
            <w:hideMark/>
          </w:tcPr>
          <w:p w:rsidR="00F62D8F" w:rsidRPr="0031291F" w:rsidRDefault="00F62D8F" w:rsidP="007E1699">
            <w:pPr>
              <w:pStyle w:val="142"/>
              <w:rPr>
                <w:b/>
                <w:bCs/>
                <w:snapToGrid/>
              </w:rPr>
            </w:pPr>
            <w:r w:rsidRPr="0031291F">
              <w:rPr>
                <w:rFonts w:hint="eastAsia"/>
                <w:b/>
                <w:bCs/>
                <w:snapToGrid/>
              </w:rPr>
              <w:lastRenderedPageBreak/>
              <w:t>合計</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shd w:val="pct15" w:color="auto" w:fill="FFFFFF"/>
              </w:rPr>
            </w:pPr>
            <w:r w:rsidRPr="0031291F">
              <w:rPr>
                <w:rFonts w:hint="eastAsia"/>
                <w:b/>
                <w:bCs/>
                <w:shd w:val="pct15" w:color="auto" w:fill="FFFFFF"/>
              </w:rPr>
              <w:t>9,213</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shd w:val="pct15" w:color="auto" w:fill="FFFFFF"/>
              </w:rPr>
            </w:pPr>
            <w:r w:rsidRPr="0031291F">
              <w:rPr>
                <w:rFonts w:hint="eastAsia"/>
                <w:b/>
                <w:bCs/>
                <w:shd w:val="pct15" w:color="auto" w:fill="FFFFFF"/>
              </w:rPr>
              <w:t>267</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shd w:val="pct15" w:color="auto" w:fill="FFFFFF"/>
              </w:rPr>
            </w:pPr>
            <w:r w:rsidRPr="0031291F">
              <w:rPr>
                <w:rFonts w:hint="eastAsia"/>
                <w:b/>
                <w:bCs/>
                <w:shd w:val="pct15" w:color="auto" w:fill="FFFFFF"/>
              </w:rPr>
              <w:t>17,130</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shd w:val="pct15" w:color="auto" w:fill="FFFFFF"/>
              </w:rPr>
            </w:pPr>
            <w:r w:rsidRPr="0031291F">
              <w:rPr>
                <w:rFonts w:hint="eastAsia"/>
                <w:b/>
                <w:bCs/>
                <w:shd w:val="pct15" w:color="auto" w:fill="FFFFFF"/>
              </w:rPr>
              <w:t>288,364</w:t>
            </w:r>
          </w:p>
        </w:tc>
        <w:tc>
          <w:tcPr>
            <w:tcW w:w="1462" w:type="dxa"/>
            <w:shd w:val="clear" w:color="auto" w:fill="auto"/>
            <w:noWrap/>
            <w:vAlign w:val="center"/>
            <w:hideMark/>
          </w:tcPr>
          <w:p w:rsidR="00F62D8F" w:rsidRPr="0031291F" w:rsidRDefault="00F62D8F" w:rsidP="007E1699">
            <w:pPr>
              <w:pStyle w:val="142"/>
              <w:jc w:val="right"/>
              <w:rPr>
                <w:rFonts w:ascii="新細明體" w:eastAsia="新細明體" w:hAnsi="新細明體" w:cs="新細明體"/>
                <w:b/>
                <w:bCs/>
                <w:szCs w:val="24"/>
                <w:shd w:val="pct15" w:color="auto" w:fill="FFFFFF"/>
              </w:rPr>
            </w:pPr>
            <w:r w:rsidRPr="0031291F">
              <w:rPr>
                <w:rFonts w:hint="eastAsia"/>
                <w:b/>
                <w:bCs/>
                <w:shd w:val="pct15" w:color="auto" w:fill="FFFFFF"/>
              </w:rPr>
              <w:t>2,383</w:t>
            </w:r>
          </w:p>
        </w:tc>
      </w:tr>
    </w:tbl>
    <w:p w:rsidR="00F62D8F" w:rsidRPr="0031291F" w:rsidRDefault="00F62D8F" w:rsidP="00F62D8F">
      <w:pPr>
        <w:pStyle w:val="142"/>
        <w:ind w:left="567" w:hanging="567"/>
        <w:rPr>
          <w:rFonts w:hint="eastAsia"/>
          <w:b/>
        </w:rPr>
      </w:pPr>
      <w:r w:rsidRPr="0031291F">
        <w:rPr>
          <w:rFonts w:hint="eastAsia"/>
        </w:rPr>
        <w:t>資料來源：輔導會提供，本中心彙製。</w:t>
      </w:r>
    </w:p>
    <w:p w:rsidR="00F62D8F" w:rsidRPr="0031291F" w:rsidRDefault="00F62D8F" w:rsidP="00F62D8F">
      <w:pPr>
        <w:ind w:left="566" w:firstLine="566"/>
        <w:rPr>
          <w:rFonts w:hAnsi="標楷體" w:hint="eastAsia"/>
        </w:rPr>
      </w:pPr>
      <w:r w:rsidRPr="0031291F">
        <w:rPr>
          <w:rFonts w:hint="eastAsia"/>
        </w:rPr>
        <w:t>綜上</w:t>
      </w:r>
      <w:r w:rsidRPr="0031291F">
        <w:rPr>
          <w:rFonts w:hAnsi="標楷體" w:hint="eastAsia"/>
        </w:rPr>
        <w:t>，為精進榮民醫療體系尖端醫學研究量能，退輔會近年</w:t>
      </w:r>
      <w:r w:rsidR="00E95CCA" w:rsidRPr="0031291F">
        <w:rPr>
          <w:rFonts w:hAnsi="標楷體" w:hint="eastAsia"/>
        </w:rPr>
        <w:lastRenderedPageBreak/>
        <w:t>賡續</w:t>
      </w:r>
      <w:r w:rsidRPr="0031291F">
        <w:rPr>
          <w:rFonts w:hAnsi="標楷體" w:hint="eastAsia"/>
        </w:rPr>
        <w:t>推動臨床教學與研究補助</w:t>
      </w:r>
      <w:r w:rsidR="00E95CCA" w:rsidRPr="0031291F">
        <w:rPr>
          <w:rFonts w:hAnsi="標楷體" w:hint="eastAsia"/>
        </w:rPr>
        <w:t>業務</w:t>
      </w:r>
      <w:r w:rsidRPr="0031291F">
        <w:rPr>
          <w:rFonts w:hAnsi="標楷體" w:hint="eastAsia"/>
        </w:rPr>
        <w:t>，惟區域間執行成果</w:t>
      </w:r>
      <w:r w:rsidR="00E95CCA" w:rsidRPr="0031291F">
        <w:rPr>
          <w:rFonts w:hAnsi="標楷體" w:hint="eastAsia"/>
        </w:rPr>
        <w:t>容有差異</w:t>
      </w:r>
      <w:r w:rsidRPr="0031291F">
        <w:rPr>
          <w:rFonts w:hAnsi="標楷體" w:hint="eastAsia"/>
        </w:rPr>
        <w:t>，允宜</w:t>
      </w:r>
      <w:r w:rsidR="00E95CCA" w:rsidRPr="0031291F">
        <w:rPr>
          <w:rFonts w:hAnsi="標楷體" w:hint="eastAsia"/>
        </w:rPr>
        <w:t>衡酌資源配置</w:t>
      </w:r>
      <w:r w:rsidRPr="0031291F">
        <w:rPr>
          <w:rFonts w:hAnsi="標楷體" w:hint="eastAsia"/>
        </w:rPr>
        <w:t>，</w:t>
      </w:r>
      <w:r w:rsidR="00E95CCA" w:rsidRPr="0031291F">
        <w:rPr>
          <w:rFonts w:hAnsi="標楷體" w:hint="eastAsia"/>
        </w:rPr>
        <w:t>並建立各級榮院研究成效量化指標與經費投入成</w:t>
      </w:r>
      <w:r w:rsidRPr="0031291F">
        <w:rPr>
          <w:rFonts w:hAnsi="標楷體" w:hint="eastAsia"/>
        </w:rPr>
        <w:t>效分析機制，俾</w:t>
      </w:r>
      <w:r w:rsidR="00E95CCA" w:rsidRPr="0031291F">
        <w:rPr>
          <w:rFonts w:hAnsi="標楷體" w:hint="eastAsia"/>
        </w:rPr>
        <w:t>均衡</w:t>
      </w:r>
      <w:r w:rsidRPr="0031291F">
        <w:rPr>
          <w:rFonts w:hAnsi="標楷體" w:hint="eastAsia"/>
        </w:rPr>
        <w:t>補助款資源使用效益；另各級榮院</w:t>
      </w:r>
      <w:r w:rsidR="00E95CCA" w:rsidRPr="0031291F">
        <w:rPr>
          <w:rFonts w:hAnsi="標楷體" w:hint="eastAsia"/>
        </w:rPr>
        <w:t>教學</w:t>
      </w:r>
      <w:r w:rsidRPr="0031291F">
        <w:rPr>
          <w:rFonts w:hAnsi="標楷體" w:hint="eastAsia"/>
        </w:rPr>
        <w:t>研究與臨床訓練</w:t>
      </w:r>
      <w:r w:rsidR="00E95CCA" w:rsidRPr="0031291F">
        <w:rPr>
          <w:rFonts w:hAnsi="標楷體" w:hint="eastAsia"/>
        </w:rPr>
        <w:t>量能恐未能有效擴及各分院</w:t>
      </w:r>
      <w:r w:rsidRPr="0031291F">
        <w:rPr>
          <w:rFonts w:hAnsi="標楷體" w:hint="eastAsia"/>
        </w:rPr>
        <w:t>，宜研議跨院區研究協作及臨床教學資源整合策略，以提升整體研究與教學品質。</w:t>
      </w:r>
    </w:p>
    <w:bookmarkEnd w:id="9"/>
    <w:bookmarkEnd w:id="10"/>
    <w:bookmarkEnd w:id="6"/>
    <w:bookmarkEnd w:id="7"/>
    <w:bookmarkEnd w:id="3"/>
    <w:bookmarkEnd w:id="4"/>
    <w:bookmarkEnd w:id="5"/>
    <w:sectPr w:rsidR="00F62D8F"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0239B4" w:rsidRPr="000239B4">
      <w:rPr>
        <w:rFonts w:ascii="標楷體" w:eastAsia="標楷體" w:hAnsi="標楷體"/>
        <w:noProof/>
        <w:lang w:val="zh-TW" w:eastAsia="zh-TW"/>
      </w:rPr>
      <w:t>3</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 w:id="2">
    <w:p w:rsidR="00314101" w:rsidRPr="0031291F" w:rsidRDefault="00314101" w:rsidP="005B4F32">
      <w:pPr>
        <w:pStyle w:val="aff2"/>
        <w:ind w:left="83" w:hangingChars="34" w:hanging="83"/>
        <w:jc w:val="both"/>
        <w:rPr>
          <w:rStyle w:val="1a"/>
          <w:lang w:val="x-none"/>
        </w:rPr>
      </w:pPr>
      <w:r>
        <w:rPr>
          <w:rStyle w:val="afc"/>
        </w:rPr>
        <w:footnoteRef/>
      </w:r>
      <w:r w:rsidRPr="0031291F">
        <w:rPr>
          <w:rStyle w:val="1a"/>
          <w:rFonts w:hint="eastAsia"/>
        </w:rPr>
        <w:t>退輔會「國軍退除役官兵輔導委員會所屬醫療機構醫學臨床教學研究計畫作業指導原則」第1條規定</w:t>
      </w:r>
      <w:r w:rsidRPr="0031291F">
        <w:rPr>
          <w:rStyle w:val="1a"/>
          <w:rFonts w:hAnsi="標楷體" w:hint="eastAsia"/>
        </w:rPr>
        <w:t>：</w:t>
      </w:r>
      <w:r w:rsidRPr="0031291F">
        <w:rPr>
          <w:rStyle w:val="1a"/>
          <w:rFonts w:hint="eastAsia"/>
        </w:rPr>
        <w:t>「國軍退除役官兵輔導委員會(以下簡稱本會)為提供優質醫療服務，並提升國內醫學研究水準，</w:t>
      </w:r>
      <w:r w:rsidRPr="0031291F">
        <w:rPr>
          <w:rStyle w:val="1a"/>
          <w:rFonts w:hint="eastAsia"/>
          <w:shd w:val="pct15" w:color="auto" w:fill="FFFFFF"/>
        </w:rPr>
        <w:t>依法編列醫學研究相關預算</w:t>
      </w:r>
      <w:r w:rsidRPr="0031291F">
        <w:rPr>
          <w:rStyle w:val="1a"/>
        </w:rPr>
        <w:t>…</w:t>
      </w:r>
      <w:r w:rsidRPr="0031291F">
        <w:rPr>
          <w:rStyle w:val="1a"/>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39B4"/>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70B2600-1F54-4E60-B41B-46E25B0E7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2BCF2-43E7-41C7-8AE2-E600077F7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473</Words>
  <Characters>2698</Characters>
  <Application>Microsoft Office Word</Application>
  <DocSecurity>0</DocSecurity>
  <Lines>22</Lines>
  <Paragraphs>6</Paragraphs>
  <ScaleCrop>false</ScaleCrop>
  <Company/>
  <LinksUpToDate>false</LinksUpToDate>
  <CharactersWithSpaces>3165</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