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E1699" w:rsidP="009E5967">
      <w:pPr>
        <w:pStyle w:val="14"/>
        <w:rPr>
          <w:rFonts w:hint="eastAsia"/>
        </w:rPr>
      </w:pPr>
      <w:bookmarkStart w:id="3" w:name="_Toc145440143"/>
      <w:bookmarkStart w:id="4" w:name="_Toc147409880"/>
      <w:bookmarkStart w:id="5" w:name="_Toc529190314"/>
      <w:bookmarkStart w:id="6" w:name="_Toc54797571"/>
      <w:bookmarkStart w:id="7" w:name="_Toc116631633"/>
      <w:bookmarkStart w:id="8" w:name="_Toc79392314"/>
      <w:bookmarkStart w:id="9" w:name="_Toc117151464"/>
      <w:bookmarkStart w:id="10" w:name="_Toc213247889"/>
      <w:bookmarkEnd w:id="1"/>
      <w:bookmarkEnd w:id="2"/>
      <w:r w:rsidRPr="0031291F">
        <w:rPr>
          <w:rFonts w:hint="eastAsia"/>
        </w:rPr>
        <w:t>八</w:t>
      </w:r>
      <w:r w:rsidR="0070734D" w:rsidRPr="0031291F">
        <w:rPr>
          <w:rFonts w:hint="eastAsia"/>
        </w:rPr>
        <w:t>、115年度</w:t>
      </w:r>
      <w:r w:rsidR="00286342" w:rsidRPr="0031291F">
        <w:rPr>
          <w:rFonts w:hint="eastAsia"/>
        </w:rPr>
        <w:t>賡</w:t>
      </w:r>
      <w:r w:rsidR="00F0217A" w:rsidRPr="0031291F">
        <w:rPr>
          <w:rFonts w:hint="eastAsia"/>
        </w:rPr>
        <w:t>續配合辦理數發部「強化資料傳輸韌性計畫」案</w:t>
      </w:r>
      <w:r w:rsidR="0070734D" w:rsidRPr="0031291F">
        <w:rPr>
          <w:rFonts w:hint="eastAsia"/>
        </w:rPr>
        <w:t>，</w:t>
      </w:r>
      <w:r w:rsidR="00D45A7D" w:rsidRPr="0031291F">
        <w:rPr>
          <w:rFonts w:hint="eastAsia"/>
        </w:rPr>
        <w:t>允宜</w:t>
      </w:r>
      <w:r w:rsidR="0070734D" w:rsidRPr="0031291F">
        <w:rPr>
          <w:rFonts w:hint="eastAsia"/>
        </w:rPr>
        <w:t>加強相關部會協調，並納入資安監測與應變機制</w:t>
      </w:r>
      <w:r w:rsidR="00A2584E" w:rsidRPr="0031291F">
        <w:rPr>
          <w:rFonts w:hint="eastAsia"/>
        </w:rPr>
        <w:t>及</w:t>
      </w:r>
      <w:r w:rsidR="0070734D" w:rsidRPr="0031291F">
        <w:rPr>
          <w:rFonts w:hint="eastAsia"/>
        </w:rPr>
        <w:t>設定效益指標，俾利計畫如期如質完成</w:t>
      </w:r>
      <w:bookmarkEnd w:id="8"/>
      <w:bookmarkEnd w:id="9"/>
      <w:bookmarkEnd w:id="10"/>
    </w:p>
    <w:p w:rsidR="0070734D" w:rsidRPr="0031291F" w:rsidRDefault="0070734D" w:rsidP="00517110">
      <w:pPr>
        <w:ind w:left="566" w:firstLine="566"/>
        <w:rPr>
          <w:rFonts w:hint="eastAsia"/>
          <w:snapToGrid/>
        </w:rPr>
      </w:pPr>
      <w:r w:rsidRPr="0031291F">
        <w:rPr>
          <w:rFonts w:hint="eastAsia"/>
          <w:snapToGrid/>
        </w:rPr>
        <w:t>退輔會115年度</w:t>
      </w:r>
      <w:r w:rsidR="00D45A7D" w:rsidRPr="0031291F">
        <w:rPr>
          <w:rFonts w:hint="eastAsia"/>
          <w:snapToGrid/>
        </w:rPr>
        <w:t>預算案</w:t>
      </w:r>
      <w:r w:rsidRPr="0031291F">
        <w:rPr>
          <w:rFonts w:hint="eastAsia"/>
          <w:snapToGrid/>
        </w:rPr>
        <w:t>於「一般行政」工作計畫之「辦理統計與資訊管理作業」分支計畫編列</w:t>
      </w:r>
      <w:r w:rsidRPr="0031291F">
        <w:rPr>
          <w:snapToGrid/>
        </w:rPr>
        <w:t>1</w:t>
      </w:r>
      <w:r w:rsidRPr="0031291F">
        <w:rPr>
          <w:rFonts w:hint="eastAsia"/>
          <w:snapToGrid/>
        </w:rPr>
        <w:t>億</w:t>
      </w:r>
      <w:r w:rsidRPr="0031291F">
        <w:rPr>
          <w:snapToGrid/>
        </w:rPr>
        <w:t>3</w:t>
      </w:r>
      <w:r w:rsidRPr="0031291F">
        <w:rPr>
          <w:rFonts w:hint="eastAsia"/>
          <w:snapToGrid/>
        </w:rPr>
        <w:t>,</w:t>
      </w:r>
      <w:r w:rsidRPr="0031291F">
        <w:rPr>
          <w:snapToGrid/>
        </w:rPr>
        <w:t>966</w:t>
      </w:r>
      <w:r w:rsidRPr="0031291F">
        <w:rPr>
          <w:rFonts w:hint="eastAsia"/>
          <w:snapToGrid/>
        </w:rPr>
        <w:t>萬</w:t>
      </w:r>
      <w:r w:rsidRPr="0031291F">
        <w:rPr>
          <w:snapToGrid/>
        </w:rPr>
        <w:t>5</w:t>
      </w:r>
      <w:r w:rsidRPr="0031291F">
        <w:rPr>
          <w:rFonts w:hint="eastAsia"/>
          <w:snapToGrid/>
        </w:rPr>
        <w:t>千元，較114年度預算數</w:t>
      </w:r>
      <w:r w:rsidRPr="0031291F">
        <w:rPr>
          <w:snapToGrid/>
        </w:rPr>
        <w:t>1</w:t>
      </w:r>
      <w:r w:rsidRPr="0031291F">
        <w:rPr>
          <w:rFonts w:hint="eastAsia"/>
          <w:snapToGrid/>
        </w:rPr>
        <w:t>億</w:t>
      </w:r>
      <w:r w:rsidRPr="0031291F">
        <w:rPr>
          <w:snapToGrid/>
        </w:rPr>
        <w:t>4</w:t>
      </w:r>
      <w:r w:rsidRPr="0031291F">
        <w:rPr>
          <w:rFonts w:hint="eastAsia"/>
          <w:snapToGrid/>
        </w:rPr>
        <w:t>,</w:t>
      </w:r>
      <w:r w:rsidRPr="0031291F">
        <w:rPr>
          <w:snapToGrid/>
        </w:rPr>
        <w:t>462</w:t>
      </w:r>
      <w:r w:rsidRPr="0031291F">
        <w:rPr>
          <w:rFonts w:hint="eastAsia"/>
          <w:snapToGrid/>
        </w:rPr>
        <w:t>萬</w:t>
      </w:r>
      <w:r w:rsidRPr="0031291F">
        <w:rPr>
          <w:snapToGrid/>
        </w:rPr>
        <w:t>7</w:t>
      </w:r>
      <w:r w:rsidRPr="0031291F">
        <w:rPr>
          <w:rFonts w:hint="eastAsia"/>
          <w:snapToGrid/>
        </w:rPr>
        <w:t>千元(原預算數</w:t>
      </w:r>
      <w:r w:rsidRPr="0031291F">
        <w:rPr>
          <w:snapToGrid/>
        </w:rPr>
        <w:t>1</w:t>
      </w:r>
      <w:r w:rsidRPr="0031291F">
        <w:rPr>
          <w:rFonts w:hint="eastAsia"/>
          <w:snapToGrid/>
        </w:rPr>
        <w:t>億</w:t>
      </w:r>
      <w:r w:rsidRPr="0031291F">
        <w:rPr>
          <w:snapToGrid/>
        </w:rPr>
        <w:t>3</w:t>
      </w:r>
      <w:r w:rsidRPr="0031291F">
        <w:rPr>
          <w:rFonts w:hint="eastAsia"/>
          <w:snapToGrid/>
        </w:rPr>
        <w:t>,</w:t>
      </w:r>
      <w:r w:rsidRPr="0031291F">
        <w:rPr>
          <w:snapToGrid/>
        </w:rPr>
        <w:t>982</w:t>
      </w:r>
      <w:r w:rsidRPr="0031291F">
        <w:rPr>
          <w:rFonts w:hint="eastAsia"/>
          <w:snapToGrid/>
        </w:rPr>
        <w:t>萬</w:t>
      </w:r>
      <w:r w:rsidRPr="0031291F">
        <w:rPr>
          <w:snapToGrid/>
        </w:rPr>
        <w:t>9</w:t>
      </w:r>
      <w:r w:rsidRPr="0031291F">
        <w:rPr>
          <w:rFonts w:hint="eastAsia"/>
          <w:snapToGrid/>
        </w:rPr>
        <w:t>千元加計追加預算數</w:t>
      </w:r>
      <w:r w:rsidRPr="0031291F">
        <w:rPr>
          <w:snapToGrid/>
        </w:rPr>
        <w:t>479</w:t>
      </w:r>
      <w:r w:rsidRPr="0031291F">
        <w:rPr>
          <w:rFonts w:hint="eastAsia"/>
          <w:snapToGrid/>
        </w:rPr>
        <w:t>萬</w:t>
      </w:r>
      <w:r w:rsidRPr="0031291F">
        <w:rPr>
          <w:snapToGrid/>
        </w:rPr>
        <w:t>8</w:t>
      </w:r>
      <w:r w:rsidRPr="0031291F">
        <w:rPr>
          <w:rFonts w:hint="eastAsia"/>
          <w:snapToGrid/>
        </w:rPr>
        <w:t>千元)，減少</w:t>
      </w:r>
      <w:r w:rsidRPr="0031291F">
        <w:rPr>
          <w:snapToGrid/>
        </w:rPr>
        <w:t>496</w:t>
      </w:r>
      <w:r w:rsidRPr="0031291F">
        <w:rPr>
          <w:rFonts w:hint="eastAsia"/>
          <w:snapToGrid/>
        </w:rPr>
        <w:t>萬</w:t>
      </w:r>
      <w:r w:rsidRPr="0031291F">
        <w:rPr>
          <w:snapToGrid/>
        </w:rPr>
        <w:t>2</w:t>
      </w:r>
      <w:r w:rsidRPr="0031291F">
        <w:rPr>
          <w:rFonts w:hint="eastAsia"/>
          <w:snapToGrid/>
        </w:rPr>
        <w:t>千元(減幅</w:t>
      </w:r>
      <w:r w:rsidRPr="0031291F">
        <w:rPr>
          <w:snapToGrid/>
        </w:rPr>
        <w:t>3.43%</w:t>
      </w:r>
      <w:r w:rsidRPr="0031291F">
        <w:rPr>
          <w:rFonts w:hint="eastAsia"/>
          <w:snapToGrid/>
        </w:rPr>
        <w:t>)，</w:t>
      </w:r>
      <w:r w:rsidR="007F544F" w:rsidRPr="0031291F">
        <w:rPr>
          <w:rFonts w:hint="eastAsia"/>
          <w:snapToGrid/>
        </w:rPr>
        <w:t>其中</w:t>
      </w:r>
      <w:r w:rsidRPr="0031291F">
        <w:rPr>
          <w:rFonts w:hint="eastAsia"/>
          <w:snapToGrid/>
        </w:rPr>
        <w:t>包括「配合數位發展部辦理機關資料傳輸韌性強化暨發放共用基礎平臺建置計畫」資訊服務費</w:t>
      </w:r>
      <w:r w:rsidRPr="0031291F">
        <w:rPr>
          <w:snapToGrid/>
        </w:rPr>
        <w:t>480</w:t>
      </w:r>
      <w:r w:rsidRPr="0031291F">
        <w:rPr>
          <w:rFonts w:hint="eastAsia"/>
          <w:snapToGrid/>
        </w:rPr>
        <w:t>萬元及資訊軟硬體設備費</w:t>
      </w:r>
      <w:r w:rsidRPr="0031291F">
        <w:rPr>
          <w:snapToGrid/>
        </w:rPr>
        <w:t>1</w:t>
      </w:r>
      <w:r w:rsidRPr="0031291F">
        <w:rPr>
          <w:rFonts w:hint="eastAsia"/>
          <w:snapToGrid/>
        </w:rPr>
        <w:t>,</w:t>
      </w:r>
      <w:r w:rsidRPr="0031291F">
        <w:rPr>
          <w:snapToGrid/>
        </w:rPr>
        <w:t>02</w:t>
      </w:r>
      <w:r w:rsidRPr="0031291F">
        <w:rPr>
          <w:rFonts w:hint="eastAsia"/>
          <w:snapToGrid/>
        </w:rPr>
        <w:t>0萬元，合共1,500萬元。經查：</w:t>
      </w:r>
    </w:p>
    <w:p w:rsidR="0070734D" w:rsidRPr="0031291F" w:rsidRDefault="0070734D" w:rsidP="00517110">
      <w:pPr>
        <w:pStyle w:val="a4"/>
        <w:ind w:left="849" w:hanging="283"/>
        <w:rPr>
          <w:b/>
          <w:snapToGrid/>
        </w:rPr>
      </w:pPr>
      <w:r w:rsidRPr="0031291F">
        <w:rPr>
          <w:rFonts w:hint="eastAsia"/>
          <w:b/>
          <w:snapToGrid/>
        </w:rPr>
        <w:t>(一)115年度續編列1,500萬元，俾以強化3榮總院資料傳輸之安全性與韌性</w:t>
      </w:r>
    </w:p>
    <w:p w:rsidR="0070734D" w:rsidRPr="0031291F" w:rsidRDefault="0070734D" w:rsidP="00517110">
      <w:pPr>
        <w:pStyle w:val="21"/>
        <w:ind w:left="850" w:firstLine="566"/>
        <w:rPr>
          <w:rFonts w:hint="eastAsia"/>
        </w:rPr>
      </w:pPr>
      <w:r w:rsidRPr="0031291F">
        <w:rPr>
          <w:rFonts w:hint="eastAsia"/>
        </w:rPr>
        <w:t>行政院核定之「機關資料傳輸韌性強化暨發放共用基礎平臺建置計畫」</w:t>
      </w:r>
      <w:r w:rsidR="00470115" w:rsidRPr="0031291F">
        <w:rPr>
          <w:rFonts w:hint="eastAsia"/>
        </w:rPr>
        <w:t>（</w:t>
      </w:r>
      <w:r w:rsidRPr="0031291F">
        <w:rPr>
          <w:rFonts w:hint="eastAsia"/>
        </w:rPr>
        <w:t>簡稱強化資料傳輸韌性計畫</w:t>
      </w:r>
      <w:r w:rsidR="00470115" w:rsidRPr="0031291F">
        <w:rPr>
          <w:rFonts w:hint="eastAsia"/>
        </w:rPr>
        <w:t>）</w:t>
      </w:r>
      <w:r w:rsidR="007D2839" w:rsidRPr="0031291F">
        <w:rPr>
          <w:rStyle w:val="afc"/>
          <w:rFonts w:hAnsi="標楷體"/>
        </w:rPr>
        <w:footnoteReference w:id="2"/>
      </w:r>
      <w:r w:rsidRPr="0031291F">
        <w:rPr>
          <w:rFonts w:hint="eastAsia"/>
        </w:rPr>
        <w:t>，總經費8億6,750萬餘元，計畫期程113至116 年，係由數位發展部</w:t>
      </w:r>
      <w:r w:rsidR="00D45A7D" w:rsidRPr="0031291F">
        <w:rPr>
          <w:rFonts w:hint="eastAsia"/>
        </w:rPr>
        <w:t>(</w:t>
      </w:r>
      <w:r w:rsidRPr="0031291F">
        <w:rPr>
          <w:rFonts w:hint="eastAsia"/>
        </w:rPr>
        <w:t>下稱數發部）</w:t>
      </w:r>
      <w:r w:rsidRPr="0031291F">
        <w:rPr>
          <w:rFonts w:hint="eastAsia"/>
        </w:rPr>
        <w:lastRenderedPageBreak/>
        <w:t>主責，內政部及其他部會共同參與。主要目的在於提升政府跨機關資料交換的安全性與韌性，並建立可共用的發放平臺，以支援普發現金、補助、慰助金等業務。</w:t>
      </w:r>
    </w:p>
    <w:p w:rsidR="0070734D" w:rsidRPr="0031291F" w:rsidRDefault="0070734D" w:rsidP="00517110">
      <w:pPr>
        <w:pStyle w:val="21"/>
        <w:ind w:left="850" w:firstLine="566"/>
        <w:rPr>
          <w:rFonts w:hint="eastAsia"/>
        </w:rPr>
      </w:pPr>
      <w:r w:rsidRPr="0031291F">
        <w:rPr>
          <w:rFonts w:hint="eastAsia"/>
        </w:rPr>
        <w:t>退輔會因涉及榮民就醫、健保補助、慰問金及急難救助等需跨機關核對身分與資格的措施，自然成為計畫重要配合機關之一。該會所屬臺北、臺中、高雄榮民總醫院係屬資安等級A 級機關，須配合辦理數發部「強化資料傳輸韌性計畫」案之相關T-Road 基礎環境資訊硬體、網路環境與資安服務等建置工作，爰115年度</w:t>
      </w:r>
      <w:r w:rsidR="00D45A7D" w:rsidRPr="0031291F">
        <w:rPr>
          <w:rFonts w:hint="eastAsia"/>
        </w:rPr>
        <w:t>預算案</w:t>
      </w:r>
      <w:r w:rsidRPr="0031291F">
        <w:rPr>
          <w:rFonts w:hint="eastAsia"/>
        </w:rPr>
        <w:t>續編列1,500萬元，</w:t>
      </w:r>
      <w:r w:rsidRPr="0031291F">
        <w:t>以</w:t>
      </w:r>
      <w:r w:rsidRPr="0031291F">
        <w:rPr>
          <w:rFonts w:hint="eastAsia"/>
        </w:rPr>
        <w:t>強化政府機關之間資料傳輸之安全性與韌性，</w:t>
      </w:r>
      <w:r w:rsidR="00380BCD" w:rsidRPr="0031291F">
        <w:rPr>
          <w:rFonts w:hint="eastAsia"/>
        </w:rPr>
        <w:t>該計畫113至115年度預算編列及</w:t>
      </w:r>
      <w:r w:rsidR="007246FD" w:rsidRPr="0031291F">
        <w:rPr>
          <w:rFonts w:hint="eastAsia"/>
        </w:rPr>
        <w:t>執行</w:t>
      </w:r>
      <w:r w:rsidR="00380BCD" w:rsidRPr="0031291F">
        <w:rPr>
          <w:rFonts w:hint="eastAsia"/>
        </w:rPr>
        <w:t>情形</w:t>
      </w:r>
      <w:r w:rsidR="00380BCD" w:rsidRPr="0031291F">
        <w:rPr>
          <w:rFonts w:hint="eastAsia"/>
          <w:snapToGrid/>
        </w:rPr>
        <w:t>詳表1</w:t>
      </w:r>
      <w:r w:rsidRPr="0031291F">
        <w:t>。</w:t>
      </w:r>
    </w:p>
    <w:p w:rsidR="0070734D" w:rsidRPr="0031291F" w:rsidRDefault="0070734D" w:rsidP="00517110">
      <w:pPr>
        <w:snapToGrid w:val="0"/>
        <w:ind w:leftChars="-11" w:left="686" w:rightChars="-7" w:right="-20" w:hangingChars="253" w:hanging="717"/>
        <w:rPr>
          <w:rFonts w:hint="eastAsia"/>
          <w:bCs/>
          <w:sz w:val="24"/>
          <w:szCs w:val="24"/>
          <w:lang w:val="x-none"/>
        </w:rPr>
      </w:pPr>
      <w:bookmarkStart w:id="11" w:name="_Hlk211432069"/>
      <w:r w:rsidRPr="0031291F">
        <w:rPr>
          <w:rFonts w:hint="eastAsia"/>
          <w:b/>
          <w:lang w:val="x-none" w:eastAsia="x-none"/>
        </w:rPr>
        <w:t>表</w:t>
      </w:r>
      <w:r w:rsidR="007246FD" w:rsidRPr="0031291F">
        <w:rPr>
          <w:rFonts w:hint="eastAsia"/>
          <w:b/>
          <w:lang w:val="x-none"/>
        </w:rPr>
        <w:t>1</w:t>
      </w:r>
      <w:r w:rsidRPr="0031291F">
        <w:rPr>
          <w:rFonts w:hint="eastAsia"/>
          <w:b/>
          <w:lang w:val="x-none" w:eastAsia="x-none"/>
        </w:rPr>
        <w:t xml:space="preserve"> </w:t>
      </w:r>
      <w:r w:rsidRPr="0031291F">
        <w:rPr>
          <w:rFonts w:hint="eastAsia"/>
          <w:b/>
          <w:lang w:val="x-none"/>
        </w:rPr>
        <w:t>退輔會</w:t>
      </w:r>
      <w:r w:rsidRPr="0031291F">
        <w:rPr>
          <w:rFonts w:hint="eastAsia"/>
          <w:b/>
          <w:lang w:val="x-none" w:eastAsia="x-none"/>
        </w:rPr>
        <w:t>「配合數位發展部辦理機關資料傳輸韌性強化暨發放共用基礎平臺建置計畫」</w:t>
      </w:r>
      <w:r w:rsidRPr="0031291F">
        <w:rPr>
          <w:rFonts w:hint="eastAsia"/>
          <w:b/>
          <w:lang w:val="x-none"/>
        </w:rPr>
        <w:t>預算編列及</w:t>
      </w:r>
      <w:r w:rsidR="007246FD" w:rsidRPr="0031291F">
        <w:rPr>
          <w:rFonts w:hint="eastAsia"/>
          <w:b/>
          <w:lang w:val="x-none"/>
        </w:rPr>
        <w:t>執行</w:t>
      </w:r>
      <w:r w:rsidRPr="0031291F">
        <w:rPr>
          <w:rFonts w:hint="eastAsia"/>
          <w:b/>
          <w:lang w:val="x-none"/>
        </w:rPr>
        <w:t>情形</w:t>
      </w:r>
      <w:r w:rsidRPr="0031291F">
        <w:rPr>
          <w:rFonts w:hint="eastAsia"/>
          <w:b/>
          <w:lang w:val="x-none" w:eastAsia="x-none"/>
        </w:rPr>
        <w:t>表</w:t>
      </w:r>
      <w:r w:rsidRPr="0031291F">
        <w:rPr>
          <w:rFonts w:hint="eastAsia"/>
          <w:b/>
          <w:lang w:val="x-none"/>
        </w:rPr>
        <w:t xml:space="preserve">　　</w:t>
      </w:r>
      <w:r w:rsidRPr="0031291F">
        <w:rPr>
          <w:rFonts w:hint="eastAsia"/>
          <w:bCs/>
          <w:sz w:val="24"/>
          <w:szCs w:val="24"/>
          <w:lang w:val="x-none" w:eastAsia="x-none"/>
        </w:rPr>
        <w:t>單位：新臺幣</w:t>
      </w:r>
      <w:r w:rsidRPr="0031291F">
        <w:rPr>
          <w:rFonts w:hint="eastAsia"/>
          <w:bCs/>
          <w:sz w:val="24"/>
          <w:szCs w:val="24"/>
          <w:lang w:val="x-none"/>
        </w:rPr>
        <w:t>千</w:t>
      </w:r>
      <w:r w:rsidRPr="0031291F">
        <w:rPr>
          <w:rFonts w:hint="eastAsia"/>
          <w:bCs/>
          <w:sz w:val="24"/>
          <w:szCs w:val="24"/>
          <w:lang w:val="x-none" w:eastAsia="x-none"/>
        </w:rPr>
        <w:t>元</w:t>
      </w:r>
      <w:r w:rsidRPr="0031291F">
        <w:rPr>
          <w:rFonts w:hint="eastAsia"/>
          <w:b/>
          <w:lang w:val="x-none" w:eastAsia="x-none"/>
        </w:rPr>
        <w:t xml:space="preserve">                               </w:t>
      </w:r>
    </w:p>
    <w:tbl>
      <w:tblPr>
        <w:tblW w:w="8581"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97"/>
        <w:gridCol w:w="1014"/>
        <w:gridCol w:w="1015"/>
        <w:gridCol w:w="1015"/>
        <w:gridCol w:w="1018"/>
        <w:gridCol w:w="3722"/>
      </w:tblGrid>
      <w:tr w:rsidR="007246FD" w:rsidRPr="0031291F" w:rsidTr="003B6891">
        <w:trPr>
          <w:tblHeader/>
        </w:trPr>
        <w:tc>
          <w:tcPr>
            <w:tcW w:w="797" w:type="dxa"/>
            <w:vMerge w:val="restart"/>
            <w:shd w:val="clear" w:color="auto" w:fill="auto"/>
            <w:vAlign w:val="center"/>
          </w:tcPr>
          <w:p w:rsidR="007246FD" w:rsidRPr="0031291F" w:rsidRDefault="007246FD" w:rsidP="00B472CC">
            <w:pPr>
              <w:pStyle w:val="142"/>
              <w:jc w:val="center"/>
              <w:rPr>
                <w:rFonts w:hint="eastAsia"/>
              </w:rPr>
            </w:pPr>
            <w:r w:rsidRPr="0031291F">
              <w:rPr>
                <w:rFonts w:hint="eastAsia"/>
              </w:rPr>
              <w:t>年度</w:t>
            </w:r>
          </w:p>
        </w:tc>
        <w:tc>
          <w:tcPr>
            <w:tcW w:w="3044" w:type="dxa"/>
            <w:gridSpan w:val="3"/>
            <w:tcBorders>
              <w:right w:val="single" w:sz="4" w:space="0" w:color="auto"/>
            </w:tcBorders>
            <w:shd w:val="clear" w:color="auto" w:fill="auto"/>
          </w:tcPr>
          <w:p w:rsidR="007246FD" w:rsidRPr="0031291F" w:rsidRDefault="007246FD" w:rsidP="007246FD">
            <w:pPr>
              <w:pStyle w:val="142"/>
              <w:jc w:val="center"/>
              <w:rPr>
                <w:rFonts w:hint="eastAsia"/>
              </w:rPr>
            </w:pPr>
            <w:r w:rsidRPr="0031291F">
              <w:rPr>
                <w:rFonts w:hint="eastAsia"/>
              </w:rPr>
              <w:t>預算數</w:t>
            </w:r>
          </w:p>
        </w:tc>
        <w:tc>
          <w:tcPr>
            <w:tcW w:w="1018" w:type="dxa"/>
            <w:tcBorders>
              <w:left w:val="single" w:sz="4" w:space="0" w:color="auto"/>
            </w:tcBorders>
            <w:shd w:val="clear" w:color="auto" w:fill="auto"/>
          </w:tcPr>
          <w:p w:rsidR="007246FD" w:rsidRPr="0031291F" w:rsidRDefault="007246FD" w:rsidP="00B40BF5">
            <w:pPr>
              <w:pStyle w:val="142"/>
              <w:jc w:val="center"/>
              <w:rPr>
                <w:rFonts w:hint="eastAsia"/>
              </w:rPr>
            </w:pPr>
            <w:r w:rsidRPr="0031291F">
              <w:rPr>
                <w:rFonts w:hint="eastAsia"/>
              </w:rPr>
              <w:t>決算數</w:t>
            </w:r>
          </w:p>
        </w:tc>
        <w:tc>
          <w:tcPr>
            <w:tcW w:w="3722" w:type="dxa"/>
            <w:vMerge w:val="restart"/>
            <w:tcBorders>
              <w:left w:val="single" w:sz="4" w:space="0" w:color="auto"/>
            </w:tcBorders>
            <w:shd w:val="clear" w:color="auto" w:fill="auto"/>
            <w:vAlign w:val="center"/>
          </w:tcPr>
          <w:p w:rsidR="007246FD" w:rsidRPr="0031291F" w:rsidRDefault="007246FD" w:rsidP="00B472CC">
            <w:pPr>
              <w:pStyle w:val="142"/>
              <w:jc w:val="center"/>
              <w:rPr>
                <w:rFonts w:hint="eastAsia"/>
              </w:rPr>
            </w:pPr>
            <w:r w:rsidRPr="0031291F">
              <w:rPr>
                <w:rFonts w:hint="eastAsia"/>
              </w:rPr>
              <w:t>辦理情形</w:t>
            </w:r>
          </w:p>
        </w:tc>
      </w:tr>
      <w:tr w:rsidR="00B40BF5" w:rsidRPr="0031291F" w:rsidTr="003B6891">
        <w:trPr>
          <w:tblHeader/>
        </w:trPr>
        <w:tc>
          <w:tcPr>
            <w:tcW w:w="797" w:type="dxa"/>
            <w:vMerge/>
            <w:shd w:val="clear" w:color="auto" w:fill="auto"/>
          </w:tcPr>
          <w:p w:rsidR="00B40BF5" w:rsidRPr="0031291F" w:rsidRDefault="00B40BF5" w:rsidP="00B472CC">
            <w:pPr>
              <w:pStyle w:val="142"/>
              <w:jc w:val="center"/>
              <w:rPr>
                <w:rFonts w:hint="eastAsia"/>
              </w:rPr>
            </w:pPr>
          </w:p>
        </w:tc>
        <w:tc>
          <w:tcPr>
            <w:tcW w:w="1014" w:type="dxa"/>
            <w:shd w:val="clear" w:color="auto" w:fill="auto"/>
            <w:vAlign w:val="center"/>
          </w:tcPr>
          <w:p w:rsidR="00B40BF5" w:rsidRPr="0031291F" w:rsidRDefault="00B40BF5" w:rsidP="00B40BF5">
            <w:pPr>
              <w:pStyle w:val="142"/>
              <w:jc w:val="center"/>
              <w:rPr>
                <w:rFonts w:hint="eastAsia"/>
              </w:rPr>
            </w:pPr>
            <w:r w:rsidRPr="0031291F">
              <w:rPr>
                <w:rFonts w:hint="eastAsia"/>
              </w:rPr>
              <w:t>資訊服務費</w:t>
            </w:r>
          </w:p>
        </w:tc>
        <w:tc>
          <w:tcPr>
            <w:tcW w:w="1015" w:type="dxa"/>
            <w:tcBorders>
              <w:right w:val="single" w:sz="4" w:space="0" w:color="auto"/>
            </w:tcBorders>
            <w:shd w:val="clear" w:color="auto" w:fill="auto"/>
            <w:vAlign w:val="center"/>
          </w:tcPr>
          <w:p w:rsidR="00B40BF5" w:rsidRPr="0031291F" w:rsidRDefault="00B40BF5" w:rsidP="00B40BF5">
            <w:pPr>
              <w:pStyle w:val="142"/>
              <w:jc w:val="center"/>
              <w:rPr>
                <w:rFonts w:hint="eastAsia"/>
              </w:rPr>
            </w:pPr>
            <w:r w:rsidRPr="0031291F">
              <w:rPr>
                <w:rFonts w:hint="eastAsia"/>
              </w:rPr>
              <w:t>資訊軟硬體設備費</w:t>
            </w:r>
          </w:p>
        </w:tc>
        <w:tc>
          <w:tcPr>
            <w:tcW w:w="1015" w:type="dxa"/>
            <w:tcBorders>
              <w:right w:val="single" w:sz="4" w:space="0" w:color="auto"/>
            </w:tcBorders>
            <w:vAlign w:val="center"/>
          </w:tcPr>
          <w:p w:rsidR="00B40BF5" w:rsidRPr="0031291F" w:rsidRDefault="00B40BF5" w:rsidP="00B40BF5">
            <w:pPr>
              <w:pStyle w:val="142"/>
              <w:jc w:val="center"/>
              <w:rPr>
                <w:rFonts w:hint="eastAsia"/>
              </w:rPr>
            </w:pPr>
            <w:r w:rsidRPr="0031291F">
              <w:rPr>
                <w:rFonts w:hint="eastAsia"/>
              </w:rPr>
              <w:t>合計</w:t>
            </w:r>
          </w:p>
        </w:tc>
        <w:tc>
          <w:tcPr>
            <w:tcW w:w="1018" w:type="dxa"/>
            <w:tcBorders>
              <w:left w:val="single" w:sz="4" w:space="0" w:color="auto"/>
            </w:tcBorders>
            <w:shd w:val="clear" w:color="auto" w:fill="auto"/>
            <w:vAlign w:val="center"/>
          </w:tcPr>
          <w:p w:rsidR="00B40BF5" w:rsidRPr="0031291F" w:rsidRDefault="00B40BF5" w:rsidP="00B472CC">
            <w:pPr>
              <w:pStyle w:val="142"/>
              <w:jc w:val="center"/>
              <w:rPr>
                <w:rFonts w:hint="eastAsia"/>
              </w:rPr>
            </w:pPr>
            <w:r w:rsidRPr="0031291F">
              <w:rPr>
                <w:rFonts w:hint="eastAsia"/>
              </w:rPr>
              <w:t>合計</w:t>
            </w:r>
          </w:p>
        </w:tc>
        <w:tc>
          <w:tcPr>
            <w:tcW w:w="3722" w:type="dxa"/>
            <w:vMerge/>
            <w:tcBorders>
              <w:left w:val="single" w:sz="4" w:space="0" w:color="auto"/>
            </w:tcBorders>
            <w:shd w:val="clear" w:color="auto" w:fill="auto"/>
          </w:tcPr>
          <w:p w:rsidR="00B40BF5" w:rsidRPr="0031291F" w:rsidRDefault="00B40BF5" w:rsidP="00B472CC">
            <w:pPr>
              <w:pStyle w:val="142"/>
              <w:rPr>
                <w:rFonts w:hint="eastAsia"/>
              </w:rPr>
            </w:pPr>
          </w:p>
        </w:tc>
      </w:tr>
      <w:tr w:rsidR="00B40BF5" w:rsidRPr="0031291F" w:rsidTr="007246FD">
        <w:trPr>
          <w:trHeight w:val="1182"/>
        </w:trPr>
        <w:tc>
          <w:tcPr>
            <w:tcW w:w="797" w:type="dxa"/>
            <w:shd w:val="clear" w:color="auto" w:fill="auto"/>
            <w:vAlign w:val="center"/>
          </w:tcPr>
          <w:p w:rsidR="00B40BF5" w:rsidRPr="0031291F" w:rsidRDefault="00B40BF5" w:rsidP="00B472CC">
            <w:pPr>
              <w:pStyle w:val="142"/>
              <w:jc w:val="center"/>
              <w:rPr>
                <w:rFonts w:hint="eastAsia"/>
              </w:rPr>
            </w:pPr>
            <w:r w:rsidRPr="0031291F">
              <w:rPr>
                <w:rFonts w:hint="eastAsia"/>
              </w:rPr>
              <w:t>113</w:t>
            </w:r>
          </w:p>
        </w:tc>
        <w:tc>
          <w:tcPr>
            <w:tcW w:w="1014" w:type="dxa"/>
            <w:shd w:val="clear" w:color="auto" w:fill="auto"/>
            <w:vAlign w:val="center"/>
          </w:tcPr>
          <w:p w:rsidR="00B40BF5" w:rsidRPr="0031291F" w:rsidRDefault="00B40BF5" w:rsidP="00AB7D7D">
            <w:pPr>
              <w:pStyle w:val="142"/>
              <w:jc w:val="right"/>
              <w:rPr>
                <w:rFonts w:hint="eastAsia"/>
              </w:rPr>
            </w:pPr>
            <w:r w:rsidRPr="0031291F">
              <w:t>10,000</w:t>
            </w:r>
          </w:p>
        </w:tc>
        <w:tc>
          <w:tcPr>
            <w:tcW w:w="1015" w:type="dxa"/>
            <w:shd w:val="clear" w:color="auto" w:fill="auto"/>
            <w:vAlign w:val="center"/>
          </w:tcPr>
          <w:p w:rsidR="00B40BF5" w:rsidRPr="0031291F" w:rsidRDefault="00B40BF5" w:rsidP="00AB7D7D">
            <w:pPr>
              <w:pStyle w:val="142"/>
              <w:jc w:val="right"/>
              <w:rPr>
                <w:rFonts w:hint="eastAsia"/>
              </w:rPr>
            </w:pPr>
            <w:r w:rsidRPr="0031291F">
              <w:rPr>
                <w:rFonts w:hint="eastAsia"/>
              </w:rPr>
              <w:t>20,000</w:t>
            </w:r>
          </w:p>
        </w:tc>
        <w:tc>
          <w:tcPr>
            <w:tcW w:w="1015" w:type="dxa"/>
            <w:vAlign w:val="center"/>
          </w:tcPr>
          <w:p w:rsidR="00B40BF5" w:rsidRPr="0031291F" w:rsidRDefault="00B40BF5" w:rsidP="00B40BF5">
            <w:pPr>
              <w:pStyle w:val="142"/>
              <w:ind w:left="647" w:hanging="647"/>
              <w:jc w:val="right"/>
              <w:rPr>
                <w:rFonts w:hint="eastAsia"/>
              </w:rPr>
            </w:pPr>
            <w:r w:rsidRPr="0031291F">
              <w:t>30,000</w:t>
            </w:r>
          </w:p>
        </w:tc>
        <w:tc>
          <w:tcPr>
            <w:tcW w:w="1018" w:type="dxa"/>
            <w:shd w:val="clear" w:color="auto" w:fill="auto"/>
            <w:vAlign w:val="center"/>
          </w:tcPr>
          <w:p w:rsidR="00B40BF5" w:rsidRPr="0031291F" w:rsidRDefault="00B40BF5" w:rsidP="00B40BF5">
            <w:pPr>
              <w:pStyle w:val="142"/>
              <w:jc w:val="right"/>
              <w:rPr>
                <w:rFonts w:hint="eastAsia"/>
              </w:rPr>
            </w:pPr>
            <w:r w:rsidRPr="0031291F">
              <w:t>29,877</w:t>
            </w:r>
          </w:p>
        </w:tc>
        <w:tc>
          <w:tcPr>
            <w:tcW w:w="3722" w:type="dxa"/>
            <w:tcBorders>
              <w:left w:val="single" w:sz="4" w:space="0" w:color="auto"/>
            </w:tcBorders>
            <w:shd w:val="clear" w:color="auto" w:fill="auto"/>
            <w:vAlign w:val="center"/>
          </w:tcPr>
          <w:p w:rsidR="00B40BF5" w:rsidRPr="0031291F" w:rsidRDefault="00B40BF5" w:rsidP="00A60418">
            <w:pPr>
              <w:pStyle w:val="142"/>
              <w:jc w:val="both"/>
              <w:rPr>
                <w:rFonts w:hint="eastAsia"/>
              </w:rPr>
            </w:pPr>
            <w:r w:rsidRPr="0031291F">
              <w:rPr>
                <w:rFonts w:hint="eastAsia"/>
              </w:rPr>
              <w:t>建置符合T-Road 網路架構之管理平台及符合T-Road 資料邏輯之應用系統-ICD10國際疾病分類術語對應查詢服務系統，所有工作項目均依計畫內容順利完成。</w:t>
            </w:r>
          </w:p>
        </w:tc>
      </w:tr>
      <w:tr w:rsidR="00B40BF5" w:rsidRPr="0031291F" w:rsidTr="007246FD">
        <w:tc>
          <w:tcPr>
            <w:tcW w:w="797" w:type="dxa"/>
            <w:shd w:val="clear" w:color="auto" w:fill="auto"/>
            <w:vAlign w:val="center"/>
          </w:tcPr>
          <w:p w:rsidR="00B40BF5" w:rsidRPr="0031291F" w:rsidRDefault="00B40BF5" w:rsidP="00B472CC">
            <w:pPr>
              <w:pStyle w:val="142"/>
              <w:jc w:val="center"/>
              <w:rPr>
                <w:rFonts w:hint="eastAsia"/>
              </w:rPr>
            </w:pPr>
            <w:r w:rsidRPr="0031291F">
              <w:rPr>
                <w:rFonts w:hint="eastAsia"/>
              </w:rPr>
              <w:t>114</w:t>
            </w:r>
          </w:p>
        </w:tc>
        <w:tc>
          <w:tcPr>
            <w:tcW w:w="1014" w:type="dxa"/>
            <w:shd w:val="clear" w:color="auto" w:fill="auto"/>
            <w:vAlign w:val="center"/>
          </w:tcPr>
          <w:p w:rsidR="00B40BF5" w:rsidRPr="0031291F" w:rsidRDefault="00B40BF5" w:rsidP="00AB7D7D">
            <w:pPr>
              <w:pStyle w:val="142"/>
              <w:jc w:val="right"/>
              <w:rPr>
                <w:rFonts w:hint="eastAsia"/>
              </w:rPr>
            </w:pPr>
            <w:r w:rsidRPr="0031291F">
              <w:t>3,730</w:t>
            </w:r>
          </w:p>
        </w:tc>
        <w:tc>
          <w:tcPr>
            <w:tcW w:w="1015" w:type="dxa"/>
            <w:shd w:val="clear" w:color="auto" w:fill="auto"/>
            <w:vAlign w:val="center"/>
          </w:tcPr>
          <w:p w:rsidR="00B40BF5" w:rsidRPr="0031291F" w:rsidRDefault="00B40BF5" w:rsidP="00AB7D7D">
            <w:pPr>
              <w:pStyle w:val="142"/>
              <w:jc w:val="right"/>
              <w:rPr>
                <w:rFonts w:hint="eastAsia"/>
              </w:rPr>
            </w:pPr>
            <w:r w:rsidRPr="0031291F">
              <w:t>9,070</w:t>
            </w:r>
          </w:p>
        </w:tc>
        <w:tc>
          <w:tcPr>
            <w:tcW w:w="1015" w:type="dxa"/>
            <w:vAlign w:val="center"/>
          </w:tcPr>
          <w:p w:rsidR="00B40BF5" w:rsidRPr="0031291F" w:rsidRDefault="00B40BF5" w:rsidP="00B40BF5">
            <w:pPr>
              <w:pStyle w:val="142"/>
              <w:ind w:left="647" w:hanging="647"/>
              <w:jc w:val="right"/>
              <w:rPr>
                <w:rFonts w:hint="eastAsia"/>
              </w:rPr>
            </w:pPr>
            <w:r w:rsidRPr="0031291F">
              <w:t>12,800</w:t>
            </w:r>
          </w:p>
        </w:tc>
        <w:tc>
          <w:tcPr>
            <w:tcW w:w="1018" w:type="dxa"/>
            <w:shd w:val="clear" w:color="auto" w:fill="auto"/>
            <w:vAlign w:val="center"/>
          </w:tcPr>
          <w:p w:rsidR="00B40BF5" w:rsidRPr="0031291F" w:rsidRDefault="007246FD" w:rsidP="00B40BF5">
            <w:pPr>
              <w:pStyle w:val="142"/>
              <w:jc w:val="right"/>
              <w:rPr>
                <w:rFonts w:hint="eastAsia"/>
              </w:rPr>
            </w:pPr>
            <w:r w:rsidRPr="0031291F">
              <w:rPr>
                <w:rFonts w:hint="eastAsia"/>
              </w:rPr>
              <w:t>-</w:t>
            </w:r>
          </w:p>
        </w:tc>
        <w:tc>
          <w:tcPr>
            <w:tcW w:w="3722" w:type="dxa"/>
            <w:tcBorders>
              <w:left w:val="single" w:sz="4" w:space="0" w:color="auto"/>
            </w:tcBorders>
            <w:shd w:val="clear" w:color="auto" w:fill="auto"/>
            <w:vAlign w:val="center"/>
          </w:tcPr>
          <w:p w:rsidR="00B40BF5" w:rsidRPr="0031291F" w:rsidRDefault="00B40BF5" w:rsidP="00A60418">
            <w:pPr>
              <w:pStyle w:val="142"/>
              <w:jc w:val="both"/>
              <w:rPr>
                <w:rFonts w:hint="eastAsia"/>
              </w:rPr>
            </w:pPr>
            <w:r w:rsidRPr="0031291F">
              <w:rPr>
                <w:rFonts w:hint="eastAsia"/>
              </w:rPr>
              <w:t>辦理新增與介接「健保藥檔對應查詢服務系統」並依據衛福部等相關機關制定之標準化資料規格，統一數位醫療的資料結構等工作。</w:t>
            </w:r>
          </w:p>
        </w:tc>
      </w:tr>
      <w:tr w:rsidR="00B40BF5" w:rsidRPr="0031291F" w:rsidTr="007246FD">
        <w:tc>
          <w:tcPr>
            <w:tcW w:w="797" w:type="dxa"/>
            <w:shd w:val="clear" w:color="auto" w:fill="auto"/>
            <w:vAlign w:val="center"/>
          </w:tcPr>
          <w:p w:rsidR="00B40BF5" w:rsidRPr="0031291F" w:rsidRDefault="00B40BF5" w:rsidP="00B472CC">
            <w:pPr>
              <w:pStyle w:val="142"/>
              <w:jc w:val="center"/>
              <w:rPr>
                <w:rFonts w:hint="eastAsia"/>
              </w:rPr>
            </w:pPr>
            <w:r w:rsidRPr="0031291F">
              <w:rPr>
                <w:rFonts w:hint="eastAsia"/>
              </w:rPr>
              <w:t>115</w:t>
            </w:r>
          </w:p>
        </w:tc>
        <w:tc>
          <w:tcPr>
            <w:tcW w:w="1014" w:type="dxa"/>
            <w:shd w:val="clear" w:color="auto" w:fill="auto"/>
            <w:vAlign w:val="center"/>
          </w:tcPr>
          <w:p w:rsidR="00B40BF5" w:rsidRPr="0031291F" w:rsidRDefault="00B40BF5" w:rsidP="00B472CC">
            <w:pPr>
              <w:pStyle w:val="142"/>
              <w:jc w:val="right"/>
              <w:rPr>
                <w:rFonts w:hint="eastAsia"/>
              </w:rPr>
            </w:pPr>
            <w:r w:rsidRPr="0031291F">
              <w:t>4</w:t>
            </w:r>
            <w:r w:rsidRPr="0031291F">
              <w:rPr>
                <w:rFonts w:hint="eastAsia"/>
              </w:rPr>
              <w:t>,</w:t>
            </w:r>
            <w:r w:rsidRPr="0031291F">
              <w:t>80</w:t>
            </w:r>
            <w:r w:rsidRPr="0031291F">
              <w:rPr>
                <w:rFonts w:hint="eastAsia"/>
              </w:rPr>
              <w:t>0</w:t>
            </w:r>
          </w:p>
        </w:tc>
        <w:tc>
          <w:tcPr>
            <w:tcW w:w="1015" w:type="dxa"/>
            <w:shd w:val="clear" w:color="auto" w:fill="auto"/>
            <w:vAlign w:val="center"/>
          </w:tcPr>
          <w:p w:rsidR="00B40BF5" w:rsidRPr="0031291F" w:rsidRDefault="00B40BF5" w:rsidP="00B472CC">
            <w:pPr>
              <w:pStyle w:val="142"/>
              <w:jc w:val="right"/>
              <w:rPr>
                <w:rFonts w:hint="eastAsia"/>
              </w:rPr>
            </w:pPr>
            <w:r w:rsidRPr="0031291F">
              <w:t>10</w:t>
            </w:r>
            <w:r w:rsidRPr="0031291F">
              <w:rPr>
                <w:rFonts w:hint="eastAsia"/>
              </w:rPr>
              <w:t>,</w:t>
            </w:r>
            <w:r w:rsidRPr="0031291F">
              <w:t>20</w:t>
            </w:r>
            <w:r w:rsidRPr="0031291F">
              <w:rPr>
                <w:rFonts w:hint="eastAsia"/>
              </w:rPr>
              <w:t>0</w:t>
            </w:r>
          </w:p>
        </w:tc>
        <w:tc>
          <w:tcPr>
            <w:tcW w:w="1015" w:type="dxa"/>
            <w:vAlign w:val="center"/>
          </w:tcPr>
          <w:p w:rsidR="00B40BF5" w:rsidRPr="0031291F" w:rsidRDefault="00B40BF5" w:rsidP="00B40BF5">
            <w:pPr>
              <w:pStyle w:val="142"/>
              <w:ind w:left="647" w:hanging="647"/>
              <w:jc w:val="right"/>
              <w:rPr>
                <w:rFonts w:hint="eastAsia"/>
              </w:rPr>
            </w:pPr>
            <w:r w:rsidRPr="0031291F">
              <w:t>15,000</w:t>
            </w:r>
          </w:p>
        </w:tc>
        <w:tc>
          <w:tcPr>
            <w:tcW w:w="1018" w:type="dxa"/>
            <w:shd w:val="clear" w:color="auto" w:fill="auto"/>
            <w:vAlign w:val="center"/>
          </w:tcPr>
          <w:p w:rsidR="00B40BF5" w:rsidRPr="0031291F" w:rsidRDefault="007246FD" w:rsidP="00B40BF5">
            <w:pPr>
              <w:pStyle w:val="142"/>
              <w:jc w:val="right"/>
              <w:rPr>
                <w:rFonts w:hint="eastAsia"/>
              </w:rPr>
            </w:pPr>
            <w:r w:rsidRPr="0031291F">
              <w:rPr>
                <w:rFonts w:hint="eastAsia"/>
              </w:rPr>
              <w:t>-</w:t>
            </w:r>
          </w:p>
        </w:tc>
        <w:tc>
          <w:tcPr>
            <w:tcW w:w="3722" w:type="dxa"/>
            <w:tcBorders>
              <w:left w:val="single" w:sz="4" w:space="0" w:color="auto"/>
              <w:tr2bl w:val="single" w:sz="4" w:space="0" w:color="auto"/>
            </w:tcBorders>
            <w:shd w:val="clear" w:color="auto" w:fill="auto"/>
          </w:tcPr>
          <w:p w:rsidR="00B40BF5" w:rsidRPr="0031291F" w:rsidRDefault="00B40BF5" w:rsidP="00B472CC">
            <w:pPr>
              <w:pStyle w:val="142"/>
              <w:jc w:val="both"/>
              <w:rPr>
                <w:rFonts w:hint="eastAsia"/>
              </w:rPr>
            </w:pPr>
          </w:p>
        </w:tc>
      </w:tr>
    </w:tbl>
    <w:p w:rsidR="0070734D" w:rsidRPr="0031291F" w:rsidRDefault="0070734D" w:rsidP="0070734D">
      <w:pPr>
        <w:spacing w:line="280" w:lineRule="exact"/>
        <w:ind w:leftChars="5" w:left="1215" w:hangingChars="494" w:hanging="1201"/>
        <w:rPr>
          <w:rFonts w:hint="eastAsia"/>
          <w:sz w:val="24"/>
        </w:rPr>
      </w:pPr>
      <w:r w:rsidRPr="0031291F">
        <w:rPr>
          <w:rFonts w:hint="eastAsia"/>
          <w:sz w:val="24"/>
        </w:rPr>
        <w:t>資料來源：</w:t>
      </w:r>
      <w:r w:rsidR="007246FD" w:rsidRPr="0031291F">
        <w:rPr>
          <w:rFonts w:hint="eastAsia"/>
          <w:sz w:val="24"/>
        </w:rPr>
        <w:t>退輔會提供</w:t>
      </w:r>
      <w:r w:rsidR="007246FD" w:rsidRPr="0031291F">
        <w:rPr>
          <w:rFonts w:hAnsi="標楷體" w:hint="eastAsia"/>
          <w:sz w:val="24"/>
        </w:rPr>
        <w:t>，</w:t>
      </w:r>
      <w:r w:rsidR="007246FD" w:rsidRPr="0031291F">
        <w:rPr>
          <w:rFonts w:hint="eastAsia"/>
          <w:sz w:val="24"/>
        </w:rPr>
        <w:t>本中心整理</w:t>
      </w:r>
      <w:r w:rsidRPr="0031291F">
        <w:rPr>
          <w:rFonts w:hint="eastAsia"/>
          <w:sz w:val="24"/>
        </w:rPr>
        <w:t>。</w:t>
      </w:r>
    </w:p>
    <w:bookmarkEnd w:id="11"/>
    <w:p w:rsidR="0070734D" w:rsidRPr="0031291F" w:rsidRDefault="0070734D" w:rsidP="009C15D8">
      <w:pPr>
        <w:pStyle w:val="a4"/>
        <w:ind w:left="849" w:hanging="283"/>
        <w:rPr>
          <w:b/>
          <w:snapToGrid/>
        </w:rPr>
      </w:pPr>
      <w:r w:rsidRPr="0031291F">
        <w:rPr>
          <w:rFonts w:hint="eastAsia"/>
          <w:b/>
          <w:snapToGrid/>
        </w:rPr>
        <w:t>(二)</w:t>
      </w:r>
      <w:r w:rsidR="00A2584E" w:rsidRPr="0031291F">
        <w:rPr>
          <w:rFonts w:hint="eastAsia"/>
          <w:b/>
          <w:snapToGrid/>
        </w:rPr>
        <w:t>允宜加強相關部會協調，並納入資安監測與應變機制及</w:t>
      </w:r>
      <w:r w:rsidRPr="0031291F">
        <w:rPr>
          <w:rFonts w:hint="eastAsia"/>
          <w:b/>
          <w:snapToGrid/>
        </w:rPr>
        <w:t>設定效益指標，俾利計畫如期如質完成</w:t>
      </w:r>
    </w:p>
    <w:p w:rsidR="0070734D" w:rsidRPr="0031291F" w:rsidRDefault="007246FD" w:rsidP="009C15D8">
      <w:pPr>
        <w:pStyle w:val="21"/>
        <w:ind w:left="850" w:firstLine="566"/>
        <w:rPr>
          <w:rFonts w:hint="eastAsia"/>
          <w:snapToGrid/>
        </w:rPr>
      </w:pPr>
      <w:r w:rsidRPr="0031291F">
        <w:rPr>
          <w:rFonts w:hint="eastAsia"/>
          <w:snapToGrid/>
        </w:rPr>
        <w:t>該</w:t>
      </w:r>
      <w:r w:rsidR="0070734D" w:rsidRPr="0031291F">
        <w:rPr>
          <w:rFonts w:hint="eastAsia"/>
          <w:snapToGrid/>
        </w:rPr>
        <w:t>會配合數位發展部推動之「機關資料傳輸韌性強化暨發放共用基礎平臺建置計畫」，雖有助於改善跨機關資料交換與補助發放流程，惟在執行上仍可能面臨數項挑戰</w:t>
      </w:r>
      <w:r w:rsidR="0070734D" w:rsidRPr="0031291F">
        <w:rPr>
          <w:rFonts w:hAnsi="標楷體" w:hint="eastAsia"/>
          <w:snapToGrid/>
        </w:rPr>
        <w:t>，</w:t>
      </w:r>
      <w:r w:rsidR="0070734D" w:rsidRPr="0031291F">
        <w:rPr>
          <w:rFonts w:hint="eastAsia"/>
          <w:snapToGrid/>
        </w:rPr>
        <w:t>敘明如次：</w:t>
      </w:r>
    </w:p>
    <w:p w:rsidR="0070734D" w:rsidRPr="0031291F" w:rsidRDefault="0070734D" w:rsidP="0070734D">
      <w:pPr>
        <w:adjustRightInd w:val="0"/>
        <w:ind w:leftChars="311" w:left="1233" w:hangingChars="124" w:hanging="352"/>
        <w:rPr>
          <w:rFonts w:hint="eastAsia"/>
          <w:snapToGrid/>
        </w:rPr>
      </w:pPr>
      <w:r w:rsidRPr="0031291F">
        <w:rPr>
          <w:rFonts w:hint="eastAsia"/>
          <w:b/>
          <w:snapToGrid/>
        </w:rPr>
        <w:lastRenderedPageBreak/>
        <w:t>1.跨機關協調與進度風險：</w:t>
      </w:r>
      <w:r w:rsidRPr="0031291F">
        <w:rPr>
          <w:rFonts w:hint="eastAsia"/>
          <w:snapToGrid/>
        </w:rPr>
        <w:t>該計畫涉及健保署、戶政、財稅等多機關資料串接，協調難度高；若整合時程延宕，恐直接影響退輔會健保補助、急難救助等業務辦理時效。</w:t>
      </w:r>
    </w:p>
    <w:p w:rsidR="0070734D" w:rsidRPr="0031291F" w:rsidRDefault="0070734D" w:rsidP="0070734D">
      <w:pPr>
        <w:adjustRightInd w:val="0"/>
        <w:ind w:leftChars="311" w:left="1233" w:hangingChars="124" w:hanging="352"/>
        <w:rPr>
          <w:rFonts w:hint="eastAsia"/>
          <w:snapToGrid/>
        </w:rPr>
      </w:pPr>
      <w:r w:rsidRPr="0031291F">
        <w:rPr>
          <w:rFonts w:hint="eastAsia"/>
          <w:b/>
          <w:snapToGrid/>
        </w:rPr>
        <w:t>2.資安能量不足：</w:t>
      </w:r>
      <w:r w:rsidR="007246FD" w:rsidRPr="0031291F">
        <w:rPr>
          <w:rFonts w:hint="eastAsia"/>
          <w:snapToGrid/>
        </w:rPr>
        <w:t>該</w:t>
      </w:r>
      <w:r w:rsidRPr="0031291F">
        <w:rPr>
          <w:rFonts w:hint="eastAsia"/>
          <w:snapToGrid/>
        </w:rPr>
        <w:t>會近年已多次發生資安</w:t>
      </w:r>
      <w:r w:rsidR="007246FD" w:rsidRPr="0031291F">
        <w:rPr>
          <w:rFonts w:hint="eastAsia"/>
          <w:snapToGrid/>
        </w:rPr>
        <w:t>事件，若內部系統未同步強化防護，導入共用平臺後恐成為資安鏈條中之</w:t>
      </w:r>
      <w:r w:rsidRPr="0031291F">
        <w:rPr>
          <w:rFonts w:hint="eastAsia"/>
          <w:snapToGrid/>
        </w:rPr>
        <w:t>脆弱環節。</w:t>
      </w:r>
    </w:p>
    <w:p w:rsidR="0070734D" w:rsidRPr="0031291F" w:rsidRDefault="0070734D" w:rsidP="0070734D">
      <w:pPr>
        <w:adjustRightInd w:val="0"/>
        <w:ind w:leftChars="311" w:left="1233" w:hangingChars="124" w:hanging="352"/>
        <w:rPr>
          <w:rFonts w:hint="eastAsia"/>
          <w:snapToGrid/>
        </w:rPr>
      </w:pPr>
      <w:r w:rsidRPr="0031291F">
        <w:rPr>
          <w:rFonts w:hint="eastAsia"/>
          <w:b/>
          <w:snapToGrid/>
        </w:rPr>
        <w:t>3.</w:t>
      </w:r>
      <w:r w:rsidR="007344CA" w:rsidRPr="0031291F">
        <w:rPr>
          <w:rFonts w:hint="eastAsia"/>
          <w:b/>
          <w:snapToGrid/>
        </w:rPr>
        <w:t>配套措施</w:t>
      </w:r>
      <w:r w:rsidRPr="0031291F">
        <w:rPr>
          <w:rFonts w:hint="eastAsia"/>
          <w:b/>
          <w:snapToGrid/>
        </w:rPr>
        <w:t>：</w:t>
      </w:r>
      <w:r w:rsidRPr="0031291F">
        <w:rPr>
          <w:rFonts w:hint="eastAsia"/>
          <w:snapToGrid/>
        </w:rPr>
        <w:t>雖計</w:t>
      </w:r>
      <w:r w:rsidR="002109E2" w:rsidRPr="0031291F">
        <w:rPr>
          <w:rFonts w:hint="eastAsia"/>
          <w:snapToGrid/>
        </w:rPr>
        <w:t>畫經費由數發部主導編列，</w:t>
      </w:r>
      <w:r w:rsidR="007246FD" w:rsidRPr="0031291F">
        <w:rPr>
          <w:rFonts w:hint="eastAsia"/>
          <w:snapToGrid/>
        </w:rPr>
        <w:t>該</w:t>
      </w:r>
      <w:r w:rsidR="002109E2" w:rsidRPr="0031291F">
        <w:rPr>
          <w:rFonts w:hint="eastAsia"/>
          <w:snapToGrid/>
        </w:rPr>
        <w:t>會本身</w:t>
      </w:r>
      <w:r w:rsidR="007246FD" w:rsidRPr="0031291F">
        <w:rPr>
          <w:rFonts w:hint="eastAsia"/>
          <w:snapToGrid/>
        </w:rPr>
        <w:t>恐</w:t>
      </w:r>
      <w:r w:rsidR="002109E2" w:rsidRPr="0031291F">
        <w:rPr>
          <w:rFonts w:hint="eastAsia"/>
          <w:snapToGrid/>
        </w:rPr>
        <w:t>需</w:t>
      </w:r>
      <w:r w:rsidR="007246FD" w:rsidRPr="0031291F">
        <w:rPr>
          <w:rFonts w:hint="eastAsia"/>
          <w:snapToGrid/>
        </w:rPr>
        <w:t>配合</w:t>
      </w:r>
      <w:r w:rsidR="002109E2" w:rsidRPr="0031291F">
        <w:rPr>
          <w:rFonts w:hint="eastAsia"/>
          <w:snapToGrid/>
        </w:rPr>
        <w:t>人員培訓</w:t>
      </w:r>
      <w:r w:rsidR="007246FD" w:rsidRPr="0031291F">
        <w:rPr>
          <w:rFonts w:hint="eastAsia"/>
          <w:snapToGrid/>
        </w:rPr>
        <w:t>與進行</w:t>
      </w:r>
      <w:r w:rsidR="007344CA" w:rsidRPr="0031291F">
        <w:rPr>
          <w:rFonts w:hint="eastAsia"/>
          <w:snapToGrid/>
        </w:rPr>
        <w:t>相關</w:t>
      </w:r>
      <w:r w:rsidR="007246FD" w:rsidRPr="0031291F">
        <w:rPr>
          <w:rFonts w:hint="eastAsia"/>
          <w:snapToGrid/>
        </w:rPr>
        <w:t>系統改造</w:t>
      </w:r>
      <w:r w:rsidR="007344CA" w:rsidRPr="0031291F">
        <w:rPr>
          <w:rFonts w:hint="eastAsia"/>
          <w:snapToGrid/>
        </w:rPr>
        <w:t>等配套措施</w:t>
      </w:r>
      <w:r w:rsidRPr="0031291F">
        <w:rPr>
          <w:rFonts w:hint="eastAsia"/>
          <w:snapToGrid/>
        </w:rPr>
        <w:t>。</w:t>
      </w:r>
    </w:p>
    <w:p w:rsidR="0070734D" w:rsidRPr="0031291F" w:rsidRDefault="0070734D" w:rsidP="0070734D">
      <w:pPr>
        <w:adjustRightInd w:val="0"/>
        <w:ind w:leftChars="300" w:left="850" w:firstLine="566"/>
        <w:rPr>
          <w:snapToGrid/>
        </w:rPr>
      </w:pPr>
      <w:r w:rsidRPr="0031291F">
        <w:rPr>
          <w:rFonts w:hint="eastAsia"/>
          <w:snapToGrid/>
        </w:rPr>
        <w:t>是以</w:t>
      </w:r>
      <w:r w:rsidRPr="0031291F">
        <w:rPr>
          <w:rFonts w:hAnsi="標楷體" w:hint="eastAsia"/>
          <w:snapToGrid/>
        </w:rPr>
        <w:t>，為使本案如期如質完成，退輔會</w:t>
      </w:r>
      <w:r w:rsidRPr="0031291F">
        <w:rPr>
          <w:rFonts w:hint="eastAsia"/>
          <w:snapToGrid/>
        </w:rPr>
        <w:t>於推動「機關資料傳輸韌性強化暨發放共用基礎平臺建置計畫」時</w:t>
      </w:r>
      <w:r w:rsidRPr="0031291F">
        <w:rPr>
          <w:rFonts w:hAnsi="標楷體" w:hint="eastAsia"/>
          <w:snapToGrid/>
        </w:rPr>
        <w:t>，</w:t>
      </w:r>
      <w:r w:rsidR="00D45A7D" w:rsidRPr="0031291F">
        <w:rPr>
          <w:rFonts w:hAnsi="標楷體" w:hint="eastAsia"/>
          <w:snapToGrid/>
        </w:rPr>
        <w:t>允宜</w:t>
      </w:r>
      <w:r w:rsidRPr="0031291F">
        <w:rPr>
          <w:rFonts w:hint="eastAsia"/>
          <w:snapToGrid/>
        </w:rPr>
        <w:t>設立專責小組，加強與數發部及相關部會協調，並於年度預算中妥為運用</w:t>
      </w:r>
      <w:r w:rsidR="00A2584E" w:rsidRPr="0031291F">
        <w:rPr>
          <w:rFonts w:hint="eastAsia"/>
          <w:snapToGrid/>
        </w:rPr>
        <w:t>資安維運及</w:t>
      </w:r>
      <w:r w:rsidRPr="0031291F">
        <w:rPr>
          <w:rFonts w:hint="eastAsia"/>
          <w:snapToGrid/>
        </w:rPr>
        <w:t>人力培訓經費，</w:t>
      </w:r>
      <w:r w:rsidR="00A2584E" w:rsidRPr="0031291F">
        <w:rPr>
          <w:rFonts w:hint="eastAsia"/>
          <w:snapToGrid/>
        </w:rPr>
        <w:t>俾</w:t>
      </w:r>
      <w:r w:rsidRPr="0031291F">
        <w:rPr>
          <w:rFonts w:hint="eastAsia"/>
          <w:snapToGrid/>
        </w:rPr>
        <w:t>確保系統建置後能穩定運作。同時納入資安監測與應變機制，提升韌性，並將榮眷健保補助、急難救助或慰問金納入試辦，設定效益指標，俾</w:t>
      </w:r>
      <w:r w:rsidR="00A2584E" w:rsidRPr="0031291F">
        <w:rPr>
          <w:rFonts w:hint="eastAsia"/>
          <w:snapToGrid/>
        </w:rPr>
        <w:t>以檢視效率及</w:t>
      </w:r>
      <w:r w:rsidRPr="0031291F">
        <w:rPr>
          <w:rFonts w:hint="eastAsia"/>
          <w:snapToGrid/>
        </w:rPr>
        <w:t>資安改善成效。</w:t>
      </w:r>
    </w:p>
    <w:p w:rsidR="0070734D" w:rsidRPr="0031291F" w:rsidRDefault="0070734D" w:rsidP="009C15D8">
      <w:pPr>
        <w:ind w:left="566" w:firstLine="566"/>
        <w:rPr>
          <w:rFonts w:hint="eastAsia"/>
          <w:snapToGrid/>
        </w:rPr>
      </w:pPr>
      <w:r w:rsidRPr="0031291F">
        <w:rPr>
          <w:rFonts w:hint="eastAsia"/>
          <w:snapToGrid/>
        </w:rPr>
        <w:t>綜上</w:t>
      </w:r>
      <w:r w:rsidRPr="0031291F">
        <w:rPr>
          <w:rFonts w:hAnsi="標楷體" w:hint="eastAsia"/>
          <w:snapToGrid/>
        </w:rPr>
        <w:t>，</w:t>
      </w:r>
      <w:r w:rsidRPr="0031291F">
        <w:rPr>
          <w:rFonts w:hint="eastAsia"/>
          <w:snapToGrid/>
        </w:rPr>
        <w:t>退輔會近年配合數位發展部推動「資料傳輸韌性強化暨發放共用平臺」計畫，惟仍存有跨機關協調難度、資安與人力能量不足及配套</w:t>
      </w:r>
      <w:r w:rsidR="007344CA" w:rsidRPr="0031291F">
        <w:rPr>
          <w:rFonts w:hint="eastAsia"/>
          <w:snapToGrid/>
        </w:rPr>
        <w:t>措施等問題。</w:t>
      </w:r>
      <w:r w:rsidR="00D45A7D" w:rsidRPr="0031291F">
        <w:rPr>
          <w:rFonts w:hint="eastAsia"/>
          <w:snapToGrid/>
        </w:rPr>
        <w:t>允宜</w:t>
      </w:r>
      <w:r w:rsidRPr="0031291F">
        <w:rPr>
          <w:rFonts w:hint="eastAsia"/>
          <w:snapToGrid/>
        </w:rPr>
        <w:t>加強與數發部及相關部會協調，同時納入資安監測與應變機制，確保系統建置後穩定運作。另</w:t>
      </w:r>
      <w:r w:rsidR="007344CA" w:rsidRPr="0031291F">
        <w:rPr>
          <w:rFonts w:hint="eastAsia"/>
          <w:snapToGrid/>
        </w:rPr>
        <w:t>考量</w:t>
      </w:r>
      <w:r w:rsidRPr="0031291F">
        <w:rPr>
          <w:rFonts w:hint="eastAsia"/>
          <w:snapToGrid/>
        </w:rPr>
        <w:t>將榮眷健保補助、急難救助或慰問金納入試辦，</w:t>
      </w:r>
      <w:r w:rsidR="00D45A7D" w:rsidRPr="0031291F">
        <w:rPr>
          <w:rFonts w:hint="eastAsia"/>
          <w:snapToGrid/>
        </w:rPr>
        <w:t>並</w:t>
      </w:r>
      <w:r w:rsidRPr="0031291F">
        <w:rPr>
          <w:rFonts w:hint="eastAsia"/>
          <w:snapToGrid/>
        </w:rPr>
        <w:t>設定效益指標，</w:t>
      </w:r>
      <w:r w:rsidR="007344CA" w:rsidRPr="0031291F">
        <w:rPr>
          <w:rFonts w:hint="eastAsia"/>
          <w:snapToGrid/>
        </w:rPr>
        <w:t>俾</w:t>
      </w:r>
      <w:r w:rsidRPr="0031291F">
        <w:rPr>
          <w:rFonts w:hint="eastAsia"/>
          <w:snapToGrid/>
        </w:rPr>
        <w:t>以檢視效率與資安成效。</w:t>
      </w:r>
    </w:p>
    <w:bookmarkEnd w:id="7"/>
    <w:bookmarkEnd w:id="6"/>
    <w:bookmarkEnd w:id="3"/>
    <w:bookmarkEnd w:id="4"/>
    <w:bookmarkEnd w:id="5"/>
    <w:sectPr w:rsidR="0070734D"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AC2806" w:rsidRPr="00AC2806">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F8729C" w:rsidRDefault="00314101" w:rsidP="00F8729C">
      <w:pPr>
        <w:pStyle w:val="aff2"/>
        <w:jc w:val="both"/>
        <w:rPr>
          <w:rStyle w:val="143"/>
        </w:rPr>
      </w:pPr>
      <w:r>
        <w:rPr>
          <w:rStyle w:val="afc"/>
        </w:rPr>
        <w:footnoteRef/>
      </w:r>
      <w:r w:rsidRPr="00F8729C">
        <w:rPr>
          <w:rStyle w:val="143"/>
          <w:rFonts w:hint="eastAsia"/>
        </w:rPr>
        <w:t>數位發展部「機關資料傳輸韌性強化暨發放共用基礎平臺建置計畫」業於112年12月12日奉行政院院臺科字第1125025470號核定。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806"/>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CDAED7F-94A5-46B9-88BA-DFB0E4CE3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50CEF-66E2-43B1-9694-E1D8C9010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285</Words>
  <Characters>1630</Characters>
  <Application>Microsoft Office Word</Application>
  <DocSecurity>0</DocSecurity>
  <Lines>13</Lines>
  <Paragraphs>3</Paragraphs>
  <ScaleCrop>false</ScaleCrop>
  <Company/>
  <LinksUpToDate>false</LinksUpToDate>
  <CharactersWithSpaces>1912</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