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E1699" w:rsidRPr="0031291F" w:rsidRDefault="007E1699" w:rsidP="009E5967">
      <w:pPr>
        <w:pStyle w:val="14"/>
      </w:pPr>
      <w:bookmarkStart w:id="3" w:name="_Toc529190314"/>
      <w:bookmarkStart w:id="4" w:name="_Toc143869515"/>
      <w:bookmarkStart w:id="5" w:name="_Toc147409877"/>
      <w:bookmarkStart w:id="6" w:name="_Toc209646939"/>
      <w:bookmarkStart w:id="7" w:name="_Toc213247896"/>
      <w:bookmarkEnd w:id="1"/>
      <w:bookmarkEnd w:id="2"/>
      <w:r w:rsidRPr="0031291F">
        <w:rPr>
          <w:rFonts w:hint="eastAsia"/>
        </w:rPr>
        <w:t>一五、自114年度起承接榮民公司未完結業務，賡續僱用5名工作人員，允宜加強勞保金追繳作業督導並落實執行，以保障國庫權益</w:t>
      </w:r>
      <w:bookmarkEnd w:id="6"/>
      <w:bookmarkEnd w:id="7"/>
    </w:p>
    <w:p w:rsidR="007E1699" w:rsidRPr="0031291F" w:rsidRDefault="007E1699" w:rsidP="007E1699">
      <w:pPr>
        <w:ind w:left="566" w:firstLine="566"/>
      </w:pPr>
      <w:r w:rsidRPr="0031291F">
        <w:rPr>
          <w:rFonts w:hint="eastAsia"/>
        </w:rPr>
        <w:t>退輔會因應榮民工程股份有限公司(以下簡稱榮民工程公司)解散清算之補償金及債權憑證追償作業等事項，115年度</w:t>
      </w:r>
      <w:r w:rsidR="00B002AE" w:rsidRPr="0031291F">
        <w:rPr>
          <w:rFonts w:hint="eastAsia"/>
        </w:rPr>
        <w:t>預算案</w:t>
      </w:r>
      <w:r w:rsidRPr="0031291F">
        <w:rPr>
          <w:rFonts w:hint="eastAsia"/>
        </w:rPr>
        <w:t>於「一般行政-基本行政工作維持」編列</w:t>
      </w:r>
      <w:r w:rsidRPr="0031291F">
        <w:t>1</w:t>
      </w:r>
      <w:r w:rsidRPr="0031291F">
        <w:rPr>
          <w:rFonts w:hint="eastAsia"/>
        </w:rPr>
        <w:t>億</w:t>
      </w:r>
      <w:r w:rsidRPr="0031291F">
        <w:t>1</w:t>
      </w:r>
      <w:r w:rsidRPr="0031291F">
        <w:rPr>
          <w:rFonts w:hint="eastAsia"/>
        </w:rPr>
        <w:t>,</w:t>
      </w:r>
      <w:r w:rsidRPr="0031291F">
        <w:t>533</w:t>
      </w:r>
      <w:r w:rsidRPr="0031291F">
        <w:rPr>
          <w:rFonts w:hint="eastAsia"/>
        </w:rPr>
        <w:t>萬</w:t>
      </w:r>
      <w:r w:rsidRPr="0031291F">
        <w:t>4</w:t>
      </w:r>
      <w:r w:rsidRPr="0031291F">
        <w:rPr>
          <w:rFonts w:hint="eastAsia"/>
        </w:rPr>
        <w:t>千元</w:t>
      </w:r>
      <w:r w:rsidRPr="0031291F">
        <w:rPr>
          <w:rFonts w:hAnsi="標楷體" w:hint="eastAsia"/>
        </w:rPr>
        <w:t>，其中協助辦理本會承接榮民工程公司退撫相關業務服務費60萬元，以及協助辦理榮民公司清算完結裁撤後由本會承接之續留業務相關工作5人</w:t>
      </w:r>
      <w:r w:rsidR="00B002AE" w:rsidRPr="0031291F">
        <w:rPr>
          <w:rFonts w:ascii="新細明體" w:eastAsia="新細明體" w:hAnsi="新細明體" w:hint="eastAsia"/>
        </w:rPr>
        <w:t>、</w:t>
      </w:r>
      <w:r w:rsidRPr="0031291F">
        <w:rPr>
          <w:rFonts w:hAnsi="標楷體" w:hint="eastAsia"/>
        </w:rPr>
        <w:t>461萬1千元，合計521萬1千元</w:t>
      </w:r>
      <w:r w:rsidRPr="0031291F">
        <w:rPr>
          <w:rFonts w:hint="eastAsia"/>
        </w:rPr>
        <w:t>。經查</w:t>
      </w:r>
      <w:r w:rsidRPr="0031291F">
        <w:rPr>
          <w:rFonts w:ascii="新細明體" w:eastAsia="新細明體" w:hAnsi="新細明體" w:hint="eastAsia"/>
        </w:rPr>
        <w:t>：</w:t>
      </w:r>
    </w:p>
    <w:p w:rsidR="007E1699" w:rsidRPr="0031291F" w:rsidRDefault="007E1699" w:rsidP="007E1699">
      <w:pPr>
        <w:ind w:left="849" w:hangingChars="100" w:hanging="283"/>
        <w:rPr>
          <w:b/>
        </w:rPr>
      </w:pPr>
      <w:r w:rsidRPr="0031291F">
        <w:rPr>
          <w:b/>
        </w:rPr>
        <w:t>(</w:t>
      </w:r>
      <w:r w:rsidRPr="0031291F">
        <w:rPr>
          <w:rFonts w:hint="eastAsia"/>
          <w:b/>
        </w:rPr>
        <w:t>一</w:t>
      </w:r>
      <w:r w:rsidRPr="0031291F">
        <w:rPr>
          <w:b/>
        </w:rPr>
        <w:t>)</w:t>
      </w:r>
      <w:r w:rsidRPr="0031291F">
        <w:rPr>
          <w:rFonts w:hint="eastAsia"/>
          <w:b/>
        </w:rPr>
        <w:t>榮民工程公司民營化後勞保補償金發放情形及追償相關規定</w:t>
      </w:r>
    </w:p>
    <w:p w:rsidR="007E1699" w:rsidRPr="0031291F" w:rsidRDefault="007E1699" w:rsidP="007E1699">
      <w:pPr>
        <w:adjustRightInd w:val="0"/>
        <w:ind w:leftChars="300" w:left="850" w:firstLine="566"/>
      </w:pPr>
      <w:r w:rsidRPr="0031291F">
        <w:rPr>
          <w:rFonts w:hint="eastAsia"/>
        </w:rPr>
        <w:t>按勞保補償金追繳作業係榮民</w:t>
      </w:r>
      <w:r w:rsidR="00B002AE" w:rsidRPr="0031291F">
        <w:rPr>
          <w:rFonts w:hint="eastAsia"/>
        </w:rPr>
        <w:t>工程</w:t>
      </w:r>
      <w:r w:rsidRPr="0031291F">
        <w:rPr>
          <w:rFonts w:hint="eastAsia"/>
        </w:rPr>
        <w:t>公司清算階段主要任務之一，該公司為辦理民營化作業，自83年7月至93年10月間，共辦理7次專案裁減，裁減人數共計3,990人，合計發放勞保補償金22億2,333萬餘元。</w:t>
      </w:r>
    </w:p>
    <w:p w:rsidR="007E1699" w:rsidRPr="0031291F" w:rsidRDefault="007E1699" w:rsidP="007E1699">
      <w:pPr>
        <w:adjustRightInd w:val="0"/>
        <w:ind w:leftChars="300" w:left="850" w:firstLine="566"/>
      </w:pPr>
      <w:r w:rsidRPr="0031291F">
        <w:rPr>
          <w:rFonts w:hint="eastAsia"/>
        </w:rPr>
        <w:t>為避免上開已領取補償金者又加入公保、勞保並領取養老或老年給付，公營事業移轉民營條例第10條</w:t>
      </w:r>
      <w:r w:rsidRPr="0031291F">
        <w:rPr>
          <w:rFonts w:hAnsi="標楷體"/>
          <w:vertAlign w:val="superscript"/>
        </w:rPr>
        <w:footnoteReference w:id="2"/>
      </w:r>
      <w:r w:rsidRPr="0031291F">
        <w:rPr>
          <w:rFonts w:hint="eastAsia"/>
        </w:rPr>
        <w:t>及國軍退除役官兵</w:t>
      </w:r>
      <w:r w:rsidRPr="0031291F">
        <w:rPr>
          <w:rFonts w:hint="eastAsia"/>
        </w:rPr>
        <w:lastRenderedPageBreak/>
        <w:t>輔導委員會所屬事業機構移轉民營從業人員權益補償辦法第5條</w:t>
      </w:r>
      <w:r w:rsidRPr="0031291F">
        <w:rPr>
          <w:rFonts w:hAnsi="標楷體"/>
          <w:vertAlign w:val="superscript"/>
        </w:rPr>
        <w:footnoteReference w:id="3"/>
      </w:r>
      <w:r w:rsidRPr="0031291F">
        <w:rPr>
          <w:rFonts w:hAnsi="標楷體" w:hint="eastAsia"/>
        </w:rPr>
        <w:t>，均</w:t>
      </w:r>
      <w:r w:rsidRPr="0031291F">
        <w:rPr>
          <w:rFonts w:hint="eastAsia"/>
        </w:rPr>
        <w:t>訂有追償相關規定</w:t>
      </w:r>
      <w:r w:rsidRPr="0031291F">
        <w:rPr>
          <w:rFonts w:hAnsi="標楷體" w:hint="eastAsia"/>
        </w:rPr>
        <w:t>。</w:t>
      </w:r>
    </w:p>
    <w:p w:rsidR="007E1699" w:rsidRPr="0031291F" w:rsidRDefault="007E1699" w:rsidP="007E1699">
      <w:pPr>
        <w:ind w:left="849" w:hangingChars="100" w:hanging="283"/>
        <w:rPr>
          <w:b/>
        </w:rPr>
      </w:pPr>
      <w:r w:rsidRPr="0031291F">
        <w:rPr>
          <w:b/>
        </w:rPr>
        <w:t>(</w:t>
      </w:r>
      <w:r w:rsidRPr="0031291F">
        <w:rPr>
          <w:rFonts w:hint="eastAsia"/>
          <w:b/>
        </w:rPr>
        <w:t>二</w:t>
      </w:r>
      <w:r w:rsidRPr="0031291F">
        <w:rPr>
          <w:b/>
        </w:rPr>
        <w:t>)</w:t>
      </w:r>
      <w:r w:rsidRPr="0031291F">
        <w:rPr>
          <w:rFonts w:hint="eastAsia"/>
          <w:b/>
        </w:rPr>
        <w:t>截至114年8月底止勞保補償金應繳回對象尚未結案者占比逾一成，恐影響國庫權益</w:t>
      </w:r>
    </w:p>
    <w:p w:rsidR="007E1699" w:rsidRPr="0031291F" w:rsidRDefault="007E1699" w:rsidP="007E1699">
      <w:pPr>
        <w:adjustRightInd w:val="0"/>
        <w:ind w:leftChars="300" w:left="850" w:firstLine="566"/>
        <w:rPr>
          <w:rFonts w:hint="eastAsia"/>
        </w:rPr>
      </w:pPr>
      <w:r w:rsidRPr="0031291F">
        <w:rPr>
          <w:rFonts w:hint="eastAsia"/>
        </w:rPr>
        <w:t>參據輔導會提供截至114年8月底止補償金追繳作業統計資料(詳表1)，</w:t>
      </w:r>
      <w:r w:rsidR="00B002AE" w:rsidRPr="0031291F">
        <w:rPr>
          <w:rFonts w:hint="eastAsia"/>
        </w:rPr>
        <w:t>其中</w:t>
      </w:r>
      <w:r w:rsidRPr="0031291F">
        <w:rPr>
          <w:rFonts w:hint="eastAsia"/>
        </w:rPr>
        <w:t>已繳回結案者2,260人，占比56.64%；已請領但未結案者449人（其中採分期繳回者266人、進入司法追繳程序者183人），占比11.25%；尚未請領者1,281人</w:t>
      </w:r>
      <w:r w:rsidR="00112530" w:rsidRPr="0031291F">
        <w:rPr>
          <w:rStyle w:val="afc"/>
        </w:rPr>
        <w:footnoteReference w:id="4"/>
      </w:r>
      <w:r w:rsidRPr="0031291F">
        <w:rPr>
          <w:rFonts w:hint="eastAsia"/>
        </w:rPr>
        <w:t>，占比32.11%。換言之，仍有逾一成應繳回對象尚未結案，且部分案件</w:t>
      </w:r>
      <w:bookmarkStart w:id="8" w:name="_Hlk212621876"/>
      <w:r w:rsidRPr="0031291F">
        <w:rPr>
          <w:rFonts w:hint="eastAsia"/>
        </w:rPr>
        <w:t>因人員高齡</w:t>
      </w:r>
      <w:r w:rsidR="00AC5331" w:rsidRPr="0031291F">
        <w:rPr>
          <w:rFonts w:hint="eastAsia"/>
        </w:rPr>
        <w:t>遷居不明或涉訴訟中斷，追繳進度遲緩</w:t>
      </w:r>
      <w:bookmarkEnd w:id="8"/>
      <w:r w:rsidRPr="0031291F">
        <w:rPr>
          <w:rFonts w:hint="eastAsia"/>
        </w:rPr>
        <w:t>，恐影響國庫權益。</w:t>
      </w:r>
    </w:p>
    <w:p w:rsidR="007E1699" w:rsidRPr="0031291F" w:rsidRDefault="007E1699" w:rsidP="007E1699">
      <w:pPr>
        <w:ind w:leftChars="9" w:left="411" w:rightChars="-46" w:right="-130" w:hangingChars="136" w:hanging="386"/>
        <w:rPr>
          <w:rFonts w:hAnsi="標楷體"/>
          <w:sz w:val="24"/>
          <w:szCs w:val="24"/>
        </w:rPr>
      </w:pPr>
      <w:bookmarkStart w:id="9" w:name="_Hlk178601164"/>
      <w:bookmarkStart w:id="10" w:name="_Hlk212621761"/>
      <w:r w:rsidRPr="0031291F">
        <w:rPr>
          <w:rFonts w:hAnsi="標楷體"/>
          <w:b/>
        </w:rPr>
        <w:t>表1 截至11</w:t>
      </w:r>
      <w:r w:rsidRPr="0031291F">
        <w:rPr>
          <w:rFonts w:hAnsi="標楷體" w:hint="eastAsia"/>
          <w:b/>
        </w:rPr>
        <w:t>4</w:t>
      </w:r>
      <w:r w:rsidRPr="0031291F">
        <w:rPr>
          <w:rFonts w:hAnsi="標楷體"/>
          <w:b/>
        </w:rPr>
        <w:t>年8月底</w:t>
      </w:r>
      <w:r w:rsidRPr="0031291F">
        <w:rPr>
          <w:rFonts w:hAnsi="標楷體" w:hint="eastAsia"/>
          <w:b/>
        </w:rPr>
        <w:t>止</w:t>
      </w:r>
      <w:r w:rsidRPr="0031291F">
        <w:rPr>
          <w:rFonts w:hAnsi="標楷體"/>
          <w:b/>
        </w:rPr>
        <w:t xml:space="preserve">補償金追繳作業統計表   </w:t>
      </w:r>
      <w:r w:rsidRPr="0031291F">
        <w:rPr>
          <w:rFonts w:hAnsi="標楷體"/>
        </w:rPr>
        <w:t xml:space="preserve">  </w:t>
      </w:r>
      <w:r w:rsidRPr="0031291F">
        <w:rPr>
          <w:rFonts w:hAnsi="標楷體"/>
          <w:sz w:val="24"/>
          <w:szCs w:val="24"/>
        </w:rPr>
        <w:t xml:space="preserve"> </w:t>
      </w:r>
      <w:r w:rsidRPr="0031291F">
        <w:rPr>
          <w:rFonts w:hAnsi="標楷體" w:hint="eastAsia"/>
          <w:sz w:val="24"/>
          <w:szCs w:val="24"/>
        </w:rPr>
        <w:t xml:space="preserve">   </w:t>
      </w:r>
      <w:r w:rsidRPr="0031291F">
        <w:rPr>
          <w:rFonts w:hAnsi="標楷體"/>
          <w:sz w:val="24"/>
          <w:szCs w:val="24"/>
        </w:rPr>
        <w:t>單位：人</w:t>
      </w:r>
      <w:r w:rsidRPr="0031291F">
        <w:rPr>
          <w:rFonts w:hAnsi="標楷體" w:hint="eastAsia"/>
          <w:sz w:val="24"/>
          <w:szCs w:val="24"/>
        </w:rPr>
        <w:t>；</w:t>
      </w:r>
      <w:r w:rsidRPr="0031291F">
        <w:rPr>
          <w:rFonts w:hAnsi="標楷體"/>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02"/>
        <w:gridCol w:w="3765"/>
        <w:gridCol w:w="1379"/>
        <w:gridCol w:w="1379"/>
      </w:tblGrid>
      <w:tr w:rsidR="007E1699" w:rsidRPr="0031291F" w:rsidTr="007E1699">
        <w:trPr>
          <w:tblHeader/>
        </w:trPr>
        <w:tc>
          <w:tcPr>
            <w:tcW w:w="2002" w:type="dxa"/>
            <w:shd w:val="clear" w:color="auto" w:fill="auto"/>
            <w:vAlign w:val="center"/>
          </w:tcPr>
          <w:p w:rsidR="007E1699" w:rsidRPr="0031291F" w:rsidRDefault="007E1699" w:rsidP="007E1699">
            <w:pPr>
              <w:pStyle w:val="142"/>
            </w:pPr>
            <w:r w:rsidRPr="0031291F">
              <w:rPr>
                <w:rFonts w:hint="eastAsia"/>
              </w:rPr>
              <w:t>類別</w:t>
            </w:r>
          </w:p>
        </w:tc>
        <w:tc>
          <w:tcPr>
            <w:tcW w:w="3765" w:type="dxa"/>
            <w:shd w:val="clear" w:color="auto" w:fill="auto"/>
            <w:vAlign w:val="center"/>
          </w:tcPr>
          <w:p w:rsidR="007E1699" w:rsidRPr="0031291F" w:rsidRDefault="007E1699" w:rsidP="007E1699">
            <w:pPr>
              <w:pStyle w:val="142"/>
              <w:jc w:val="center"/>
            </w:pPr>
            <w:r w:rsidRPr="0031291F">
              <w:rPr>
                <w:rFonts w:hint="eastAsia"/>
              </w:rPr>
              <w:t>項目及年齡</w:t>
            </w:r>
          </w:p>
        </w:tc>
        <w:tc>
          <w:tcPr>
            <w:tcW w:w="1379" w:type="dxa"/>
            <w:shd w:val="clear" w:color="auto" w:fill="auto"/>
            <w:vAlign w:val="center"/>
          </w:tcPr>
          <w:p w:rsidR="007E1699" w:rsidRPr="0031291F" w:rsidRDefault="007E1699" w:rsidP="007E1699">
            <w:pPr>
              <w:pStyle w:val="142"/>
              <w:jc w:val="center"/>
            </w:pPr>
            <w:r w:rsidRPr="0031291F">
              <w:t>人數</w:t>
            </w:r>
          </w:p>
        </w:tc>
        <w:tc>
          <w:tcPr>
            <w:tcW w:w="1379" w:type="dxa"/>
            <w:shd w:val="clear" w:color="auto" w:fill="auto"/>
            <w:vAlign w:val="center"/>
          </w:tcPr>
          <w:p w:rsidR="007E1699" w:rsidRPr="0031291F" w:rsidRDefault="007E1699" w:rsidP="007E1699">
            <w:pPr>
              <w:pStyle w:val="142"/>
              <w:jc w:val="center"/>
            </w:pPr>
            <w:r w:rsidRPr="0031291F">
              <w:t>占比</w:t>
            </w:r>
          </w:p>
        </w:tc>
      </w:tr>
      <w:tr w:rsidR="007E1699" w:rsidRPr="0031291F" w:rsidTr="007E1699">
        <w:tc>
          <w:tcPr>
            <w:tcW w:w="2002" w:type="dxa"/>
            <w:vMerge w:val="restart"/>
            <w:shd w:val="clear" w:color="auto" w:fill="auto"/>
            <w:vAlign w:val="center"/>
          </w:tcPr>
          <w:p w:rsidR="007E1699" w:rsidRPr="0031291F" w:rsidRDefault="007E1699" w:rsidP="007E1699">
            <w:pPr>
              <w:pStyle w:val="142"/>
            </w:pPr>
            <w:r w:rsidRPr="0031291F">
              <w:t>已請領未結案者</w:t>
            </w:r>
          </w:p>
        </w:tc>
        <w:tc>
          <w:tcPr>
            <w:tcW w:w="3765" w:type="dxa"/>
            <w:shd w:val="clear" w:color="auto" w:fill="auto"/>
            <w:vAlign w:val="center"/>
          </w:tcPr>
          <w:p w:rsidR="007E1699" w:rsidRPr="0031291F" w:rsidRDefault="007E1699" w:rsidP="007E1699">
            <w:pPr>
              <w:pStyle w:val="142"/>
            </w:pPr>
            <w:r w:rsidRPr="0031291F">
              <w:t>採取分期繳回者</w:t>
            </w:r>
          </w:p>
        </w:tc>
        <w:tc>
          <w:tcPr>
            <w:tcW w:w="1379" w:type="dxa"/>
            <w:shd w:val="clear" w:color="auto" w:fill="auto"/>
            <w:vAlign w:val="center"/>
          </w:tcPr>
          <w:p w:rsidR="007E1699" w:rsidRPr="0031291F" w:rsidRDefault="007E1699" w:rsidP="007E1699">
            <w:pPr>
              <w:pStyle w:val="142"/>
              <w:jc w:val="right"/>
            </w:pPr>
            <w:r w:rsidRPr="0031291F">
              <w:rPr>
                <w:rFonts w:hint="eastAsia"/>
              </w:rPr>
              <w:t>266</w:t>
            </w:r>
          </w:p>
        </w:tc>
        <w:tc>
          <w:tcPr>
            <w:tcW w:w="1379" w:type="dxa"/>
            <w:shd w:val="clear" w:color="auto" w:fill="auto"/>
            <w:vAlign w:val="center"/>
          </w:tcPr>
          <w:p w:rsidR="007E1699" w:rsidRPr="0031291F" w:rsidRDefault="007E1699" w:rsidP="007E1699">
            <w:pPr>
              <w:pStyle w:val="142"/>
              <w:jc w:val="right"/>
            </w:pPr>
            <w:r w:rsidRPr="0031291F">
              <w:rPr>
                <w:rFonts w:hint="eastAsia"/>
              </w:rPr>
              <w:t>6.67</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t>進入司法追繳程序者</w:t>
            </w:r>
          </w:p>
        </w:tc>
        <w:tc>
          <w:tcPr>
            <w:tcW w:w="1379" w:type="dxa"/>
            <w:shd w:val="clear" w:color="auto" w:fill="auto"/>
            <w:vAlign w:val="center"/>
          </w:tcPr>
          <w:p w:rsidR="007E1699" w:rsidRPr="0031291F" w:rsidRDefault="007E1699" w:rsidP="007E1699">
            <w:pPr>
              <w:pStyle w:val="142"/>
              <w:jc w:val="right"/>
            </w:pPr>
            <w:r w:rsidRPr="0031291F">
              <w:rPr>
                <w:rFonts w:hint="eastAsia"/>
              </w:rPr>
              <w:t>183</w:t>
            </w:r>
          </w:p>
        </w:tc>
        <w:tc>
          <w:tcPr>
            <w:tcW w:w="1379" w:type="dxa"/>
            <w:shd w:val="clear" w:color="auto" w:fill="auto"/>
            <w:vAlign w:val="center"/>
          </w:tcPr>
          <w:p w:rsidR="007E1699" w:rsidRPr="0031291F" w:rsidRDefault="007E1699" w:rsidP="007E1699">
            <w:pPr>
              <w:pStyle w:val="142"/>
              <w:jc w:val="right"/>
            </w:pPr>
            <w:r w:rsidRPr="0031291F">
              <w:rPr>
                <w:rFonts w:hint="eastAsia"/>
              </w:rPr>
              <w:t>4.59</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rPr>
                <w:shd w:val="pct15" w:color="auto" w:fill="FFFFFF"/>
              </w:rPr>
              <w:t>小計(A)</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449</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11.25</w:t>
            </w:r>
          </w:p>
        </w:tc>
      </w:tr>
      <w:tr w:rsidR="007E1699" w:rsidRPr="0031291F" w:rsidTr="007E1699">
        <w:tc>
          <w:tcPr>
            <w:tcW w:w="2002" w:type="dxa"/>
            <w:vMerge w:val="restart"/>
            <w:shd w:val="clear" w:color="auto" w:fill="auto"/>
            <w:vAlign w:val="center"/>
          </w:tcPr>
          <w:p w:rsidR="007E1699" w:rsidRPr="0031291F" w:rsidRDefault="007E1699" w:rsidP="007E1699">
            <w:pPr>
              <w:pStyle w:val="142"/>
            </w:pPr>
            <w:r w:rsidRPr="0031291F">
              <w:t>尚未請領者</w:t>
            </w:r>
          </w:p>
        </w:tc>
        <w:tc>
          <w:tcPr>
            <w:tcW w:w="3765" w:type="dxa"/>
            <w:shd w:val="clear" w:color="auto" w:fill="auto"/>
            <w:vAlign w:val="center"/>
          </w:tcPr>
          <w:p w:rsidR="007E1699" w:rsidRPr="0031291F" w:rsidRDefault="007E1699" w:rsidP="007E1699">
            <w:pPr>
              <w:pStyle w:val="142"/>
            </w:pPr>
            <w:r w:rsidRPr="0031291F">
              <w:t>65歲以上者</w:t>
            </w:r>
          </w:p>
        </w:tc>
        <w:tc>
          <w:tcPr>
            <w:tcW w:w="1379" w:type="dxa"/>
            <w:shd w:val="clear" w:color="auto" w:fill="auto"/>
            <w:vAlign w:val="center"/>
          </w:tcPr>
          <w:p w:rsidR="007E1699" w:rsidRPr="0031291F" w:rsidRDefault="007E1699" w:rsidP="007E1699">
            <w:pPr>
              <w:pStyle w:val="142"/>
              <w:jc w:val="right"/>
            </w:pPr>
            <w:r w:rsidRPr="0031291F">
              <w:rPr>
                <w:rFonts w:hint="eastAsia"/>
              </w:rPr>
              <w:t>642</w:t>
            </w:r>
          </w:p>
        </w:tc>
        <w:tc>
          <w:tcPr>
            <w:tcW w:w="1379" w:type="dxa"/>
            <w:shd w:val="clear" w:color="auto" w:fill="auto"/>
            <w:vAlign w:val="center"/>
          </w:tcPr>
          <w:p w:rsidR="007E1699" w:rsidRPr="0031291F" w:rsidRDefault="007E1699" w:rsidP="007E1699">
            <w:pPr>
              <w:pStyle w:val="142"/>
              <w:jc w:val="right"/>
            </w:pPr>
            <w:r w:rsidRPr="0031291F">
              <w:rPr>
                <w:rFonts w:hint="eastAsia"/>
              </w:rPr>
              <w:t>16.09</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t>未滿65歲者</w:t>
            </w:r>
          </w:p>
        </w:tc>
        <w:tc>
          <w:tcPr>
            <w:tcW w:w="1379" w:type="dxa"/>
            <w:shd w:val="clear" w:color="auto" w:fill="auto"/>
            <w:vAlign w:val="center"/>
          </w:tcPr>
          <w:p w:rsidR="007E1699" w:rsidRPr="0031291F" w:rsidRDefault="007E1699" w:rsidP="007E1699">
            <w:pPr>
              <w:pStyle w:val="142"/>
              <w:jc w:val="right"/>
            </w:pPr>
            <w:r w:rsidRPr="0031291F">
              <w:rPr>
                <w:rFonts w:hint="eastAsia"/>
              </w:rPr>
              <w:t>639</w:t>
            </w:r>
          </w:p>
        </w:tc>
        <w:tc>
          <w:tcPr>
            <w:tcW w:w="1379" w:type="dxa"/>
            <w:shd w:val="clear" w:color="auto" w:fill="auto"/>
            <w:vAlign w:val="center"/>
          </w:tcPr>
          <w:p w:rsidR="007E1699" w:rsidRPr="0031291F" w:rsidRDefault="007E1699" w:rsidP="007E1699">
            <w:pPr>
              <w:pStyle w:val="142"/>
              <w:jc w:val="right"/>
            </w:pPr>
            <w:r w:rsidRPr="0031291F">
              <w:rPr>
                <w:rFonts w:hint="eastAsia"/>
              </w:rPr>
              <w:t>16.02</w:t>
            </w:r>
          </w:p>
        </w:tc>
      </w:tr>
      <w:tr w:rsidR="007E1699" w:rsidRPr="0031291F" w:rsidTr="007E1699">
        <w:tc>
          <w:tcPr>
            <w:tcW w:w="2002" w:type="dxa"/>
            <w:vMerge/>
            <w:shd w:val="clear" w:color="auto" w:fill="auto"/>
          </w:tcPr>
          <w:p w:rsidR="007E1699" w:rsidRPr="0031291F" w:rsidRDefault="007E1699" w:rsidP="007E1699">
            <w:pPr>
              <w:pStyle w:val="142"/>
            </w:pPr>
          </w:p>
        </w:tc>
        <w:tc>
          <w:tcPr>
            <w:tcW w:w="3765" w:type="dxa"/>
            <w:shd w:val="clear" w:color="auto" w:fill="auto"/>
            <w:vAlign w:val="center"/>
          </w:tcPr>
          <w:p w:rsidR="007E1699" w:rsidRPr="0031291F" w:rsidRDefault="007E1699" w:rsidP="007E1699">
            <w:pPr>
              <w:pStyle w:val="142"/>
            </w:pPr>
            <w:r w:rsidRPr="0031291F">
              <w:t>小計(B)</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1,281</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32.11</w:t>
            </w:r>
          </w:p>
        </w:tc>
      </w:tr>
      <w:tr w:rsidR="007E1699" w:rsidRPr="0031291F" w:rsidTr="007E1699">
        <w:tc>
          <w:tcPr>
            <w:tcW w:w="5767" w:type="dxa"/>
            <w:gridSpan w:val="2"/>
            <w:shd w:val="clear" w:color="auto" w:fill="auto"/>
          </w:tcPr>
          <w:p w:rsidR="007E1699" w:rsidRPr="0031291F" w:rsidRDefault="007E1699" w:rsidP="007E1699">
            <w:pPr>
              <w:pStyle w:val="142"/>
            </w:pPr>
            <w:r w:rsidRPr="0031291F">
              <w:t>已繳回結案者(C)</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2,260</w:t>
            </w:r>
          </w:p>
        </w:tc>
        <w:tc>
          <w:tcPr>
            <w:tcW w:w="1379" w:type="dxa"/>
            <w:shd w:val="clear" w:color="auto" w:fill="auto"/>
            <w:vAlign w:val="center"/>
          </w:tcPr>
          <w:p w:rsidR="007E1699" w:rsidRPr="0031291F" w:rsidRDefault="007E1699" w:rsidP="007E1699">
            <w:pPr>
              <w:pStyle w:val="142"/>
              <w:jc w:val="right"/>
            </w:pPr>
            <w:r w:rsidRPr="0031291F">
              <w:rPr>
                <w:rFonts w:hint="eastAsia"/>
                <w:shd w:val="pct15" w:color="auto" w:fill="FFFFFF"/>
              </w:rPr>
              <w:t>56.64</w:t>
            </w:r>
          </w:p>
        </w:tc>
      </w:tr>
      <w:tr w:rsidR="007E1699" w:rsidRPr="0031291F" w:rsidTr="007E1699">
        <w:tc>
          <w:tcPr>
            <w:tcW w:w="5767" w:type="dxa"/>
            <w:gridSpan w:val="2"/>
            <w:shd w:val="clear" w:color="auto" w:fill="auto"/>
          </w:tcPr>
          <w:p w:rsidR="007E1699" w:rsidRPr="0031291F" w:rsidRDefault="007E1699" w:rsidP="007E1699">
            <w:pPr>
              <w:pStyle w:val="142"/>
            </w:pPr>
            <w:r w:rsidRPr="0031291F">
              <w:t>合計(D=A+B+C)</w:t>
            </w:r>
          </w:p>
        </w:tc>
        <w:tc>
          <w:tcPr>
            <w:tcW w:w="1379" w:type="dxa"/>
            <w:shd w:val="clear" w:color="auto" w:fill="auto"/>
            <w:vAlign w:val="center"/>
          </w:tcPr>
          <w:p w:rsidR="007E1699" w:rsidRPr="0031291F" w:rsidRDefault="007E1699" w:rsidP="007E1699">
            <w:pPr>
              <w:pStyle w:val="142"/>
              <w:jc w:val="right"/>
            </w:pPr>
            <w:r w:rsidRPr="0031291F">
              <w:rPr>
                <w:rFonts w:hint="eastAsia"/>
              </w:rPr>
              <w:t>3,990</w:t>
            </w:r>
          </w:p>
        </w:tc>
        <w:tc>
          <w:tcPr>
            <w:tcW w:w="1379" w:type="dxa"/>
            <w:shd w:val="clear" w:color="auto" w:fill="auto"/>
            <w:vAlign w:val="center"/>
          </w:tcPr>
          <w:p w:rsidR="007E1699" w:rsidRPr="0031291F" w:rsidRDefault="007E1699" w:rsidP="007E1699">
            <w:pPr>
              <w:pStyle w:val="142"/>
              <w:jc w:val="right"/>
            </w:pPr>
            <w:r w:rsidRPr="0031291F">
              <w:rPr>
                <w:rFonts w:hint="eastAsia"/>
              </w:rPr>
              <w:t>100.0</w:t>
            </w:r>
          </w:p>
        </w:tc>
      </w:tr>
    </w:tbl>
    <w:p w:rsidR="003F0A15" w:rsidRPr="0031291F" w:rsidRDefault="007E1699" w:rsidP="00AC5331">
      <w:pPr>
        <w:spacing w:line="280" w:lineRule="exact"/>
        <w:ind w:leftChars="0" w:left="1484" w:rightChars="-12" w:right="-34" w:hangingChars="610" w:hanging="1484"/>
        <w:rPr>
          <w:rFonts w:hint="eastAsia"/>
          <w:sz w:val="24"/>
        </w:rPr>
      </w:pPr>
      <w:r w:rsidRPr="0031291F">
        <w:rPr>
          <w:rFonts w:hint="eastAsia"/>
          <w:sz w:val="24"/>
        </w:rPr>
        <w:lastRenderedPageBreak/>
        <w:t>說    明：</w:t>
      </w:r>
      <w:r w:rsidR="003F0A15" w:rsidRPr="0031291F">
        <w:rPr>
          <w:rFonts w:hint="eastAsia"/>
          <w:sz w:val="24"/>
        </w:rPr>
        <w:t>1.</w:t>
      </w:r>
      <w:r w:rsidR="003F0A15" w:rsidRPr="0031291F">
        <w:rPr>
          <w:rFonts w:hAnsi="標楷體" w:hint="eastAsia"/>
          <w:sz w:val="24"/>
        </w:rPr>
        <w:t>【</w:t>
      </w:r>
      <w:r w:rsidR="003F0A15" w:rsidRPr="0031291F">
        <w:rPr>
          <w:rFonts w:hint="eastAsia"/>
          <w:sz w:val="24"/>
        </w:rPr>
        <w:t>已請領未結案者</w:t>
      </w:r>
      <w:r w:rsidR="003F0A15" w:rsidRPr="0031291F">
        <w:rPr>
          <w:rFonts w:hAnsi="標楷體" w:hint="eastAsia"/>
          <w:sz w:val="24"/>
        </w:rPr>
        <w:t>】係</w:t>
      </w:r>
      <w:r w:rsidR="003F0A15" w:rsidRPr="0031291F">
        <w:rPr>
          <w:rFonts w:hint="eastAsia"/>
          <w:sz w:val="24"/>
        </w:rPr>
        <w:t>員工已請領養老或老年給付，惟榮民公司尚未追回勞保補償金者；</w:t>
      </w:r>
      <w:r w:rsidR="003F0A15" w:rsidRPr="0031291F">
        <w:rPr>
          <w:rFonts w:hAnsi="標楷體" w:hint="eastAsia"/>
          <w:sz w:val="24"/>
        </w:rPr>
        <w:t>【</w:t>
      </w:r>
      <w:r w:rsidR="003F0A15" w:rsidRPr="0031291F">
        <w:rPr>
          <w:rFonts w:hint="eastAsia"/>
          <w:sz w:val="24"/>
        </w:rPr>
        <w:t>尚未請領者</w:t>
      </w:r>
      <w:r w:rsidR="003F0A15" w:rsidRPr="0031291F">
        <w:rPr>
          <w:rFonts w:hAnsi="標楷體" w:hint="eastAsia"/>
          <w:sz w:val="24"/>
        </w:rPr>
        <w:t>】</w:t>
      </w:r>
      <w:r w:rsidR="003F0A15" w:rsidRPr="0031291F">
        <w:rPr>
          <w:rFonts w:hint="eastAsia"/>
          <w:sz w:val="24"/>
        </w:rPr>
        <w:t>即為尚未請領養老或老年給付之員工。</w:t>
      </w:r>
    </w:p>
    <w:p w:rsidR="00AC5331" w:rsidRPr="0031291F" w:rsidRDefault="00AC5331" w:rsidP="00AC5331">
      <w:pPr>
        <w:spacing w:line="280" w:lineRule="exact"/>
        <w:ind w:leftChars="425" w:left="1479" w:rightChars="-12" w:right="-34" w:hangingChars="113" w:hanging="275"/>
        <w:rPr>
          <w:rFonts w:hint="eastAsia"/>
          <w:sz w:val="24"/>
        </w:rPr>
      </w:pPr>
      <w:r w:rsidRPr="0031291F">
        <w:rPr>
          <w:rFonts w:hint="eastAsia"/>
          <w:sz w:val="24"/>
        </w:rPr>
        <w:t>2.</w:t>
      </w:r>
      <w:r w:rsidRPr="0031291F">
        <w:rPr>
          <w:rFonts w:hAnsi="標楷體" w:hint="eastAsia"/>
          <w:sz w:val="24"/>
        </w:rPr>
        <w:t>【</w:t>
      </w:r>
      <w:r w:rsidRPr="0031291F">
        <w:rPr>
          <w:rFonts w:hint="eastAsia"/>
          <w:sz w:val="24"/>
        </w:rPr>
        <w:t>已請領未結案者</w:t>
      </w:r>
      <w:r w:rsidRPr="0031291F">
        <w:rPr>
          <w:rFonts w:hAnsi="標楷體" w:hint="eastAsia"/>
          <w:sz w:val="24"/>
        </w:rPr>
        <w:t>】</w:t>
      </w:r>
      <w:r w:rsidRPr="0031291F">
        <w:rPr>
          <w:rFonts w:hint="eastAsia"/>
          <w:sz w:val="24"/>
        </w:rPr>
        <w:t>包括取得執行名義文件者(201人</w:t>
      </w:r>
      <w:r w:rsidR="006F5FAA" w:rsidRPr="0031291F">
        <w:rPr>
          <w:rFonts w:hint="eastAsia"/>
          <w:sz w:val="24"/>
        </w:rPr>
        <w:t>)</w:t>
      </w:r>
      <w:r w:rsidRPr="0031291F">
        <w:rPr>
          <w:rFonts w:hAnsi="標楷體" w:hint="eastAsia"/>
          <w:sz w:val="24"/>
        </w:rPr>
        <w:t>。</w:t>
      </w:r>
    </w:p>
    <w:p w:rsidR="007E1699" w:rsidRPr="0031291F" w:rsidRDefault="00AC5331" w:rsidP="007E1699">
      <w:pPr>
        <w:spacing w:line="280" w:lineRule="exact"/>
        <w:ind w:leftChars="420" w:left="1189" w:firstLineChars="6" w:firstLine="15"/>
        <w:jc w:val="left"/>
        <w:rPr>
          <w:rFonts w:hint="eastAsia"/>
          <w:sz w:val="24"/>
        </w:rPr>
      </w:pPr>
      <w:r w:rsidRPr="0031291F">
        <w:rPr>
          <w:rFonts w:hint="eastAsia"/>
          <w:sz w:val="24"/>
        </w:rPr>
        <w:t>3</w:t>
      </w:r>
      <w:r w:rsidR="007E1699" w:rsidRPr="0031291F">
        <w:rPr>
          <w:rFonts w:hint="eastAsia"/>
          <w:sz w:val="24"/>
        </w:rPr>
        <w:t>.表內欄位括弧內數據係該欄位人數占整體人數之比率。</w:t>
      </w:r>
    </w:p>
    <w:bookmarkEnd w:id="10"/>
    <w:p w:rsidR="007E1699" w:rsidRPr="0031291F" w:rsidRDefault="007E1699" w:rsidP="007E1699">
      <w:pPr>
        <w:spacing w:line="280" w:lineRule="exact"/>
        <w:ind w:leftChars="0" w:left="0" w:firstLineChars="0" w:firstLine="0"/>
        <w:jc w:val="left"/>
        <w:rPr>
          <w:sz w:val="24"/>
        </w:rPr>
      </w:pPr>
      <w:r w:rsidRPr="0031291F">
        <w:rPr>
          <w:rFonts w:hint="eastAsia"/>
          <w:sz w:val="24"/>
        </w:rPr>
        <w:t>資料來源：輔導會提供，本中心彙製。</w:t>
      </w:r>
    </w:p>
    <w:bookmarkEnd w:id="9"/>
    <w:p w:rsidR="007E1699" w:rsidRPr="0031291F" w:rsidRDefault="007E1699" w:rsidP="007E1699">
      <w:pPr>
        <w:ind w:left="849" w:hangingChars="100" w:hanging="283"/>
        <w:rPr>
          <w:b/>
        </w:rPr>
      </w:pPr>
      <w:r w:rsidRPr="0031291F">
        <w:rPr>
          <w:b/>
        </w:rPr>
        <w:t>(</w:t>
      </w:r>
      <w:r w:rsidRPr="0031291F">
        <w:rPr>
          <w:rFonts w:hint="eastAsia"/>
          <w:b/>
        </w:rPr>
        <w:t>三</w:t>
      </w:r>
      <w:r w:rsidRPr="0031291F">
        <w:rPr>
          <w:b/>
        </w:rPr>
        <w:t>)</w:t>
      </w:r>
      <w:r w:rsidRPr="0031291F">
        <w:rPr>
          <w:rFonts w:hint="eastAsia"/>
          <w:b/>
        </w:rPr>
        <w:t>自114年度起承接榮民公司未完結業務</w:t>
      </w:r>
      <w:r w:rsidRPr="0031291F">
        <w:rPr>
          <w:rFonts w:hAnsi="標楷體" w:hint="eastAsia"/>
          <w:b/>
        </w:rPr>
        <w:t>，賡續僱用5名熟稔業務人員，宜持續強化追繳作業督導與執行，以保障國庫權益</w:t>
      </w:r>
    </w:p>
    <w:p w:rsidR="007E1699" w:rsidRPr="0031291F" w:rsidRDefault="007E1699" w:rsidP="007E1699">
      <w:pPr>
        <w:adjustRightInd w:val="0"/>
        <w:ind w:leftChars="300" w:left="850" w:firstLine="566"/>
        <w:rPr>
          <w:rFonts w:hint="eastAsia"/>
        </w:rPr>
      </w:pPr>
      <w:r w:rsidRPr="0031291F">
        <w:rPr>
          <w:rFonts w:hint="eastAsia"/>
        </w:rPr>
        <w:t>該會自114年度起承接榮民</w:t>
      </w:r>
      <w:r w:rsidR="00B002AE" w:rsidRPr="0031291F">
        <w:rPr>
          <w:rFonts w:hint="eastAsia"/>
        </w:rPr>
        <w:t>工程</w:t>
      </w:r>
      <w:r w:rsidRPr="0031291F">
        <w:rPr>
          <w:rFonts w:hint="eastAsia"/>
        </w:rPr>
        <w:t>公司未完結業務，內容涵蓋勞保補償金追繳、工程保固、爭訟案件及債權憑證管理等。考量業務專業性及歷史資料繁雜，115年度賡續僱用5名熟稔業務人員，以辦理清算收尾與追償作業。鑒於榮民公司勞保補償金追繳作業歷時逾</w:t>
      </w:r>
      <w:r w:rsidRPr="0031291F">
        <w:t> </w:t>
      </w:r>
      <w:r w:rsidRPr="0031291F">
        <w:rPr>
          <w:rFonts w:hint="eastAsia"/>
        </w:rPr>
        <w:t>10年，現階段仍有部分案件未結，顯示清算作業複雜且人力銜接不易。惟補償金屬公帑支出，涉及國庫權益維護，其追償作業允宜持續強化督導與執行，以保障國庫權益。</w:t>
      </w:r>
    </w:p>
    <w:p w:rsidR="007E1699" w:rsidRPr="0031291F" w:rsidRDefault="007E1699" w:rsidP="007E1699">
      <w:pPr>
        <w:adjustRightInd w:val="0"/>
        <w:ind w:leftChars="300" w:left="850" w:firstLine="566"/>
        <w:rPr>
          <w:rFonts w:hint="eastAsia"/>
        </w:rPr>
      </w:pPr>
      <w:r w:rsidRPr="0031291F">
        <w:rPr>
          <w:rFonts w:hint="eastAsia"/>
        </w:rPr>
        <w:t>詢據退輔會表示，針對應繳回勞保補償金之人員，每案均依規定通知、催繳，期間加強溝通協商，未依限繳納者，則採取必要法律途徑，包含寄發支付命令、提起訴訟、強制執行等方式辦理，以加強收回成效及維護公司權益。每月之收回金額均製作月報表按月呈核，並與會計帳務核對，同時受檢核業務之查核，並建立資訊系統管制考核，遇有重大問題，則向法律顧問請益，避免疏失</w:t>
      </w:r>
      <w:r w:rsidRPr="0031291F">
        <w:rPr>
          <w:rFonts w:hAnsi="標楷體" w:hint="eastAsia"/>
        </w:rPr>
        <w:t>。</w:t>
      </w:r>
    </w:p>
    <w:p w:rsidR="007E1699" w:rsidRPr="0031291F" w:rsidRDefault="007E1699" w:rsidP="007E1699">
      <w:pPr>
        <w:ind w:left="566" w:firstLine="566"/>
        <w:rPr>
          <w:rFonts w:hint="eastAsia"/>
        </w:rPr>
      </w:pPr>
      <w:r w:rsidRPr="0031291F">
        <w:rPr>
          <w:rFonts w:hint="eastAsia"/>
        </w:rPr>
        <w:t>綜上，退輔會自114年度起承接榮民工程股份有限公司未完結業務，賡續僱用5名熟稔業務人員</w:t>
      </w:r>
      <w:r w:rsidR="00B002AE" w:rsidRPr="0031291F">
        <w:rPr>
          <w:vertAlign w:val="superscript"/>
        </w:rPr>
        <w:footnoteReference w:id="5"/>
      </w:r>
      <w:r w:rsidRPr="0031291F">
        <w:rPr>
          <w:rFonts w:hAnsi="標楷體" w:hint="eastAsia"/>
        </w:rPr>
        <w:t>，</w:t>
      </w:r>
      <w:r w:rsidRPr="0031291F">
        <w:rPr>
          <w:rFonts w:hint="eastAsia"/>
        </w:rPr>
        <w:t>惟截至114年8月底止勞</w:t>
      </w:r>
      <w:r w:rsidRPr="0031291F">
        <w:rPr>
          <w:rFonts w:hint="eastAsia"/>
        </w:rPr>
        <w:lastRenderedPageBreak/>
        <w:t>保補償金應繳回對象尚未結案者占比仍逾一成，允宜加強追繳作業督導並落實執行，以保障國庫權益</w:t>
      </w:r>
      <w:r w:rsidRPr="0031291F">
        <w:rPr>
          <w:rFonts w:hAnsi="標楷體" w:hint="eastAsia"/>
        </w:rPr>
        <w:t>。</w:t>
      </w:r>
    </w:p>
    <w:bookmarkEnd w:id="3"/>
    <w:bookmarkEnd w:id="4"/>
    <w:bookmarkEnd w:id="5"/>
    <w:sectPr w:rsidR="007E1699"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713A3A" w:rsidRPr="00713A3A">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F8729C" w:rsidRDefault="00314101" w:rsidP="005B4F32">
      <w:pPr>
        <w:pStyle w:val="142"/>
        <w:ind w:left="124" w:hangingChars="51" w:hanging="124"/>
        <w:jc w:val="both"/>
      </w:pPr>
      <w:r>
        <w:rPr>
          <w:rStyle w:val="afc"/>
        </w:rPr>
        <w:footnoteRef/>
      </w:r>
      <w:r w:rsidRPr="00F8729C">
        <w:rPr>
          <w:rFonts w:hint="eastAsia"/>
        </w:rPr>
        <w:t>公營事業移轉民營條例第10條規定：「依本條例領取公保、勞保補償金之從業人員，如再參加各該保險並請領養老或老年給付時，承保機構應代扣原請領之補償金，不受勞工保險條例第29條不得讓與、抵銷、扣押或供擔保之限制。但請領之養老或老年給付較原請領之補償金額低時，僅代扣請領金額。承保機構依前項規定代扣之款項，應繳還原事業主管機關。」</w:t>
      </w:r>
    </w:p>
  </w:footnote>
  <w:footnote w:id="3">
    <w:p w:rsidR="00314101" w:rsidRPr="00F8729C" w:rsidRDefault="00314101" w:rsidP="005B4F32">
      <w:pPr>
        <w:pStyle w:val="142"/>
        <w:ind w:left="124" w:hangingChars="51" w:hanging="124"/>
        <w:jc w:val="both"/>
      </w:pPr>
      <w:r>
        <w:rPr>
          <w:rStyle w:val="afc"/>
        </w:rPr>
        <w:footnoteRef/>
      </w:r>
      <w:r w:rsidRPr="00F8729C">
        <w:rPr>
          <w:rFonts w:hint="eastAsia"/>
        </w:rPr>
        <w:t>國軍退除役官兵輔導委員會所屬事業機構移轉民營從業人員權益補償辦法第5條第3項規定：「前2項之補償金於事業移轉為民營型態後辦理退保時1次給付。但依法再參加各該保險領取養老或老年給付時，應將補償金繳回本基金；其所領養老或老年給付金額較原補償金低時，僅繳回與所領養老或老年給付同金額之補償金。」同條第5項規定：「補償金數額，應委由原承保機關核算並加註存檔，俟被保險人再參加各該保險領取養老或老年給付時，應由原承保機關通知本基金收回原補償金。」</w:t>
      </w:r>
    </w:p>
  </w:footnote>
  <w:footnote w:id="4">
    <w:p w:rsidR="00112530" w:rsidRPr="0042764D" w:rsidRDefault="00112530" w:rsidP="0042764D">
      <w:pPr>
        <w:pStyle w:val="19"/>
        <w:ind w:left="139" w:hangingChars="57" w:hanging="139"/>
        <w:jc w:val="both"/>
        <w:rPr>
          <w:rStyle w:val="143"/>
          <w:lang w:val="x-none"/>
        </w:rPr>
      </w:pPr>
      <w:r>
        <w:rPr>
          <w:rStyle w:val="afc"/>
        </w:rPr>
        <w:footnoteRef/>
      </w:r>
      <w:r w:rsidRPr="0042764D">
        <w:rPr>
          <w:rStyle w:val="143"/>
          <w:rFonts w:hint="eastAsia"/>
        </w:rPr>
        <w:t>據退輔會表示</w:t>
      </w:r>
      <w:r w:rsidRPr="0042764D">
        <w:rPr>
          <w:rStyle w:val="143"/>
          <w:rFonts w:hAnsi="標楷體" w:hint="eastAsia"/>
        </w:rPr>
        <w:t>，員工於專案裁減後若有參加勞(公)保險，依勞工保險條例於65歲領取養老或老年給付時，榮民工程公司才能追償專案裁減時提前所領取之補償金；如</w:t>
      </w:r>
      <w:r w:rsidRPr="0042764D">
        <w:rPr>
          <w:rStyle w:val="143"/>
          <w:rFonts w:hint="eastAsia"/>
        </w:rPr>
        <w:t>員工65歲以上且未請領養老或老年給付，榮民工程公司亦無法辦理勞保補償金追償作業；該公司會將未請領人員名冊送交勞工保險局註記，每年亦會去函戶政單位查調當事人存歿，同時向勞保局查調員工請領勞保老年給付情形，以利進一步掌握及追蹤。</w:t>
      </w:r>
    </w:p>
  </w:footnote>
  <w:footnote w:id="5">
    <w:p w:rsidR="00314101" w:rsidRPr="0042764D" w:rsidRDefault="00314101" w:rsidP="005B4F32">
      <w:pPr>
        <w:pStyle w:val="19"/>
        <w:ind w:left="124" w:hangingChars="51" w:hanging="124"/>
        <w:jc w:val="both"/>
        <w:rPr>
          <w:rStyle w:val="143"/>
        </w:rPr>
      </w:pPr>
      <w:r>
        <w:rPr>
          <w:rStyle w:val="afc"/>
        </w:rPr>
        <w:footnoteRef/>
      </w:r>
      <w:r w:rsidRPr="0042764D">
        <w:rPr>
          <w:rStyle w:val="143"/>
          <w:rFonts w:hint="eastAsia"/>
        </w:rPr>
        <w:t>據退輔會表示，該會經行政院同意承接榮民公司未完結業務，自114年度起承接勞保補償金收取、工程保固、爭訟案件及債權憑證管理及追償工作等業務，考量榮民公司業務特殊性、且涉及榮工處83年專案裁減時期迄今之資料查找、問題處理，工作案情繁雜，與該會現有工作內容有差異，且礙於法規或協議書規定，無法放棄及提前解除權益及義務，為加速清理工作，爰於115年度預算案賡續編列461萬1千元(含勞健保、勞退及年終獎金），用以僱用熟稔該項業務人員共計5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A3A"/>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080052D-64D5-42A3-AFDA-BF345243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0FAA2-EC0F-4B4D-83A8-6CB4C0E87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