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525473" w:rsidRPr="00525473" w:rsidRDefault="009027DB" w:rsidP="00525473">
      <w:pPr>
        <w:pStyle w:val="14"/>
        <w:ind w:left="567" w:hanging="567"/>
      </w:pPr>
      <w:bookmarkStart w:id="3" w:name="_Toc213140404"/>
      <w:r>
        <w:rPr>
          <w:rFonts w:hint="eastAsia"/>
          <w:color w:val="000000"/>
        </w:rPr>
        <w:t>三</w:t>
      </w:r>
      <w:r w:rsidR="00EF7C65" w:rsidRPr="00370275">
        <w:rPr>
          <w:rFonts w:hint="eastAsia"/>
          <w:color w:val="000000"/>
        </w:rPr>
        <w:t>、</w:t>
      </w:r>
      <w:r w:rsidR="00525473" w:rsidRPr="00525473">
        <w:rPr>
          <w:rFonts w:hint="eastAsia"/>
        </w:rPr>
        <w:t>文化黑潮計畫範疇跨文化部</w:t>
      </w:r>
      <w:r w:rsidR="000602A8">
        <w:rPr>
          <w:rFonts w:hint="eastAsia"/>
        </w:rPr>
        <w:t>諸</w:t>
      </w:r>
      <w:r w:rsidR="00525473" w:rsidRPr="00525473">
        <w:rPr>
          <w:rFonts w:hint="eastAsia"/>
        </w:rPr>
        <w:t>多司、</w:t>
      </w:r>
      <w:r w:rsidR="000602A8">
        <w:rPr>
          <w:rFonts w:hint="eastAsia"/>
        </w:rPr>
        <w:t>局</w:t>
      </w:r>
      <w:r w:rsidR="00F5160E">
        <w:rPr>
          <w:rFonts w:hint="eastAsia"/>
        </w:rPr>
        <w:t>，計畫預算差異大，且</w:t>
      </w:r>
      <w:r w:rsidR="00525473" w:rsidRPr="00525473">
        <w:rPr>
          <w:rFonts w:hint="eastAsia"/>
        </w:rPr>
        <w:t>與既有計畫有</w:t>
      </w:r>
      <w:r w:rsidR="005D4394">
        <w:rPr>
          <w:rFonts w:hint="eastAsia"/>
        </w:rPr>
        <w:t>所</w:t>
      </w:r>
      <w:r w:rsidR="00525473" w:rsidRPr="00525473">
        <w:rPr>
          <w:rFonts w:hint="eastAsia"/>
        </w:rPr>
        <w:t>相關，允宜優化資源配置並整合相關計畫，俾提升綜效</w:t>
      </w:r>
      <w:bookmarkEnd w:id="3"/>
    </w:p>
    <w:p w:rsidR="00525473" w:rsidRPr="00525473" w:rsidRDefault="00525473" w:rsidP="00525473">
      <w:pPr>
        <w:ind w:left="567" w:firstLine="567"/>
        <w:rPr>
          <w:rFonts w:hAnsi="標楷體"/>
        </w:rPr>
      </w:pPr>
      <w:r w:rsidRPr="00525473">
        <w:rPr>
          <w:rFonts w:hAnsi="標楷體" w:hint="eastAsia"/>
        </w:rPr>
        <w:t>文化部</w:t>
      </w:r>
      <w:r w:rsidR="00DB560C">
        <w:rPr>
          <w:rFonts w:hAnsi="標楷體" w:hint="eastAsia"/>
        </w:rPr>
        <w:t>115年度預算案</w:t>
      </w:r>
      <w:r w:rsidRPr="00525473">
        <w:rPr>
          <w:rFonts w:hAnsi="標楷體"/>
        </w:rPr>
        <w:t>「匯聚臺流文化黑潮1 plus 4—T-content plan 2023暨2024～2027臺流文化內容躍升計畫」</w:t>
      </w:r>
      <w:r w:rsidRPr="00525473">
        <w:rPr>
          <w:rFonts w:hAnsi="標楷體" w:hint="eastAsia"/>
        </w:rPr>
        <w:t>(以下簡稱「文化黑潮計畫」)</w:t>
      </w:r>
      <w:r w:rsidR="00DB560C">
        <w:rPr>
          <w:rFonts w:hAnsi="標楷體" w:hint="eastAsia"/>
        </w:rPr>
        <w:t>編列</w:t>
      </w:r>
      <w:r w:rsidR="00DB560C" w:rsidRPr="00525473">
        <w:rPr>
          <w:rFonts w:hAnsi="標楷體"/>
        </w:rPr>
        <w:t>27</w:t>
      </w:r>
      <w:r w:rsidR="00DB560C" w:rsidRPr="00525473">
        <w:rPr>
          <w:rFonts w:hAnsi="標楷體" w:hint="eastAsia"/>
        </w:rPr>
        <w:t>億2,</w:t>
      </w:r>
      <w:r w:rsidR="00DB560C" w:rsidRPr="00525473">
        <w:rPr>
          <w:rFonts w:hAnsi="標楷體"/>
        </w:rPr>
        <w:t>062</w:t>
      </w:r>
      <w:r w:rsidR="00DB560C" w:rsidRPr="00525473">
        <w:rPr>
          <w:rFonts w:hAnsi="標楷體" w:hint="eastAsia"/>
        </w:rPr>
        <w:t>萬4千元</w:t>
      </w:r>
      <w:r w:rsidR="001C1E63">
        <w:rPr>
          <w:rFonts w:hAnsi="標楷體" w:hint="eastAsia"/>
        </w:rPr>
        <w:t>(</w:t>
      </w:r>
      <w:r w:rsidR="000602A8">
        <w:rPr>
          <w:rFonts w:hAnsi="標楷體" w:hint="eastAsia"/>
        </w:rPr>
        <w:t>另於一般性補助款編有</w:t>
      </w:r>
      <w:r w:rsidR="00B004ED">
        <w:rPr>
          <w:rFonts w:hAnsi="標楷體" w:hint="eastAsia"/>
        </w:rPr>
        <w:t>支持臺</w:t>
      </w:r>
      <w:r w:rsidR="001C1E63">
        <w:rPr>
          <w:rFonts w:hAnsi="標楷體" w:hint="eastAsia"/>
        </w:rPr>
        <w:t>灣文化內容再開發</w:t>
      </w:r>
      <w:r w:rsidR="000602A8">
        <w:rPr>
          <w:rFonts w:hAnsi="標楷體" w:hint="eastAsia"/>
        </w:rPr>
        <w:t>375萬7千元</w:t>
      </w:r>
      <w:r w:rsidR="001C1E63">
        <w:rPr>
          <w:rFonts w:hAnsi="標楷體" w:hint="eastAsia"/>
        </w:rPr>
        <w:t>及保護出版文化內容原創力分支計畫</w:t>
      </w:r>
      <w:r w:rsidR="000602A8">
        <w:rPr>
          <w:rFonts w:hAnsi="標楷體" w:hint="eastAsia"/>
        </w:rPr>
        <w:t>1</w:t>
      </w:r>
      <w:r w:rsidR="000602A8">
        <w:rPr>
          <w:rFonts w:hAnsi="標楷體"/>
        </w:rPr>
        <w:t>,</w:t>
      </w:r>
      <w:r w:rsidR="000602A8">
        <w:rPr>
          <w:rFonts w:hAnsi="標楷體" w:hint="eastAsia"/>
        </w:rPr>
        <w:t>926萬6千元，合計2</w:t>
      </w:r>
      <w:r w:rsidR="000602A8">
        <w:rPr>
          <w:rFonts w:hAnsi="標楷體"/>
        </w:rPr>
        <w:t>,</w:t>
      </w:r>
      <w:r w:rsidR="000602A8">
        <w:rPr>
          <w:rFonts w:hAnsi="標楷體" w:hint="eastAsia"/>
        </w:rPr>
        <w:t>302萬3千元</w:t>
      </w:r>
      <w:r w:rsidR="001C1E63">
        <w:rPr>
          <w:rFonts w:hAnsi="標楷體" w:hint="eastAsia"/>
        </w:rPr>
        <w:t>)。</w:t>
      </w:r>
      <w:r w:rsidRPr="00525473">
        <w:rPr>
          <w:rFonts w:hAnsi="標楷體" w:hint="eastAsia"/>
        </w:rPr>
        <w:t>計畫期程113至116年度，計畫總經費100億元，旨在推動臺灣文化內容振興及發展，促進國家軟實力蛻變轉型。</w:t>
      </w:r>
      <w:r w:rsidR="001C1E63" w:rsidRPr="007A79EF">
        <w:rPr>
          <w:rFonts w:hAnsi="標楷體" w:hint="eastAsia"/>
        </w:rPr>
        <w:t>經查:</w:t>
      </w:r>
    </w:p>
    <w:p w:rsidR="00525473" w:rsidRPr="00525473" w:rsidRDefault="00525473" w:rsidP="00525473">
      <w:pPr>
        <w:ind w:left="851" w:hangingChars="100" w:hanging="284"/>
        <w:rPr>
          <w:rFonts w:hAnsi="標楷體"/>
          <w:b/>
        </w:rPr>
      </w:pPr>
      <w:r w:rsidRPr="00525473">
        <w:rPr>
          <w:rFonts w:hAnsi="標楷體" w:hint="eastAsia"/>
          <w:b/>
        </w:rPr>
        <w:t>(一)文化黑潮計畫屬文化部重要計畫，列有6項政策主軸，編列經費跨</w:t>
      </w:r>
      <w:r w:rsidR="000602A8">
        <w:rPr>
          <w:rFonts w:hAnsi="標楷體" w:hint="eastAsia"/>
          <w:b/>
        </w:rPr>
        <w:t>諸</w:t>
      </w:r>
      <w:r w:rsidRPr="00525473">
        <w:rPr>
          <w:rFonts w:hAnsi="標楷體" w:hint="eastAsia"/>
          <w:b/>
        </w:rPr>
        <w:t>多司、</w:t>
      </w:r>
      <w:r w:rsidR="000602A8">
        <w:rPr>
          <w:rFonts w:hAnsi="標楷體" w:hint="eastAsia"/>
          <w:b/>
        </w:rPr>
        <w:t>局</w:t>
      </w:r>
      <w:r w:rsidRPr="00525473">
        <w:rPr>
          <w:rFonts w:hAnsi="標楷體" w:hint="eastAsia"/>
          <w:b/>
        </w:rPr>
        <w:t>及所屬業務，各政策主軸預算差距甚大，允宜優化資源配置</w:t>
      </w:r>
    </w:p>
    <w:p w:rsidR="00525473" w:rsidRPr="00525473" w:rsidRDefault="00525473" w:rsidP="00525473">
      <w:pPr>
        <w:adjustRightInd w:val="0"/>
        <w:ind w:leftChars="300" w:left="850" w:firstLine="567"/>
        <w:rPr>
          <w:rFonts w:hAnsi="標楷體"/>
        </w:rPr>
      </w:pPr>
      <w:r w:rsidRPr="00525473">
        <w:rPr>
          <w:rFonts w:hAnsi="標楷體" w:hint="eastAsia"/>
        </w:rPr>
        <w:t>文化部115年度辦理文化黑潮計畫，分列影視音文化內容形成國際臺流、以文化內容為外交軟實力推動計畫、藝術文化內容主流化、保護出版文化內容原創力、創意文化內容產業生態鏈，以及科技文化內容應用突破等6項政策主軸，預算案數27億2</w:t>
      </w:r>
      <w:r w:rsidRPr="00525473">
        <w:rPr>
          <w:rFonts w:hAnsi="標楷體"/>
        </w:rPr>
        <w:t>,</w:t>
      </w:r>
      <w:r w:rsidRPr="00525473">
        <w:rPr>
          <w:rFonts w:hAnsi="標楷體" w:hint="eastAsia"/>
        </w:rPr>
        <w:t>062萬4千元(詳表1)</w:t>
      </w:r>
      <w:r w:rsidR="000602A8">
        <w:rPr>
          <w:rFonts w:hAnsi="標楷體" w:hint="eastAsia"/>
        </w:rPr>
        <w:t>，</w:t>
      </w:r>
      <w:r w:rsidR="00A07DD9">
        <w:rPr>
          <w:rFonts w:hAnsi="標楷體" w:hint="eastAsia"/>
        </w:rPr>
        <w:t>另於一般性補助款編有2</w:t>
      </w:r>
      <w:r w:rsidR="00A07DD9">
        <w:rPr>
          <w:rFonts w:hAnsi="標楷體"/>
        </w:rPr>
        <w:t>,</w:t>
      </w:r>
      <w:r w:rsidR="00A07DD9">
        <w:rPr>
          <w:rFonts w:hAnsi="標楷體" w:hint="eastAsia"/>
        </w:rPr>
        <w:t>302萬3千元</w:t>
      </w:r>
      <w:r w:rsidRPr="00525473">
        <w:rPr>
          <w:rFonts w:hAnsi="標楷體" w:hint="eastAsia"/>
        </w:rPr>
        <w:t>，主辦機關包含文化部相關司、影視及流行音樂產業局與國立傳統藝術中心等。若以各政策主軸預算配置情形觀</w:t>
      </w:r>
      <w:r w:rsidRPr="00525473">
        <w:rPr>
          <w:rFonts w:hAnsi="標楷體" w:hint="eastAsia"/>
        </w:rPr>
        <w:lastRenderedPageBreak/>
        <w:t>之，115年度影視音文化內容形成國際臺流預算案數16億1</w:t>
      </w:r>
      <w:r w:rsidRPr="00525473">
        <w:rPr>
          <w:rFonts w:hAnsi="標楷體"/>
        </w:rPr>
        <w:t>,</w:t>
      </w:r>
      <w:r w:rsidRPr="00525473">
        <w:rPr>
          <w:rFonts w:hAnsi="標楷體" w:hint="eastAsia"/>
        </w:rPr>
        <w:t>263萬7千元，占年度預算案數59.27%，其餘政策主軸占比分別為以文化內容為外交軟實力之5.36%、藝術文化內容主流化之9.83%、保護出版文化內容原創力之10.10%、創意文化內容產業生態鏈之</w:t>
      </w:r>
      <w:r w:rsidR="00F5160E">
        <w:rPr>
          <w:rFonts w:hAnsi="標楷體" w:hint="eastAsia"/>
        </w:rPr>
        <w:t>8.15</w:t>
      </w:r>
      <w:r w:rsidRPr="00525473">
        <w:rPr>
          <w:rFonts w:hAnsi="標楷體" w:hint="eastAsia"/>
        </w:rPr>
        <w:t xml:space="preserve">%、科技文化內容應用突破之 </w:t>
      </w:r>
      <w:r w:rsidR="00F5160E">
        <w:rPr>
          <w:rFonts w:hAnsi="標楷體" w:hint="eastAsia"/>
        </w:rPr>
        <w:t>7.29</w:t>
      </w:r>
      <w:r w:rsidRPr="00525473">
        <w:rPr>
          <w:rFonts w:hAnsi="標楷體" w:hint="eastAsia"/>
        </w:rPr>
        <w:t>%，顯示各政策主軸預算資源配置落差頗大，且仍以影視音文化內容形成國際臺流為主。</w:t>
      </w:r>
    </w:p>
    <w:p w:rsidR="00525473" w:rsidRPr="00525473" w:rsidRDefault="00525473" w:rsidP="00525473">
      <w:pPr>
        <w:adjustRightInd w:val="0"/>
        <w:ind w:leftChars="300" w:left="850" w:firstLine="567"/>
        <w:rPr>
          <w:rFonts w:hAnsi="標楷體"/>
        </w:rPr>
      </w:pPr>
      <w:r w:rsidRPr="00525473">
        <w:rPr>
          <w:rFonts w:hAnsi="標楷體" w:hint="eastAsia"/>
        </w:rPr>
        <w:t>此外，若以分支計畫別觀之，115年度預算案數超過2億元者，計有投資未來兒少影音內容倍增計畫6億元、國際臺劇內容升級計畫4億6</w:t>
      </w:r>
      <w:r w:rsidRPr="00525473">
        <w:rPr>
          <w:rFonts w:hAnsi="標楷體"/>
        </w:rPr>
        <w:t>,</w:t>
      </w:r>
      <w:r w:rsidRPr="00525473">
        <w:rPr>
          <w:rFonts w:hAnsi="標楷體" w:hint="eastAsia"/>
        </w:rPr>
        <w:t>300萬元、提升故事力關鍵人才培育與電影內容升級3億2,782萬元、建構產銷均衡的文創產業生態系2億2,167萬元等4項計畫，介於1至2億元之計畫有5項，其餘計畫皆介於4</w:t>
      </w:r>
      <w:r w:rsidRPr="00525473">
        <w:rPr>
          <w:rFonts w:hAnsi="標楷體"/>
        </w:rPr>
        <w:t>,</w:t>
      </w:r>
      <w:r w:rsidRPr="00525473">
        <w:rPr>
          <w:rFonts w:hAnsi="標楷體" w:hint="eastAsia"/>
        </w:rPr>
        <w:t>800至8</w:t>
      </w:r>
      <w:r w:rsidRPr="00525473">
        <w:rPr>
          <w:rFonts w:hAnsi="標楷體"/>
        </w:rPr>
        <w:t>,000</w:t>
      </w:r>
      <w:r w:rsidRPr="00525473">
        <w:rPr>
          <w:rFonts w:hAnsi="標楷體" w:hint="eastAsia"/>
        </w:rPr>
        <w:t>萬元間者有7項，單項計畫金額高低差距</w:t>
      </w:r>
      <w:r w:rsidR="005D4394">
        <w:rPr>
          <w:rFonts w:hAnsi="標楷體" w:hint="eastAsia"/>
        </w:rPr>
        <w:t>近</w:t>
      </w:r>
      <w:r w:rsidRPr="00525473">
        <w:rPr>
          <w:rFonts w:hAnsi="標楷體" w:hint="eastAsia"/>
        </w:rPr>
        <w:t>10倍，爰在執行推動時，除強化計畫執行進度與品質之控管外，允宜檢視計畫整體目標，檢討非核心、必要性之分支計畫，優化資源配置。</w:t>
      </w:r>
    </w:p>
    <w:p w:rsidR="00525473" w:rsidRPr="00525473" w:rsidRDefault="00525473" w:rsidP="00525473">
      <w:pPr>
        <w:spacing w:beforeLines="30" w:before="154" w:line="360" w:lineRule="exact"/>
        <w:ind w:leftChars="-165" w:left="786" w:rightChars="-223" w:right="-632" w:hangingChars="442" w:hanging="1254"/>
        <w:jc w:val="left"/>
        <w:rPr>
          <w:rFonts w:hAnsi="標楷體"/>
          <w:sz w:val="24"/>
          <w:szCs w:val="24"/>
        </w:rPr>
      </w:pPr>
      <w:r w:rsidRPr="00525473">
        <w:rPr>
          <w:rFonts w:hAnsi="標楷體" w:hint="eastAsia"/>
          <w:b/>
        </w:rPr>
        <w:t xml:space="preserve">表1 113至115年度文化黑潮計畫預算編列及執行情形表 </w:t>
      </w:r>
      <w:r w:rsidRPr="00525473">
        <w:rPr>
          <w:rFonts w:hAnsi="標楷體"/>
          <w:b/>
        </w:rPr>
        <w:t xml:space="preserve"> </w:t>
      </w:r>
      <w:r w:rsidRPr="00525473">
        <w:rPr>
          <w:rFonts w:hAnsi="標楷體" w:hint="eastAsia"/>
          <w:sz w:val="24"/>
          <w:szCs w:val="24"/>
        </w:rPr>
        <w:t>單位：新臺幣千元</w:t>
      </w:r>
      <w:r w:rsidRPr="00525473">
        <w:rPr>
          <w:rFonts w:hAnsi="標楷體" w:hint="eastAsia"/>
          <w:b/>
        </w:rPr>
        <w:t xml:space="preserve">  </w:t>
      </w:r>
    </w:p>
    <w:tbl>
      <w:tblPr>
        <w:tblW w:w="921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2340"/>
        <w:gridCol w:w="1722"/>
        <w:gridCol w:w="1296"/>
        <w:gridCol w:w="1296"/>
        <w:gridCol w:w="1300"/>
      </w:tblGrid>
      <w:tr w:rsidR="00525473" w:rsidRPr="00525473" w:rsidTr="0022320D">
        <w:trPr>
          <w:tblHeader/>
        </w:trPr>
        <w:tc>
          <w:tcPr>
            <w:tcW w:w="1257" w:type="dxa"/>
            <w:tcBorders>
              <w:top w:val="single" w:sz="12" w:space="0" w:color="auto"/>
              <w:left w:val="single" w:sz="12"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26" w:rightChars="-42" w:right="-119" w:hangingChars="93" w:hanging="226"/>
              <w:jc w:val="left"/>
              <w:rPr>
                <w:rFonts w:hAnsi="標楷體"/>
                <w:sz w:val="24"/>
              </w:rPr>
            </w:pPr>
            <w:r w:rsidRPr="00525473">
              <w:rPr>
                <w:rFonts w:hAnsi="標楷體" w:hint="eastAsia"/>
                <w:sz w:val="24"/>
              </w:rPr>
              <w:t>政策主軸</w:t>
            </w:r>
          </w:p>
        </w:tc>
        <w:tc>
          <w:tcPr>
            <w:tcW w:w="2340" w:type="dxa"/>
            <w:tcBorders>
              <w:top w:val="single" w:sz="12"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0" w:right="-85" w:hangingChars="107" w:hanging="261"/>
              <w:jc w:val="center"/>
              <w:rPr>
                <w:rFonts w:hAnsi="標楷體"/>
                <w:sz w:val="24"/>
              </w:rPr>
            </w:pPr>
            <w:r w:rsidRPr="00525473">
              <w:rPr>
                <w:rFonts w:hAnsi="標楷體" w:hint="eastAsia"/>
                <w:sz w:val="24"/>
              </w:rPr>
              <w:t>工作項目(分支計畫)</w:t>
            </w:r>
          </w:p>
        </w:tc>
        <w:tc>
          <w:tcPr>
            <w:tcW w:w="1722" w:type="dxa"/>
            <w:tcBorders>
              <w:top w:val="single" w:sz="12"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 w:rightChars="-38" w:right="-108" w:firstLineChars="0" w:firstLine="0"/>
              <w:jc w:val="center"/>
              <w:rPr>
                <w:rFonts w:hAnsi="標楷體"/>
                <w:sz w:val="24"/>
              </w:rPr>
            </w:pPr>
            <w:r w:rsidRPr="00525473">
              <w:rPr>
                <w:rFonts w:hAnsi="標楷體" w:hint="eastAsia"/>
                <w:sz w:val="24"/>
              </w:rPr>
              <w:t>文化部及所屬主辦機關</w:t>
            </w:r>
          </w:p>
        </w:tc>
        <w:tc>
          <w:tcPr>
            <w:tcW w:w="1296" w:type="dxa"/>
            <w:tcBorders>
              <w:top w:val="single" w:sz="12"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 w:rightChars="-38" w:right="-108" w:firstLineChars="0" w:firstLine="0"/>
              <w:jc w:val="center"/>
              <w:rPr>
                <w:rFonts w:hAnsi="標楷體"/>
                <w:sz w:val="24"/>
              </w:rPr>
            </w:pPr>
            <w:r w:rsidRPr="00525473">
              <w:rPr>
                <w:rFonts w:hAnsi="標楷體" w:hint="eastAsia"/>
                <w:sz w:val="24"/>
              </w:rPr>
              <w:t>113年度決算</w:t>
            </w:r>
          </w:p>
        </w:tc>
        <w:tc>
          <w:tcPr>
            <w:tcW w:w="1296" w:type="dxa"/>
            <w:tcBorders>
              <w:top w:val="single" w:sz="12"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5" w:left="18" w:rightChars="-26" w:right="-74" w:hangingChars="13" w:hanging="32"/>
              <w:jc w:val="center"/>
              <w:rPr>
                <w:rFonts w:hAnsi="標楷體"/>
                <w:sz w:val="24"/>
              </w:rPr>
            </w:pPr>
            <w:r w:rsidRPr="00525473">
              <w:rPr>
                <w:rFonts w:hAnsi="標楷體" w:hint="eastAsia"/>
                <w:sz w:val="24"/>
              </w:rPr>
              <w:t>114年度預算</w:t>
            </w:r>
          </w:p>
        </w:tc>
        <w:tc>
          <w:tcPr>
            <w:tcW w:w="1300" w:type="dxa"/>
            <w:tcBorders>
              <w:top w:val="single" w:sz="12"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5" w:left="18" w:rightChars="-26" w:right="-74" w:hangingChars="13" w:hanging="32"/>
              <w:jc w:val="center"/>
              <w:rPr>
                <w:rFonts w:hAnsi="標楷體"/>
                <w:sz w:val="24"/>
              </w:rPr>
            </w:pPr>
            <w:r w:rsidRPr="00525473">
              <w:rPr>
                <w:rFonts w:hAnsi="標楷體" w:hint="eastAsia"/>
                <w:sz w:val="24"/>
              </w:rPr>
              <w:t>115年度預算案</w:t>
            </w:r>
          </w:p>
        </w:tc>
      </w:tr>
      <w:tr w:rsidR="00525473" w:rsidRPr="00525473" w:rsidTr="0022320D">
        <w:tc>
          <w:tcPr>
            <w:tcW w:w="1257" w:type="dxa"/>
            <w:vMerge w:val="restart"/>
            <w:tcBorders>
              <w:top w:val="single" w:sz="6" w:space="0" w:color="auto"/>
              <w:left w:val="single" w:sz="12" w:space="0" w:color="auto"/>
            </w:tcBorders>
            <w:shd w:val="clear" w:color="auto" w:fill="auto"/>
            <w:vAlign w:val="center"/>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t>1</w:t>
            </w:r>
            <w:r w:rsidRPr="00525473">
              <w:rPr>
                <w:rFonts w:hAnsi="標楷體"/>
                <w:sz w:val="24"/>
              </w:rPr>
              <w:t>.</w:t>
            </w:r>
            <w:r w:rsidRPr="00525473">
              <w:rPr>
                <w:rFonts w:hAnsi="標楷體" w:hint="eastAsia"/>
                <w:sz w:val="24"/>
              </w:rPr>
              <w:t>影視音文化內容形成國際臺流</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提升故事力關鍵人才培育、電影內容升級</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42" w:right="-119" w:firstLineChars="0" w:firstLine="0"/>
              <w:jc w:val="left"/>
              <w:rPr>
                <w:rFonts w:hAnsi="標楷體"/>
                <w:sz w:val="24"/>
              </w:rPr>
            </w:pPr>
            <w:r w:rsidRPr="00525473">
              <w:rPr>
                <w:rFonts w:hAnsi="標楷體" w:hint="eastAsia"/>
                <w:sz w:val="24"/>
              </w:rPr>
              <w:t>文化部影視及流行音樂產業局</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274,770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327,820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327,</w:t>
            </w:r>
            <w:r w:rsidRPr="00525473">
              <w:rPr>
                <w:rFonts w:hAnsi="標楷體"/>
                <w:sz w:val="24"/>
              </w:rPr>
              <w:t>820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國際臺劇內容升級計畫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42" w:right="-119" w:firstLineChars="0" w:firstLine="0"/>
              <w:jc w:val="left"/>
              <w:rPr>
                <w:rFonts w:hAnsi="標楷體"/>
                <w:sz w:val="24"/>
              </w:rPr>
            </w:pPr>
            <w:r w:rsidRPr="00525473">
              <w:rPr>
                <w:rFonts w:hAnsi="標楷體"/>
                <w:sz w:val="24"/>
              </w:rPr>
              <w:t>文化部影視及流行音樂產業局</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478,225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430,000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4</w:t>
            </w:r>
            <w:r w:rsidRPr="00525473">
              <w:rPr>
                <w:rFonts w:hAnsi="標楷體"/>
                <w:sz w:val="24"/>
              </w:rPr>
              <w:t>63,000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流行音樂內容產業升級暨國際拓展計畫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42" w:right="-119" w:firstLineChars="0" w:firstLine="0"/>
              <w:jc w:val="left"/>
              <w:rPr>
                <w:rFonts w:hAnsi="標楷體"/>
                <w:sz w:val="24"/>
              </w:rPr>
            </w:pPr>
            <w:r w:rsidRPr="00525473">
              <w:rPr>
                <w:rFonts w:hAnsi="標楷體"/>
                <w:sz w:val="24"/>
              </w:rPr>
              <w:t>文化部影視及流行音樂產業局</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165,627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174,817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41,817</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投資未來兒少影音內容倍增計畫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影視及流行音樂發展司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600,000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588,500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6</w:t>
            </w:r>
            <w:r w:rsidRPr="00525473">
              <w:rPr>
                <w:rFonts w:hAnsi="標楷體"/>
                <w:sz w:val="24"/>
              </w:rPr>
              <w:t>00,000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臺灣流行音樂史料蒐集及主題推廣</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sz w:val="24"/>
              </w:rPr>
              <w:t>影視及流行音樂發展司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99,241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98,000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8</w:t>
            </w:r>
            <w:r w:rsidRPr="00525473">
              <w:rPr>
                <w:rFonts w:hAnsi="標楷體"/>
                <w:sz w:val="24"/>
              </w:rPr>
              <w:t>0,000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shd w:val="clear" w:color="auto" w:fill="auto"/>
          </w:tcPr>
          <w:p w:rsidR="00525473" w:rsidRPr="00525473" w:rsidRDefault="00525473" w:rsidP="00025EB5">
            <w:pPr>
              <w:spacing w:line="280" w:lineRule="exact"/>
              <w:ind w:leftChars="0" w:left="0" w:rightChars="-20" w:right="-57" w:firstLineChars="0" w:firstLine="0"/>
              <w:jc w:val="center"/>
              <w:rPr>
                <w:rFonts w:hAnsi="標楷體"/>
                <w:sz w:val="24"/>
              </w:rPr>
            </w:pPr>
            <w:r w:rsidRPr="00525473">
              <w:rPr>
                <w:rFonts w:hAnsi="標楷體" w:hint="eastAsia"/>
                <w:sz w:val="24"/>
              </w:rPr>
              <w:t>小計</w:t>
            </w:r>
          </w:p>
        </w:tc>
        <w:tc>
          <w:tcPr>
            <w:tcW w:w="1722" w:type="dxa"/>
            <w:shd w:val="clear" w:color="auto" w:fill="auto"/>
          </w:tcPr>
          <w:p w:rsidR="00525473" w:rsidRPr="00525473" w:rsidRDefault="00525473" w:rsidP="00525473">
            <w:pPr>
              <w:spacing w:line="280" w:lineRule="exact"/>
              <w:ind w:leftChars="-26" w:left="-74" w:rightChars="-20" w:right="-57" w:firstLineChars="0" w:firstLine="0"/>
              <w:jc w:val="right"/>
              <w:rPr>
                <w:rFonts w:hAnsi="標楷體"/>
                <w:sz w:val="24"/>
              </w:rPr>
            </w:pPr>
            <w:r w:rsidRPr="00525473">
              <w:rPr>
                <w:rFonts w:hAnsi="標楷體" w:hint="eastAsia"/>
                <w:sz w:val="24"/>
              </w:rPr>
              <w:t>-</w:t>
            </w:r>
          </w:p>
        </w:tc>
        <w:tc>
          <w:tcPr>
            <w:tcW w:w="1296" w:type="dxa"/>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,617,863</w:t>
            </w:r>
          </w:p>
        </w:tc>
        <w:tc>
          <w:tcPr>
            <w:tcW w:w="1296" w:type="dxa"/>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,619,137</w:t>
            </w:r>
          </w:p>
        </w:tc>
        <w:tc>
          <w:tcPr>
            <w:tcW w:w="1300" w:type="dxa"/>
            <w:tcBorders>
              <w:top w:val="single" w:sz="6" w:space="0" w:color="auto"/>
              <w:bottom w:val="single" w:sz="6" w:space="0" w:color="auto"/>
              <w:right w:val="single" w:sz="12" w:space="0" w:color="auto"/>
            </w:tcBorders>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,612,637</w:t>
            </w:r>
          </w:p>
        </w:tc>
      </w:tr>
      <w:tr w:rsidR="00525473" w:rsidRPr="00525473" w:rsidTr="0022320D">
        <w:tc>
          <w:tcPr>
            <w:tcW w:w="1257" w:type="dxa"/>
            <w:tcBorders>
              <w:left w:val="single" w:sz="12" w:space="0" w:color="auto"/>
            </w:tcBorders>
            <w:shd w:val="clear" w:color="auto" w:fill="auto"/>
            <w:vAlign w:val="center"/>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t>2</w:t>
            </w:r>
            <w:r w:rsidRPr="00525473">
              <w:rPr>
                <w:rFonts w:hAnsi="標楷體"/>
                <w:sz w:val="24"/>
              </w:rPr>
              <w:t>.</w:t>
            </w:r>
            <w:r w:rsidRPr="00525473">
              <w:rPr>
                <w:rFonts w:hAnsi="標楷體" w:hint="eastAsia"/>
                <w:sz w:val="24"/>
              </w:rPr>
              <w:t>以文化內容為外交軟實力推動計畫</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以文化內容為外交軟實力推動計畫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文化交流司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173,349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157,610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45,737</w:t>
            </w:r>
          </w:p>
        </w:tc>
      </w:tr>
      <w:tr w:rsidR="00525473" w:rsidRPr="00525473" w:rsidTr="0022320D">
        <w:tc>
          <w:tcPr>
            <w:tcW w:w="1257" w:type="dxa"/>
            <w:vMerge w:val="restart"/>
            <w:tcBorders>
              <w:left w:val="single" w:sz="12" w:space="0" w:color="auto"/>
            </w:tcBorders>
            <w:shd w:val="clear" w:color="auto" w:fill="auto"/>
            <w:vAlign w:val="center"/>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lastRenderedPageBreak/>
              <w:t>3</w:t>
            </w:r>
            <w:r w:rsidRPr="00525473">
              <w:rPr>
                <w:rFonts w:hAnsi="標楷體"/>
                <w:sz w:val="24"/>
              </w:rPr>
              <w:t>.</w:t>
            </w:r>
            <w:r w:rsidRPr="00525473">
              <w:rPr>
                <w:rFonts w:hAnsi="標楷體" w:hint="eastAsia"/>
                <w:sz w:val="24"/>
              </w:rPr>
              <w:t>藝術文化內容主流化</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傳統戲曲文化內容躍升計畫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國立傳統藝術中心</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50,000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49,574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4</w:t>
            </w:r>
            <w:r w:rsidRPr="00525473">
              <w:rPr>
                <w:rFonts w:hAnsi="標楷體"/>
                <w:sz w:val="24"/>
              </w:rPr>
              <w:t>9,574</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視覺藝術能量提升暨品牌開展計畫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藝術發展司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148,586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129,259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00F5160E">
              <w:rPr>
                <w:rFonts w:hAnsi="標楷體" w:hint="eastAsia"/>
                <w:sz w:val="24"/>
              </w:rPr>
              <w:t>04</w:t>
            </w:r>
            <w:r w:rsidRPr="00525473">
              <w:rPr>
                <w:rFonts w:hAnsi="標楷體"/>
                <w:sz w:val="24"/>
              </w:rPr>
              <w:t>,200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支持臺灣文化內容再開發</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文化資源司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170,417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166,986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13,760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shd w:val="clear" w:color="auto" w:fill="auto"/>
          </w:tcPr>
          <w:p w:rsidR="00525473" w:rsidRPr="00525473" w:rsidRDefault="00525473" w:rsidP="00025EB5">
            <w:pPr>
              <w:spacing w:line="280" w:lineRule="exact"/>
              <w:ind w:leftChars="0" w:left="0" w:rightChars="-20" w:right="-57" w:firstLineChars="0" w:firstLine="0"/>
              <w:jc w:val="center"/>
              <w:rPr>
                <w:rFonts w:hAnsi="標楷體"/>
                <w:sz w:val="24"/>
              </w:rPr>
            </w:pPr>
            <w:r w:rsidRPr="00525473">
              <w:rPr>
                <w:rFonts w:hAnsi="標楷體" w:hint="eastAsia"/>
                <w:sz w:val="24"/>
              </w:rPr>
              <w:t>小計</w:t>
            </w:r>
          </w:p>
        </w:tc>
        <w:tc>
          <w:tcPr>
            <w:tcW w:w="1722" w:type="dxa"/>
            <w:shd w:val="clear" w:color="auto" w:fill="auto"/>
          </w:tcPr>
          <w:p w:rsidR="00525473" w:rsidRPr="00525473" w:rsidRDefault="00525473" w:rsidP="00525473">
            <w:pPr>
              <w:spacing w:line="280" w:lineRule="exact"/>
              <w:ind w:leftChars="-26" w:left="-74" w:rightChars="-20" w:right="-57" w:firstLineChars="0" w:firstLine="0"/>
              <w:jc w:val="right"/>
              <w:rPr>
                <w:rFonts w:hAnsi="標楷體"/>
                <w:sz w:val="24"/>
              </w:rPr>
            </w:pPr>
            <w:r w:rsidRPr="00525473">
              <w:rPr>
                <w:rFonts w:hAnsi="標楷體" w:hint="eastAsia"/>
                <w:sz w:val="24"/>
              </w:rPr>
              <w:t>-</w:t>
            </w:r>
          </w:p>
        </w:tc>
        <w:tc>
          <w:tcPr>
            <w:tcW w:w="1296" w:type="dxa"/>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3</w:t>
            </w:r>
            <w:r w:rsidRPr="00525473">
              <w:rPr>
                <w:rFonts w:hAnsi="標楷體"/>
                <w:sz w:val="24"/>
              </w:rPr>
              <w:t>69,003</w:t>
            </w:r>
          </w:p>
        </w:tc>
        <w:tc>
          <w:tcPr>
            <w:tcW w:w="1296" w:type="dxa"/>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3</w:t>
            </w:r>
            <w:r w:rsidRPr="00525473">
              <w:rPr>
                <w:rFonts w:hAnsi="標楷體"/>
                <w:sz w:val="24"/>
              </w:rPr>
              <w:t>45,819</w:t>
            </w:r>
          </w:p>
        </w:tc>
        <w:tc>
          <w:tcPr>
            <w:tcW w:w="1300" w:type="dxa"/>
            <w:tcBorders>
              <w:top w:val="single" w:sz="6" w:space="0" w:color="auto"/>
              <w:bottom w:val="single" w:sz="6" w:space="0" w:color="auto"/>
              <w:right w:val="single" w:sz="12" w:space="0" w:color="auto"/>
            </w:tcBorders>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w:t>
            </w:r>
            <w:r w:rsidRPr="00525473">
              <w:rPr>
                <w:rFonts w:hAnsi="標楷體"/>
                <w:sz w:val="24"/>
              </w:rPr>
              <w:t>67,534</w:t>
            </w:r>
          </w:p>
        </w:tc>
      </w:tr>
      <w:tr w:rsidR="00525473" w:rsidRPr="00525473" w:rsidTr="0022320D">
        <w:tc>
          <w:tcPr>
            <w:tcW w:w="1257" w:type="dxa"/>
            <w:vMerge w:val="restart"/>
            <w:tcBorders>
              <w:left w:val="single" w:sz="12" w:space="0" w:color="auto"/>
            </w:tcBorders>
            <w:shd w:val="clear" w:color="auto" w:fill="auto"/>
            <w:vAlign w:val="center"/>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t>4</w:t>
            </w:r>
            <w:r w:rsidRPr="00525473">
              <w:rPr>
                <w:rFonts w:hAnsi="標楷體"/>
                <w:sz w:val="24"/>
              </w:rPr>
              <w:t>.</w:t>
            </w:r>
            <w:r w:rsidRPr="00525473">
              <w:rPr>
                <w:rFonts w:hAnsi="標楷體" w:hint="eastAsia"/>
                <w:sz w:val="24"/>
              </w:rPr>
              <w:t>保護出版文化內容原創力</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擴大電子書計次借閱及優化圖書採購</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人文及出版司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45,328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50,000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4</w:t>
            </w:r>
            <w:r w:rsidRPr="00525473">
              <w:rPr>
                <w:rFonts w:hAnsi="標楷體"/>
                <w:sz w:val="24"/>
              </w:rPr>
              <w:t>8,000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拓展臺流文本外譯 Books from Taiwan 2.0</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人文</w:t>
            </w:r>
            <w:r w:rsidRPr="00525473">
              <w:rPr>
                <w:rFonts w:hAnsi="標楷體"/>
                <w:sz w:val="24"/>
              </w:rPr>
              <w:t>及出版司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47,433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50,500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5</w:t>
            </w:r>
            <w:r w:rsidRPr="00525473">
              <w:rPr>
                <w:rFonts w:hAnsi="標楷體"/>
                <w:sz w:val="24"/>
              </w:rPr>
              <w:t>0,500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補助財團法人中央通訊社推動國際傳播交流</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人文</w:t>
            </w:r>
            <w:r w:rsidRPr="00525473">
              <w:rPr>
                <w:rFonts w:hAnsi="標楷體"/>
                <w:sz w:val="24"/>
              </w:rPr>
              <w:t>及出版司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50,000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50,000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sz w:val="24"/>
              </w:rPr>
              <w:t>50,000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文化部獎勵實體書店串聯辦理創新書市活動</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人文</w:t>
            </w:r>
            <w:r w:rsidRPr="00525473">
              <w:rPr>
                <w:rFonts w:hAnsi="標楷體"/>
                <w:sz w:val="24"/>
              </w:rPr>
              <w:t>及出版司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70,000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67,000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6</w:t>
            </w:r>
            <w:r w:rsidRPr="00525473">
              <w:rPr>
                <w:rFonts w:hAnsi="標楷體"/>
                <w:sz w:val="24"/>
              </w:rPr>
              <w:t>7,000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T-</w:t>
            </w:r>
            <w:r w:rsidRPr="00525473">
              <w:rPr>
                <w:rFonts w:hAnsi="標楷體"/>
                <w:sz w:val="24"/>
              </w:rPr>
              <w:t>Comics</w:t>
            </w:r>
            <w:r w:rsidR="00B004ED">
              <w:rPr>
                <w:rFonts w:hAnsi="標楷體" w:hint="eastAsia"/>
                <w:sz w:val="24"/>
              </w:rPr>
              <w:t>臺灣</w:t>
            </w:r>
            <w:r w:rsidRPr="00525473">
              <w:rPr>
                <w:rFonts w:hAnsi="標楷體" w:hint="eastAsia"/>
                <w:sz w:val="24"/>
              </w:rPr>
              <w:t>中長篇漫畫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人文及出版司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5</w:t>
            </w:r>
            <w:r w:rsidRPr="00525473">
              <w:rPr>
                <w:rFonts w:hAnsi="標楷體"/>
                <w:sz w:val="24"/>
              </w:rPr>
              <w:t>9,235</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p>
        </w:tc>
        <w:tc>
          <w:tcPr>
            <w:tcW w:w="2340" w:type="dxa"/>
            <w:shd w:val="clear" w:color="auto" w:fill="auto"/>
          </w:tcPr>
          <w:p w:rsidR="00525473" w:rsidRPr="00525473" w:rsidRDefault="00525473" w:rsidP="00025EB5">
            <w:pPr>
              <w:spacing w:line="280" w:lineRule="exact"/>
              <w:ind w:leftChars="0" w:left="0" w:rightChars="-20" w:right="-57" w:firstLineChars="0" w:firstLine="0"/>
              <w:jc w:val="center"/>
              <w:rPr>
                <w:rFonts w:hAnsi="標楷體"/>
                <w:sz w:val="24"/>
              </w:rPr>
            </w:pPr>
            <w:r w:rsidRPr="00525473">
              <w:rPr>
                <w:rFonts w:hAnsi="標楷體" w:hint="eastAsia"/>
                <w:sz w:val="24"/>
              </w:rPr>
              <w:t>小計</w:t>
            </w:r>
          </w:p>
        </w:tc>
        <w:tc>
          <w:tcPr>
            <w:tcW w:w="1722" w:type="dxa"/>
            <w:shd w:val="clear" w:color="auto" w:fill="auto"/>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w:t>
            </w:r>
            <w:r w:rsidRPr="00525473">
              <w:rPr>
                <w:rFonts w:hAnsi="標楷體"/>
                <w:sz w:val="24"/>
              </w:rPr>
              <w:t>12,761</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w:t>
            </w:r>
            <w:r w:rsidRPr="00525473">
              <w:rPr>
                <w:rFonts w:hAnsi="標楷體"/>
                <w:sz w:val="24"/>
              </w:rPr>
              <w:t>17,500</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27</w:t>
            </w:r>
            <w:r w:rsidRPr="00525473">
              <w:rPr>
                <w:rFonts w:hAnsi="標楷體"/>
                <w:sz w:val="24"/>
              </w:rPr>
              <w:t>4,735</w:t>
            </w:r>
          </w:p>
        </w:tc>
      </w:tr>
      <w:tr w:rsidR="00525473" w:rsidRPr="00525473" w:rsidTr="0022320D">
        <w:tc>
          <w:tcPr>
            <w:tcW w:w="1257" w:type="dxa"/>
            <w:tcBorders>
              <w:left w:val="single" w:sz="12" w:space="0" w:color="auto"/>
            </w:tcBorders>
            <w:shd w:val="clear" w:color="auto" w:fill="auto"/>
            <w:vAlign w:val="center"/>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t>5</w:t>
            </w:r>
            <w:r w:rsidRPr="00525473">
              <w:rPr>
                <w:rFonts w:hAnsi="標楷體"/>
                <w:sz w:val="24"/>
              </w:rPr>
              <w:t>.</w:t>
            </w:r>
            <w:r w:rsidRPr="00525473">
              <w:rPr>
                <w:rFonts w:hAnsi="標楷體" w:hint="eastAsia"/>
                <w:sz w:val="24"/>
              </w:rPr>
              <w:t>創意文化內容產業生態鏈</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建構產銷均衡的文創產業生態系</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文創發展司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234,012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266,140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221</w:t>
            </w:r>
            <w:r w:rsidRPr="00525473">
              <w:rPr>
                <w:rFonts w:hAnsi="標楷體"/>
                <w:sz w:val="24"/>
              </w:rPr>
              <w:t>,670</w:t>
            </w:r>
          </w:p>
        </w:tc>
      </w:tr>
      <w:tr w:rsidR="00525473" w:rsidRPr="00525473" w:rsidTr="0022320D">
        <w:tc>
          <w:tcPr>
            <w:tcW w:w="1257" w:type="dxa"/>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t>6</w:t>
            </w:r>
            <w:r w:rsidRPr="00525473">
              <w:rPr>
                <w:rFonts w:hAnsi="標楷體"/>
                <w:sz w:val="24"/>
              </w:rPr>
              <w:t>.</w:t>
            </w:r>
            <w:r w:rsidRPr="00525473">
              <w:rPr>
                <w:rFonts w:hAnsi="標楷體" w:hint="eastAsia"/>
                <w:sz w:val="24"/>
              </w:rPr>
              <w:t>科技文化內容應用突破</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以科技的文化應用推波臺流擴散</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文創發展司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210,343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163,841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198</w:t>
            </w:r>
            <w:r w:rsidRPr="00525473">
              <w:rPr>
                <w:rFonts w:hAnsi="標楷體"/>
                <w:sz w:val="24"/>
              </w:rPr>
              <w:t>,</w:t>
            </w:r>
            <w:r w:rsidRPr="00525473">
              <w:rPr>
                <w:rFonts w:hAnsi="標楷體" w:hint="eastAsia"/>
                <w:sz w:val="24"/>
              </w:rPr>
              <w:t>31</w:t>
            </w:r>
            <w:r w:rsidRPr="00525473">
              <w:rPr>
                <w:rFonts w:hAnsi="標楷體"/>
                <w:sz w:val="24"/>
              </w:rPr>
              <w:t>1</w:t>
            </w:r>
          </w:p>
        </w:tc>
      </w:tr>
      <w:tr w:rsidR="00525473" w:rsidRPr="00525473" w:rsidTr="0022320D">
        <w:tc>
          <w:tcPr>
            <w:tcW w:w="3597" w:type="dxa"/>
            <w:gridSpan w:val="2"/>
            <w:tcBorders>
              <w:left w:val="single" w:sz="12" w:space="0" w:color="auto"/>
              <w:bottom w:val="single" w:sz="12" w:space="0" w:color="auto"/>
              <w:right w:val="single" w:sz="6" w:space="0" w:color="auto"/>
            </w:tcBorders>
            <w:shd w:val="clear" w:color="auto" w:fill="auto"/>
          </w:tcPr>
          <w:p w:rsidR="00525473" w:rsidRPr="00525473" w:rsidRDefault="00525473" w:rsidP="00525473">
            <w:pPr>
              <w:spacing w:line="280" w:lineRule="exact"/>
              <w:ind w:leftChars="-4" w:left="-11" w:firstLineChars="4" w:firstLine="10"/>
              <w:jc w:val="center"/>
              <w:rPr>
                <w:rFonts w:hAnsi="標楷體"/>
                <w:sz w:val="24"/>
              </w:rPr>
            </w:pPr>
            <w:r w:rsidRPr="00525473">
              <w:rPr>
                <w:rFonts w:hAnsi="標楷體" w:hint="eastAsia"/>
                <w:sz w:val="24"/>
              </w:rPr>
              <w:t>合計</w:t>
            </w:r>
          </w:p>
        </w:tc>
        <w:tc>
          <w:tcPr>
            <w:tcW w:w="1722" w:type="dxa"/>
            <w:tcBorders>
              <w:top w:val="single" w:sz="6" w:space="0" w:color="auto"/>
              <w:left w:val="single" w:sz="6" w:space="0" w:color="auto"/>
              <w:bottom w:val="single" w:sz="12"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36" w:right="-102" w:firstLineChars="0" w:firstLine="0"/>
              <w:jc w:val="right"/>
              <w:rPr>
                <w:rFonts w:hAnsi="標楷體"/>
                <w:sz w:val="24"/>
              </w:rPr>
            </w:pPr>
            <w:r w:rsidRPr="00525473">
              <w:rPr>
                <w:rFonts w:hAnsi="標楷體" w:hint="eastAsia"/>
                <w:sz w:val="24"/>
              </w:rPr>
              <w:t>-</w:t>
            </w:r>
          </w:p>
        </w:tc>
        <w:tc>
          <w:tcPr>
            <w:tcW w:w="1296" w:type="dxa"/>
            <w:tcBorders>
              <w:top w:val="single" w:sz="6" w:space="0" w:color="auto"/>
              <w:left w:val="single" w:sz="6" w:space="0" w:color="auto"/>
              <w:bottom w:val="single" w:sz="12"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26" w:right="-74" w:hangingChars="107" w:hanging="261"/>
              <w:jc w:val="right"/>
              <w:rPr>
                <w:rFonts w:hAnsi="標楷體"/>
                <w:sz w:val="24"/>
              </w:rPr>
            </w:pPr>
            <w:r w:rsidRPr="00525473">
              <w:rPr>
                <w:rFonts w:hAnsi="標楷體"/>
                <w:sz w:val="24"/>
              </w:rPr>
              <w:t>2,817,331</w:t>
            </w:r>
          </w:p>
        </w:tc>
        <w:tc>
          <w:tcPr>
            <w:tcW w:w="1296" w:type="dxa"/>
            <w:tcBorders>
              <w:top w:val="single" w:sz="6" w:space="0" w:color="auto"/>
              <w:left w:val="single" w:sz="6" w:space="0" w:color="auto"/>
              <w:bottom w:val="single" w:sz="12"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w:t>
            </w:r>
            <w:r w:rsidRPr="00525473">
              <w:rPr>
                <w:rFonts w:hAnsi="標楷體"/>
                <w:sz w:val="24"/>
              </w:rPr>
              <w:t>770</w:t>
            </w:r>
            <w:r w:rsidRPr="00525473">
              <w:rPr>
                <w:rFonts w:hAnsi="標楷體" w:hint="eastAsia"/>
                <w:sz w:val="24"/>
              </w:rPr>
              <w:t>,</w:t>
            </w:r>
            <w:r w:rsidRPr="00525473">
              <w:rPr>
                <w:rFonts w:hAnsi="標楷體"/>
                <w:sz w:val="24"/>
              </w:rPr>
              <w:t>047</w:t>
            </w:r>
          </w:p>
        </w:tc>
        <w:tc>
          <w:tcPr>
            <w:tcW w:w="1300" w:type="dxa"/>
            <w:tcBorders>
              <w:top w:val="single" w:sz="6" w:space="0" w:color="auto"/>
              <w:left w:val="single" w:sz="6" w:space="0" w:color="auto"/>
              <w:bottom w:val="single" w:sz="12"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2,7</w:t>
            </w:r>
            <w:r w:rsidRPr="00525473">
              <w:rPr>
                <w:rFonts w:hAnsi="標楷體"/>
                <w:sz w:val="24"/>
              </w:rPr>
              <w:t>2</w:t>
            </w:r>
            <w:r w:rsidRPr="00525473">
              <w:rPr>
                <w:rFonts w:hAnsi="標楷體" w:hint="eastAsia"/>
                <w:sz w:val="24"/>
              </w:rPr>
              <w:t>0,</w:t>
            </w:r>
            <w:r w:rsidRPr="00525473">
              <w:rPr>
                <w:rFonts w:hAnsi="標楷體"/>
                <w:sz w:val="24"/>
              </w:rPr>
              <w:t>624</w:t>
            </w:r>
          </w:p>
        </w:tc>
      </w:tr>
    </w:tbl>
    <w:p w:rsidR="00525473" w:rsidRPr="00525473" w:rsidRDefault="00525473" w:rsidP="00525473">
      <w:pPr>
        <w:tabs>
          <w:tab w:val="left" w:pos="0"/>
        </w:tabs>
        <w:adjustRightInd w:val="0"/>
        <w:snapToGrid w:val="0"/>
        <w:spacing w:line="240" w:lineRule="auto"/>
        <w:ind w:leftChars="-170" w:left="-2" w:hangingChars="197" w:hanging="480"/>
        <w:rPr>
          <w:rFonts w:hAnsi="標楷體"/>
          <w:sz w:val="24"/>
          <w:szCs w:val="24"/>
        </w:rPr>
      </w:pPr>
      <w:r w:rsidRPr="00525473">
        <w:rPr>
          <w:rFonts w:hAnsi="標楷體" w:hint="eastAsia"/>
          <w:sz w:val="24"/>
          <w:szCs w:val="24"/>
        </w:rPr>
        <w:t>資料來源：文化部提供。</w:t>
      </w:r>
    </w:p>
    <w:p w:rsidR="00525473" w:rsidRPr="00525473" w:rsidRDefault="00525473" w:rsidP="00525473">
      <w:pPr>
        <w:ind w:left="851" w:hangingChars="100" w:hanging="284"/>
        <w:rPr>
          <w:rFonts w:hAnsi="標楷體"/>
          <w:b/>
        </w:rPr>
      </w:pPr>
      <w:r w:rsidRPr="00525473">
        <w:rPr>
          <w:rFonts w:hAnsi="標楷體" w:hint="eastAsia"/>
          <w:b/>
        </w:rPr>
        <w:t>(二)辦理文化黑潮計畫與部分現有計畫相關，允宜加強整合，俾促提升計畫綜效</w:t>
      </w:r>
    </w:p>
    <w:p w:rsidR="00525473" w:rsidRPr="00525473" w:rsidRDefault="00525473" w:rsidP="00525473">
      <w:pPr>
        <w:adjustRightInd w:val="0"/>
        <w:ind w:leftChars="300" w:left="850" w:firstLine="567"/>
        <w:rPr>
          <w:rFonts w:hAnsi="標楷體"/>
        </w:rPr>
      </w:pPr>
      <w:r w:rsidRPr="00525473">
        <w:rPr>
          <w:rFonts w:hAnsi="標楷體" w:hint="eastAsia"/>
        </w:rPr>
        <w:t>文化黑潮計畫之政策主軸中，有關影視音文化內容形成國際臺流部分，旨在突破國際平臺主導現狀，提升製作規格，提高產量產能，壯大臺流；保護出版文化內容原創力部分，則擬藉由保護出版文化內容，以加大文本創作資源，鞏固文化內容IP源頭，俾延伸跨域應用，創造多元臺流之目標。惟查部分計畫內容仍與其他現有計畫相關，如文化部及所屬於113年度辦</w:t>
      </w:r>
      <w:r w:rsidRPr="00525473">
        <w:rPr>
          <w:rFonts w:hAnsi="標楷體" w:hint="eastAsia"/>
        </w:rPr>
        <w:lastRenderedPageBreak/>
        <w:t>理之「出版產業振興方案」及「影視音產業發展中程計畫」之「電影產業發展旗艦計畫」、「廣播電視內容產業發展旗艦計畫」、「流行音樂產業發展旗艦計畫」，</w:t>
      </w:r>
      <w:r w:rsidR="004F4DF1">
        <w:rPr>
          <w:rFonts w:hAnsi="標楷體" w:hint="eastAsia"/>
        </w:rPr>
        <w:t>及</w:t>
      </w:r>
      <w:r w:rsidRPr="00525473">
        <w:rPr>
          <w:rFonts w:hAnsi="標楷體" w:hint="eastAsia"/>
        </w:rPr>
        <w:t>114</w:t>
      </w:r>
      <w:r w:rsidR="004F4DF1">
        <w:rPr>
          <w:rFonts w:hAnsi="標楷體" w:hint="eastAsia"/>
        </w:rPr>
        <w:t>至</w:t>
      </w:r>
      <w:r w:rsidRPr="00525473">
        <w:rPr>
          <w:rFonts w:hAnsi="標楷體" w:hint="eastAsia"/>
        </w:rPr>
        <w:t>11</w:t>
      </w:r>
      <w:r w:rsidR="004F4DF1">
        <w:rPr>
          <w:rFonts w:hAnsi="標楷體" w:hint="eastAsia"/>
        </w:rPr>
        <w:t>8</w:t>
      </w:r>
      <w:r w:rsidRPr="00525473">
        <w:rPr>
          <w:rFonts w:hAnsi="標楷體" w:hint="eastAsia"/>
        </w:rPr>
        <w:t>年度辦理</w:t>
      </w:r>
      <w:r w:rsidR="004F4DF1" w:rsidRPr="002E4D1B">
        <w:rPr>
          <w:rFonts w:hAnsi="標楷體"/>
        </w:rPr>
        <w:t>「影視音產業續航發展計畫」</w:t>
      </w:r>
      <w:r w:rsidR="004F4DF1" w:rsidRPr="002E4D1B">
        <w:rPr>
          <w:rFonts w:hAnsi="標楷體" w:hint="eastAsia"/>
        </w:rPr>
        <w:t>之</w:t>
      </w:r>
      <w:r w:rsidRPr="00525473">
        <w:rPr>
          <w:rFonts w:hAnsi="標楷體" w:hint="eastAsia"/>
        </w:rPr>
        <w:t>「電影產業發展計畫」、「廣播電視內容產業發展計畫」、「流行音樂產業發展計畫」，及「出版產業振興方案」等計畫皆有所相關，其主要實施內容詳表2。</w:t>
      </w:r>
      <w:r w:rsidR="004A059C" w:rsidRPr="004A059C">
        <w:rPr>
          <w:rFonts w:hAnsi="標楷體" w:hint="eastAsia"/>
        </w:rPr>
        <w:t>該等現有計畫主要實施內容包含辦理產製優質多元國片；辦理健全電影產業資金、創意、人才、映演環境；辦理電影產業國內外人才交流及培育、獎勵等業務；擴大文本來源、故事內容倍增；紮實產製內容、全面提升製作規格；強化「獎補助、投融資」雙軌制，以「投補合作」策略促進跨國合資合製；全方位人才養成布局，蓄積產業動能；製作符合國際規格之臺流戲劇、大河劇、時代劇及綜藝影視內容，帶動影視人才及製作規格之提升等。</w:t>
      </w:r>
      <w:r w:rsidR="004A059C">
        <w:rPr>
          <w:rFonts w:hAnsi="標楷體" w:hint="eastAsia"/>
        </w:rPr>
        <w:t>鑑於</w:t>
      </w:r>
      <w:r w:rsidR="004A059C" w:rsidRPr="004A059C">
        <w:rPr>
          <w:rFonts w:hAnsi="標楷體" w:hint="eastAsia"/>
        </w:rPr>
        <w:t>辦理文化黑潮計畫與部分現有計畫相關，允宜加強整合，俾促提升計畫綜效</w:t>
      </w:r>
    </w:p>
    <w:p w:rsidR="00052EE4" w:rsidRPr="00525473" w:rsidRDefault="00525473" w:rsidP="00B335FE">
      <w:pPr>
        <w:ind w:left="567" w:firstLine="567"/>
        <w:rPr>
          <w:rFonts w:hAnsi="標楷體"/>
        </w:rPr>
      </w:pPr>
      <w:r w:rsidRPr="00525473">
        <w:rPr>
          <w:rFonts w:hint="eastAsia"/>
        </w:rPr>
        <w:t>綜上，</w:t>
      </w:r>
      <w:r w:rsidR="00A75936">
        <w:rPr>
          <w:rFonts w:hint="eastAsia"/>
        </w:rPr>
        <w:t>鑒於</w:t>
      </w:r>
      <w:r w:rsidRPr="00525473">
        <w:rPr>
          <w:rFonts w:hint="eastAsia"/>
        </w:rPr>
        <w:t>前開</w:t>
      </w:r>
      <w:r w:rsidR="00A75936">
        <w:rPr>
          <w:rFonts w:hint="eastAsia"/>
        </w:rPr>
        <w:t>既有</w:t>
      </w:r>
      <w:r w:rsidRPr="00525473">
        <w:rPr>
          <w:rFonts w:hint="eastAsia"/>
        </w:rPr>
        <w:t>計畫與文化黑潮計畫工作內容多有相關，後續經費</w:t>
      </w:r>
      <w:r w:rsidR="00052EE4">
        <w:rPr>
          <w:rFonts w:hint="eastAsia"/>
        </w:rPr>
        <w:t>及</w:t>
      </w:r>
      <w:r w:rsidRPr="00525473">
        <w:rPr>
          <w:rFonts w:hint="eastAsia"/>
        </w:rPr>
        <w:t>資源配置，允宜聚焦文化黑潮計畫之核心目標，強化各計畫間橫向整合，妥慎檢討各分支計畫之必要性，並合理分配經費，俾發揮綜效。</w:t>
      </w:r>
      <w:r w:rsidRPr="00525473">
        <w:t xml:space="preserve"> </w:t>
      </w:r>
    </w:p>
    <w:p w:rsidR="00525473" w:rsidRPr="00525473" w:rsidRDefault="00525473" w:rsidP="00525473">
      <w:pPr>
        <w:spacing w:beforeLines="30" w:before="154" w:line="360" w:lineRule="exact"/>
        <w:ind w:leftChars="0" w:left="0" w:firstLineChars="34" w:firstLine="96"/>
        <w:rPr>
          <w:rFonts w:hAnsi="標楷體"/>
        </w:rPr>
      </w:pPr>
      <w:r w:rsidRPr="00525473">
        <w:rPr>
          <w:rFonts w:hAnsi="標楷體" w:hint="eastAsia"/>
          <w:b/>
        </w:rPr>
        <w:t>表2  文化黑潮計畫與相關計畫主要實施內容彙總表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88"/>
        <w:gridCol w:w="5809"/>
      </w:tblGrid>
      <w:tr w:rsidR="00525473" w:rsidRPr="00525473" w:rsidTr="0022320D">
        <w:tc>
          <w:tcPr>
            <w:tcW w:w="2688" w:type="dxa"/>
            <w:shd w:val="clear" w:color="auto" w:fill="auto"/>
            <w:vAlign w:val="center"/>
          </w:tcPr>
          <w:p w:rsidR="00525473" w:rsidRPr="00525473" w:rsidRDefault="00525473" w:rsidP="00525473">
            <w:pPr>
              <w:spacing w:line="280" w:lineRule="exact"/>
              <w:ind w:leftChars="0" w:left="567" w:firstLineChars="0" w:hanging="567"/>
              <w:rPr>
                <w:rFonts w:hAnsi="標楷體"/>
                <w:b/>
                <w:sz w:val="24"/>
              </w:rPr>
            </w:pPr>
            <w:r w:rsidRPr="00525473">
              <w:rPr>
                <w:rFonts w:hAnsi="標楷體" w:hint="eastAsia"/>
                <w:b/>
                <w:sz w:val="24"/>
              </w:rPr>
              <w:t>文化黑潮計畫</w:t>
            </w:r>
          </w:p>
        </w:tc>
        <w:tc>
          <w:tcPr>
            <w:tcW w:w="5809" w:type="dxa"/>
            <w:shd w:val="clear" w:color="auto" w:fill="auto"/>
          </w:tcPr>
          <w:p w:rsidR="00525473" w:rsidRPr="00525473" w:rsidRDefault="00525473" w:rsidP="00525473">
            <w:pPr>
              <w:spacing w:line="280" w:lineRule="exact"/>
              <w:ind w:leftChars="0" w:left="567" w:firstLineChars="0" w:hanging="567"/>
              <w:jc w:val="center"/>
              <w:rPr>
                <w:rFonts w:hAnsi="標楷體"/>
                <w:b/>
                <w:sz w:val="24"/>
              </w:rPr>
            </w:pPr>
            <w:r w:rsidRPr="00525473">
              <w:rPr>
                <w:rFonts w:hAnsi="標楷體" w:hint="eastAsia"/>
                <w:b/>
                <w:sz w:val="24"/>
              </w:rPr>
              <w:t>相關計畫內容</w:t>
            </w:r>
          </w:p>
        </w:tc>
      </w:tr>
      <w:tr w:rsidR="00525473" w:rsidRPr="00525473" w:rsidTr="0022320D">
        <w:tc>
          <w:tcPr>
            <w:tcW w:w="2688" w:type="dxa"/>
            <w:shd w:val="clear" w:color="auto" w:fill="auto"/>
            <w:vAlign w:val="center"/>
          </w:tcPr>
          <w:p w:rsidR="00525473" w:rsidRPr="00525473" w:rsidRDefault="00525473" w:rsidP="00525473">
            <w:pPr>
              <w:spacing w:line="280" w:lineRule="exact"/>
              <w:ind w:leftChars="0" w:left="34" w:firstLineChars="0" w:hanging="34"/>
              <w:rPr>
                <w:rFonts w:hAnsi="標楷體"/>
                <w:sz w:val="24"/>
              </w:rPr>
            </w:pPr>
            <w:r w:rsidRPr="00525473">
              <w:rPr>
                <w:rFonts w:hAnsi="標楷體" w:hint="eastAsia"/>
                <w:b/>
                <w:sz w:val="24"/>
              </w:rPr>
              <w:t>「影視音文化內容形成國際臺流」面向之內容：</w:t>
            </w:r>
            <w:r w:rsidRPr="00525473">
              <w:rPr>
                <w:rFonts w:hAnsi="標楷體" w:hint="eastAsia"/>
                <w:sz w:val="24"/>
              </w:rPr>
              <w:t>突破國際平臺主導現狀，提升製作規格，提高產量產能，壯大臺流。</w:t>
            </w:r>
          </w:p>
        </w:tc>
        <w:tc>
          <w:tcPr>
            <w:tcW w:w="5809" w:type="dxa"/>
            <w:shd w:val="clear" w:color="auto" w:fill="auto"/>
          </w:tcPr>
          <w:p w:rsidR="00525473" w:rsidRPr="00525473" w:rsidRDefault="00525473" w:rsidP="00525473">
            <w:pPr>
              <w:spacing w:line="280" w:lineRule="exact"/>
              <w:ind w:leftChars="0" w:left="567" w:firstLineChars="0" w:hanging="567"/>
              <w:rPr>
                <w:rFonts w:hAnsi="標楷體"/>
                <w:b/>
                <w:sz w:val="24"/>
              </w:rPr>
            </w:pPr>
            <w:r w:rsidRPr="00525473">
              <w:rPr>
                <w:rFonts w:hAnsi="標楷體" w:hint="eastAsia"/>
                <w:b/>
                <w:sz w:val="24"/>
              </w:rPr>
              <w:t>1.電影產業發展計畫</w:t>
            </w:r>
          </w:p>
          <w:p w:rsidR="00525473" w:rsidRPr="00525473" w:rsidRDefault="00525473" w:rsidP="00525473">
            <w:pPr>
              <w:spacing w:line="280" w:lineRule="exact"/>
              <w:ind w:leftChars="0" w:left="713" w:hangingChars="293" w:hanging="713"/>
              <w:rPr>
                <w:rFonts w:hAnsi="標楷體"/>
                <w:sz w:val="24"/>
              </w:rPr>
            </w:pPr>
            <w:r w:rsidRPr="00525473">
              <w:rPr>
                <w:rFonts w:hAnsi="標楷體" w:hint="eastAsia"/>
                <w:sz w:val="24"/>
              </w:rPr>
              <w:t xml:space="preserve">   </w:t>
            </w:r>
            <w:r w:rsidRPr="00525473">
              <w:rPr>
                <w:rFonts w:hAnsi="標楷體"/>
                <w:sz w:val="24"/>
              </w:rPr>
              <w:t>(1)</w:t>
            </w:r>
            <w:r w:rsidRPr="00525473">
              <w:rPr>
                <w:rFonts w:hAnsi="標楷體" w:hint="eastAsia"/>
                <w:sz w:val="24"/>
              </w:rPr>
              <w:t>文化部影視及流行音樂產業局辦理。</w:t>
            </w:r>
          </w:p>
          <w:p w:rsidR="00525473" w:rsidRPr="00525473" w:rsidRDefault="00525473" w:rsidP="00525473">
            <w:pPr>
              <w:spacing w:line="280" w:lineRule="exact"/>
              <w:ind w:leftChars="85" w:left="611" w:hangingChars="152" w:hanging="370"/>
              <w:rPr>
                <w:rFonts w:hAnsi="標楷體"/>
                <w:sz w:val="24"/>
              </w:rPr>
            </w:pPr>
            <w:r w:rsidRPr="00525473">
              <w:rPr>
                <w:rFonts w:hAnsi="標楷體" w:hint="eastAsia"/>
                <w:sz w:val="24"/>
              </w:rPr>
              <w:t xml:space="preserve"> (2)計畫主要實施內容包括：辦理擴大電影故事素材來源、產製優質多元國片，強化新導演輔導等業務；辦理健全電影產業資金、創意、人才、映演環境；辦理電影產業國內外人才交流及培育、獎勵等業務；電影事業管理與輔導；運用數位擬真技術，激發電影創意，實現多元類型電影之產製與內容品質提升；辦理製作具國際規格國片，鼓勵技術與國際接軌等業務</w:t>
            </w:r>
            <w:r w:rsidRPr="00525473">
              <w:rPr>
                <w:rFonts w:hAnsi="標楷體"/>
                <w:sz w:val="24"/>
              </w:rPr>
              <w:t>。</w:t>
            </w:r>
          </w:p>
          <w:p w:rsidR="00525473" w:rsidRPr="00525473" w:rsidRDefault="00525473" w:rsidP="00525473">
            <w:pPr>
              <w:spacing w:line="280" w:lineRule="exact"/>
              <w:ind w:leftChars="0" w:left="567" w:firstLineChars="0" w:hanging="567"/>
              <w:rPr>
                <w:rFonts w:hAnsi="標楷體"/>
                <w:sz w:val="24"/>
              </w:rPr>
            </w:pPr>
            <w:r w:rsidRPr="00525473">
              <w:rPr>
                <w:rFonts w:hAnsi="標楷體" w:hint="eastAsia"/>
                <w:b/>
                <w:sz w:val="24"/>
              </w:rPr>
              <w:lastRenderedPageBreak/>
              <w:t>2.廣播電視內容產業發展計畫</w:t>
            </w:r>
          </w:p>
          <w:p w:rsidR="00525473" w:rsidRPr="00525473" w:rsidRDefault="00525473" w:rsidP="00525473">
            <w:pPr>
              <w:spacing w:line="280" w:lineRule="exact"/>
              <w:ind w:leftChars="0" w:left="587" w:hangingChars="241" w:hanging="587"/>
              <w:rPr>
                <w:rFonts w:hAnsi="標楷體"/>
                <w:sz w:val="24"/>
              </w:rPr>
            </w:pPr>
            <w:r w:rsidRPr="00525473">
              <w:rPr>
                <w:rFonts w:hAnsi="標楷體" w:hint="eastAsia"/>
                <w:sz w:val="24"/>
              </w:rPr>
              <w:t xml:space="preserve">  </w:t>
            </w:r>
            <w:r w:rsidRPr="00525473">
              <w:rPr>
                <w:rFonts w:hAnsi="標楷體"/>
                <w:sz w:val="24"/>
              </w:rPr>
              <w:t>(1)</w:t>
            </w:r>
            <w:r w:rsidRPr="00525473">
              <w:rPr>
                <w:rFonts w:hAnsi="標楷體" w:hint="eastAsia"/>
                <w:sz w:val="24"/>
              </w:rPr>
              <w:t>文化部影視及流行音樂產業局辦理。</w:t>
            </w:r>
          </w:p>
          <w:p w:rsidR="00525473" w:rsidRPr="00525473" w:rsidRDefault="00525473" w:rsidP="00525473">
            <w:pPr>
              <w:spacing w:line="280" w:lineRule="exact"/>
              <w:ind w:leftChars="86" w:left="599" w:hangingChars="146" w:hanging="355"/>
              <w:rPr>
                <w:rFonts w:hAnsi="標楷體"/>
                <w:sz w:val="24"/>
              </w:rPr>
            </w:pPr>
            <w:r w:rsidRPr="00525473">
              <w:rPr>
                <w:rFonts w:hAnsi="標楷體"/>
                <w:sz w:val="24"/>
              </w:rPr>
              <w:t>(2)</w:t>
            </w:r>
            <w:r w:rsidRPr="00525473">
              <w:rPr>
                <w:rFonts w:hAnsi="標楷體" w:hint="eastAsia"/>
                <w:sz w:val="24"/>
              </w:rPr>
              <w:t>計畫主要實施內容包括：擴大文本來源、故事內容倍增；紮實產製內容、全面提升製作規格；強化「獎補助、投融資」雙軌制，以「投補合作」策略促進跨國合資合製；全方位人才養成布局，蓄積產業動能；鼓勵法人及民間內容製作業者開發具國際市場性之臺灣故事內容，製作符合國際規格之臺流戲劇、大河劇、時代劇及綜藝影視內容，帶動影視人才及製作規格之提升、提供產製國際級作品之實作機會及舞台；電視內容整合行銷、國際交流、海外通路之拓展。</w:t>
            </w:r>
          </w:p>
          <w:p w:rsidR="00525473" w:rsidRPr="00525473" w:rsidRDefault="00525473" w:rsidP="00525473">
            <w:pPr>
              <w:spacing w:line="280" w:lineRule="exact"/>
              <w:ind w:leftChars="0" w:left="567" w:firstLineChars="0" w:hanging="567"/>
              <w:rPr>
                <w:rFonts w:hAnsi="標楷體"/>
                <w:b/>
                <w:sz w:val="24"/>
              </w:rPr>
            </w:pPr>
            <w:r w:rsidRPr="00525473">
              <w:rPr>
                <w:rFonts w:hAnsi="標楷體" w:hint="eastAsia"/>
                <w:b/>
                <w:sz w:val="24"/>
              </w:rPr>
              <w:t>3.流行音樂產業發展計畫</w:t>
            </w:r>
          </w:p>
          <w:p w:rsidR="00525473" w:rsidRPr="00525473" w:rsidRDefault="00525473" w:rsidP="00525473">
            <w:pPr>
              <w:spacing w:line="280" w:lineRule="exact"/>
              <w:ind w:leftChars="0" w:left="599" w:hangingChars="246" w:hanging="599"/>
              <w:rPr>
                <w:rFonts w:hAnsi="標楷體"/>
                <w:sz w:val="24"/>
              </w:rPr>
            </w:pPr>
            <w:r w:rsidRPr="00525473">
              <w:rPr>
                <w:rFonts w:hAnsi="標楷體" w:hint="eastAsia"/>
                <w:sz w:val="24"/>
              </w:rPr>
              <w:t xml:space="preserve">  </w:t>
            </w:r>
            <w:r w:rsidRPr="00525473">
              <w:rPr>
                <w:rFonts w:hAnsi="標楷體"/>
                <w:sz w:val="24"/>
              </w:rPr>
              <w:t>(1)</w:t>
            </w:r>
            <w:r w:rsidRPr="00525473">
              <w:rPr>
                <w:rFonts w:hAnsi="標楷體" w:hint="eastAsia"/>
                <w:sz w:val="24"/>
              </w:rPr>
              <w:t>文化部影視及流行音樂產業局辦理。</w:t>
            </w:r>
          </w:p>
          <w:p w:rsidR="00525473" w:rsidRPr="00525473" w:rsidRDefault="00525473" w:rsidP="00525473">
            <w:pPr>
              <w:spacing w:line="280" w:lineRule="exact"/>
              <w:ind w:leftChars="85" w:left="611" w:hangingChars="152" w:hanging="370"/>
              <w:rPr>
                <w:rFonts w:hAnsi="標楷體"/>
                <w:sz w:val="24"/>
              </w:rPr>
            </w:pPr>
            <w:r w:rsidRPr="00525473">
              <w:rPr>
                <w:rFonts w:hAnsi="標楷體"/>
                <w:sz w:val="24"/>
              </w:rPr>
              <w:t>(2)</w:t>
            </w:r>
            <w:r w:rsidRPr="00525473">
              <w:rPr>
                <w:rFonts w:hAnsi="標楷體" w:hint="eastAsia"/>
                <w:sz w:val="24"/>
              </w:rPr>
              <w:t>計畫主要實施內容包括辦理流行音樂內容開發、人才培育、產業經紀、行銷推廣等業務；拓展海內外市場，及鼓勵流行音樂業者及專業人士赴國際參展、交流等業務；促進跨界與跨業合作，邀請國際專業人才來台交流，強化國際產業合作；辦理金曲獎、金音創作獎及臺灣原創流行音樂大獎等獎勵業務；鼓勵以國際市場為目標打造流行音樂節目內容，帶動流行音樂產業升級。</w:t>
            </w:r>
          </w:p>
        </w:tc>
      </w:tr>
      <w:tr w:rsidR="00525473" w:rsidRPr="00525473" w:rsidTr="0022320D">
        <w:tc>
          <w:tcPr>
            <w:tcW w:w="2688" w:type="dxa"/>
            <w:shd w:val="clear" w:color="auto" w:fill="auto"/>
            <w:vAlign w:val="center"/>
          </w:tcPr>
          <w:p w:rsidR="00525473" w:rsidRPr="00525473" w:rsidRDefault="00525473" w:rsidP="00525473">
            <w:pPr>
              <w:spacing w:line="280" w:lineRule="exact"/>
              <w:ind w:leftChars="0" w:left="34" w:firstLineChars="0" w:hanging="34"/>
              <w:rPr>
                <w:rFonts w:hAnsi="標楷體"/>
                <w:sz w:val="24"/>
              </w:rPr>
            </w:pPr>
            <w:r w:rsidRPr="00525473">
              <w:rPr>
                <w:rFonts w:hAnsi="標楷體" w:hint="eastAsia"/>
                <w:b/>
                <w:sz w:val="24"/>
              </w:rPr>
              <w:lastRenderedPageBreak/>
              <w:t>「保護出版文化內容原創力」面向之內容：</w:t>
            </w:r>
            <w:r w:rsidRPr="00525473">
              <w:rPr>
                <w:rFonts w:hAnsi="標楷體" w:hint="eastAsia"/>
                <w:sz w:val="24"/>
              </w:rPr>
              <w:t>加大文本創作資源，鞏固文化內容 IP 源頭，以延伸跨域應用，創造多元臺流。</w:t>
            </w:r>
          </w:p>
        </w:tc>
        <w:tc>
          <w:tcPr>
            <w:tcW w:w="5809" w:type="dxa"/>
            <w:shd w:val="clear" w:color="auto" w:fill="auto"/>
          </w:tcPr>
          <w:p w:rsidR="00525473" w:rsidRPr="00525473" w:rsidRDefault="00525473" w:rsidP="00525473">
            <w:pPr>
              <w:spacing w:line="280" w:lineRule="exact"/>
              <w:ind w:leftChars="0" w:left="567" w:firstLineChars="0" w:hanging="567"/>
              <w:rPr>
                <w:rFonts w:hAnsi="標楷體"/>
                <w:b/>
                <w:sz w:val="24"/>
              </w:rPr>
            </w:pPr>
            <w:r w:rsidRPr="00525473">
              <w:rPr>
                <w:rFonts w:hAnsi="標楷體" w:hint="eastAsia"/>
                <w:b/>
                <w:sz w:val="24"/>
              </w:rPr>
              <w:t>出版產業振興方案</w:t>
            </w:r>
          </w:p>
          <w:p w:rsidR="00525473" w:rsidRPr="00525473" w:rsidRDefault="00525473" w:rsidP="00525473">
            <w:pPr>
              <w:spacing w:line="280" w:lineRule="exact"/>
              <w:ind w:leftChars="0" w:left="222" w:hangingChars="91" w:hanging="222"/>
              <w:rPr>
                <w:rFonts w:hAnsi="標楷體"/>
                <w:sz w:val="24"/>
              </w:rPr>
            </w:pPr>
            <w:r w:rsidRPr="00525473">
              <w:rPr>
                <w:rFonts w:hAnsi="標楷體" w:hint="eastAsia"/>
                <w:sz w:val="24"/>
              </w:rPr>
              <w:t>1</w:t>
            </w:r>
            <w:r w:rsidRPr="00525473">
              <w:rPr>
                <w:rFonts w:hAnsi="標楷體"/>
                <w:sz w:val="24"/>
              </w:rPr>
              <w:t>.</w:t>
            </w:r>
            <w:r w:rsidRPr="00525473">
              <w:rPr>
                <w:rFonts w:hAnsi="標楷體" w:hint="eastAsia"/>
                <w:sz w:val="24"/>
              </w:rPr>
              <w:t>文化部辦理。</w:t>
            </w:r>
          </w:p>
          <w:p w:rsidR="00525473" w:rsidRPr="00525473" w:rsidRDefault="00525473" w:rsidP="00525473">
            <w:pPr>
              <w:spacing w:line="280" w:lineRule="exact"/>
              <w:ind w:leftChars="0" w:left="261" w:hangingChars="107" w:hanging="261"/>
              <w:rPr>
                <w:rFonts w:hAnsi="標楷體"/>
                <w:sz w:val="24"/>
              </w:rPr>
            </w:pPr>
            <w:r w:rsidRPr="00525473">
              <w:rPr>
                <w:rFonts w:hAnsi="標楷體" w:hint="eastAsia"/>
                <w:sz w:val="24"/>
              </w:rPr>
              <w:t>2</w:t>
            </w:r>
            <w:r w:rsidRPr="00525473">
              <w:rPr>
                <w:rFonts w:hAnsi="標楷體"/>
                <w:sz w:val="24"/>
              </w:rPr>
              <w:t>.</w:t>
            </w:r>
            <w:r w:rsidRPr="00525473">
              <w:rPr>
                <w:rFonts w:hAnsi="標楷體" w:hint="eastAsia"/>
                <w:sz w:val="24"/>
              </w:rPr>
              <w:t>計畫主要實施內容包括辦理或補助多元閱讀活動、閱讀推廣平臺；健全出版生態系，輔導獎勵多元形式優質出版之發展，包含出版品海內外行銷推廣、出版創新等；辦理或獎補助出版產業人才培育及交流、圖文原創作品創作及出版等。</w:t>
            </w:r>
          </w:p>
        </w:tc>
      </w:tr>
    </w:tbl>
    <w:p w:rsidR="00EF7C65" w:rsidRDefault="00525473" w:rsidP="00466BA5">
      <w:pPr>
        <w:spacing w:line="280" w:lineRule="exact"/>
        <w:ind w:leftChars="50" w:left="142" w:firstLineChars="0" w:firstLine="0"/>
        <w:jc w:val="left"/>
        <w:rPr>
          <w:rFonts w:hAnsi="標楷體"/>
          <w:sz w:val="24"/>
          <w:szCs w:val="24"/>
        </w:rPr>
      </w:pPr>
      <w:r w:rsidRPr="00525473">
        <w:rPr>
          <w:rFonts w:hAnsi="標楷體" w:hint="eastAsia"/>
          <w:sz w:val="24"/>
          <w:szCs w:val="24"/>
        </w:rPr>
        <w:t>資料來源：文化部提供。</w:t>
      </w:r>
      <w:bookmarkStart w:id="4" w:name="_GoBack"/>
      <w:bookmarkEnd w:id="4"/>
    </w:p>
    <w:bookmarkEnd w:id="0"/>
    <w:bookmarkEnd w:id="1"/>
    <w:bookmarkEnd w:id="2"/>
    <w:sectPr w:rsidR="00EF7C65"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618"/>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68A5D92-D3AA-4B13-9416-1299DCC22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3E0B2-BE64-4387-BF67-350E826A5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5</Pages>
  <Words>583</Words>
  <Characters>3327</Characters>
  <Application>Microsoft Office Word</Application>
  <DocSecurity>0</DocSecurity>
  <Lines>27</Lines>
  <Paragraphs>7</Paragraphs>
  <ScaleCrop>false</ScaleCrop>
  <Company/>
  <LinksUpToDate>false</LinksUpToDate>
  <CharactersWithSpaces>3903</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