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4F7163" w:rsidRPr="004F7163" w:rsidRDefault="00D155E8" w:rsidP="004F7163">
      <w:pPr>
        <w:pStyle w:val="14"/>
        <w:ind w:left="567" w:hanging="567"/>
      </w:pPr>
      <w:bookmarkStart w:id="4" w:name="_Toc178693459"/>
      <w:bookmarkStart w:id="5" w:name="_Toc213140410"/>
      <w:r>
        <w:rPr>
          <w:rFonts w:hint="eastAsia"/>
          <w:color w:val="000000"/>
        </w:rPr>
        <w:t>九</w:t>
      </w:r>
      <w:r w:rsidRPr="007C7997">
        <w:rPr>
          <w:rFonts w:hint="eastAsia"/>
          <w:color w:val="000000"/>
        </w:rPr>
        <w:t>、</w:t>
      </w:r>
      <w:r w:rsidR="004F7163" w:rsidRPr="004F7163">
        <w:rPr>
          <w:rFonts w:hint="eastAsia"/>
        </w:rPr>
        <w:t>115年度預算案部分新興跨年期計畫，</w:t>
      </w:r>
      <w:r w:rsidR="004F7163" w:rsidRPr="004F7163">
        <w:rPr>
          <w:rFonts w:hAnsi="標楷體" w:hint="eastAsia"/>
        </w:rPr>
        <w:t>未</w:t>
      </w:r>
      <w:r w:rsidR="004F7163" w:rsidRPr="004F7163">
        <w:rPr>
          <w:rFonts w:hint="eastAsia"/>
        </w:rPr>
        <w:t>於預算書內妥適揭露計畫內容</w:t>
      </w:r>
      <w:r w:rsidR="004F7163" w:rsidRPr="004F7163">
        <w:rPr>
          <w:rFonts w:hAnsi="標楷體" w:hint="eastAsia"/>
        </w:rPr>
        <w:t>，不</w:t>
      </w:r>
      <w:r w:rsidR="004F7163" w:rsidRPr="004F7163">
        <w:rPr>
          <w:rFonts w:hint="eastAsia"/>
        </w:rPr>
        <w:t>利預算審議，允宜檢討改進</w:t>
      </w:r>
      <w:bookmarkEnd w:id="5"/>
    </w:p>
    <w:p w:rsidR="004F7163" w:rsidRPr="004F7163" w:rsidRDefault="004F7163" w:rsidP="004F7163">
      <w:pPr>
        <w:ind w:left="567" w:firstLine="567"/>
        <w:rPr>
          <w:rFonts w:hAnsi="標楷體"/>
        </w:rPr>
      </w:pPr>
      <w:r w:rsidRPr="004F7163">
        <w:rPr>
          <w:rFonts w:hAnsi="標楷體" w:hint="eastAsia"/>
        </w:rPr>
        <w:t>文化部115</w:t>
      </w:r>
      <w:r w:rsidRPr="004F7163">
        <w:rPr>
          <w:rFonts w:hAnsi="標楷體"/>
        </w:rPr>
        <w:t>年度</w:t>
      </w:r>
      <w:r w:rsidR="00310C31">
        <w:rPr>
          <w:rFonts w:hAnsi="標楷體" w:hint="eastAsia"/>
        </w:rPr>
        <w:t>預算案</w:t>
      </w:r>
      <w:r w:rsidRPr="004F7163">
        <w:rPr>
          <w:rFonts w:hAnsi="標楷體"/>
        </w:rPr>
        <w:t>分</w:t>
      </w:r>
      <w:r w:rsidR="00310C31">
        <w:rPr>
          <w:rFonts w:hAnsi="標楷體" w:hint="eastAsia"/>
        </w:rPr>
        <w:t>別</w:t>
      </w:r>
      <w:r w:rsidRPr="004F7163">
        <w:rPr>
          <w:rFonts w:hAnsi="標楷體" w:hint="eastAsia"/>
        </w:rPr>
        <w:t>於「綜合規劃業務」工作計畫項下新增辦理「文化與AI融合創新計畫」；「影視及流行音樂策劃與發展」工作計畫項下新增辦理「AI創新應用服務計畫」；「文化創意產業發展業務」工作計畫項下新增辦理「空總</w:t>
      </w:r>
      <w:r w:rsidR="00B004ED">
        <w:rPr>
          <w:rFonts w:hAnsi="標楷體" w:hint="eastAsia"/>
        </w:rPr>
        <w:t>臺灣</w:t>
      </w:r>
      <w:r w:rsidRPr="004F7163">
        <w:rPr>
          <w:rFonts w:hAnsi="標楷體" w:hint="eastAsia"/>
        </w:rPr>
        <w:t>當代文化實驗場第三期整體發展計畫」；以及新增辦理之跨單位「人文驅動之未來社會關鍵課題研究與發展計畫」等4項新興計畫</w:t>
      </w:r>
      <w:r w:rsidR="00310C31">
        <w:rPr>
          <w:rFonts w:hAnsi="標楷體" w:hint="eastAsia"/>
        </w:rPr>
        <w:t>(詳表1)</w:t>
      </w:r>
      <w:r w:rsidRPr="004F7163">
        <w:rPr>
          <w:rFonts w:hAnsi="標楷體" w:hint="eastAsia"/>
        </w:rPr>
        <w:t>，均屬跨年期執行計畫，惟未於預算書中妥適揭露。謹說明如下：</w:t>
      </w:r>
    </w:p>
    <w:p w:rsidR="004F7163" w:rsidRPr="004F7163" w:rsidRDefault="004F7163" w:rsidP="004F7163">
      <w:pPr>
        <w:ind w:left="851" w:hangingChars="100" w:hanging="284"/>
        <w:rPr>
          <w:rFonts w:hAnsi="標楷體"/>
          <w:b/>
        </w:rPr>
      </w:pPr>
      <w:r w:rsidRPr="004F7163">
        <w:rPr>
          <w:rFonts w:hAnsi="標楷體" w:hint="eastAsia"/>
          <w:b/>
        </w:rPr>
        <w:t>(一)相關規定</w:t>
      </w:r>
    </w:p>
    <w:p w:rsidR="004F7163" w:rsidRPr="004F7163" w:rsidRDefault="004F7163" w:rsidP="004F7163">
      <w:pPr>
        <w:ind w:leftChars="300" w:left="1133" w:hangingChars="100" w:hanging="283"/>
        <w:rPr>
          <w:rFonts w:hAnsi="標楷體"/>
        </w:rPr>
      </w:pPr>
      <w:r w:rsidRPr="004F7163">
        <w:rPr>
          <w:rFonts w:hAnsi="標楷體" w:hint="eastAsia"/>
        </w:rPr>
        <w:t>1.預算法第39條規定：「繼續經費預算之編製，應列明全部計畫之內容、經費總額、執行期間及各年度之分配額，依各年度之分配額，編列各該年度預算。」</w:t>
      </w:r>
    </w:p>
    <w:p w:rsidR="004F7163" w:rsidRPr="004F7163" w:rsidRDefault="004F7163" w:rsidP="004F7163">
      <w:pPr>
        <w:ind w:leftChars="300" w:left="1133" w:hangingChars="100" w:hanging="283"/>
        <w:rPr>
          <w:rFonts w:hAnsi="標楷體"/>
        </w:rPr>
      </w:pPr>
      <w:r w:rsidRPr="004F7163">
        <w:rPr>
          <w:rFonts w:hAnsi="標楷體" w:hint="eastAsia"/>
        </w:rPr>
        <w:t>2.中央各主管機關編製115年度概算應行注意辦理事項第13點規定：「各機關跨年期計畫應儘早研擬及完成核定程序，並應比照預算法第</w:t>
      </w:r>
      <w:r w:rsidR="00310C31">
        <w:rPr>
          <w:rFonts w:hAnsi="標楷體" w:hint="eastAsia"/>
        </w:rPr>
        <w:t>39</w:t>
      </w:r>
      <w:r w:rsidRPr="004F7163">
        <w:rPr>
          <w:rFonts w:hAnsi="標楷體" w:hint="eastAsia"/>
        </w:rPr>
        <w:t>條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p>
    <w:p w:rsidR="004F7163" w:rsidRPr="004F7163" w:rsidRDefault="004F7163" w:rsidP="004F7163">
      <w:pPr>
        <w:ind w:left="851" w:hangingChars="100" w:hanging="284"/>
        <w:rPr>
          <w:rFonts w:hAnsi="標楷體"/>
          <w:b/>
        </w:rPr>
      </w:pPr>
      <w:r w:rsidRPr="004F7163">
        <w:rPr>
          <w:rFonts w:hAnsi="標楷體" w:hint="eastAsia"/>
          <w:b/>
        </w:rPr>
        <w:lastRenderedPageBreak/>
        <w:t>(二)115年度預算案部分新興跨年期計畫未妥適揭露，允宜檢討改善，以利審議</w:t>
      </w:r>
    </w:p>
    <w:p w:rsidR="004F7163" w:rsidRDefault="004F7163" w:rsidP="004F7163">
      <w:pPr>
        <w:adjustRightInd w:val="0"/>
        <w:ind w:leftChars="300" w:left="850" w:firstLine="567"/>
        <w:rPr>
          <w:rFonts w:hAnsi="標楷體"/>
        </w:rPr>
      </w:pPr>
      <w:r w:rsidRPr="004F7163">
        <w:rPr>
          <w:rFonts w:hAnsi="標楷體" w:hint="eastAsia"/>
        </w:rPr>
        <w:t>依文化部提供之資料，115年度「綜合規劃業務」工作計畫項下新增辦理「文化與AI融合創新計畫」；「影視及流行音樂策劃與發展」工作計畫項下新增辦理「AI創新應用服務計畫」；「文化創意產業發展業務」工作計畫項下新增辦理「空總</w:t>
      </w:r>
      <w:r w:rsidR="00B004ED">
        <w:rPr>
          <w:rFonts w:hAnsi="標楷體" w:hint="eastAsia"/>
        </w:rPr>
        <w:t>臺灣</w:t>
      </w:r>
      <w:r w:rsidRPr="004F7163">
        <w:rPr>
          <w:rFonts w:hAnsi="標楷體" w:hint="eastAsia"/>
        </w:rPr>
        <w:t>當代文化實驗場第三期整體發展計畫」；以及新增辦理之跨單位「人文驅動之未來社會關鍵課題研究與發展計畫」等4項新興計畫，於預算案送本院審議前</w:t>
      </w:r>
      <w:r w:rsidRPr="004F7163">
        <w:rPr>
          <w:rFonts w:hAnsi="標楷體"/>
          <w:vertAlign w:val="superscript"/>
        </w:rPr>
        <w:footnoteReference w:id="1"/>
      </w:r>
      <w:r w:rsidRPr="004F7163">
        <w:rPr>
          <w:rFonts w:hAnsi="標楷體" w:hint="eastAsia"/>
        </w:rPr>
        <w:t>尚未核定，惟前揭4項新興計畫預估經費合計逾19億元，其中除「空總</w:t>
      </w:r>
      <w:r w:rsidR="00B004ED">
        <w:rPr>
          <w:rFonts w:hAnsi="標楷體" w:hint="eastAsia"/>
        </w:rPr>
        <w:t>臺灣</w:t>
      </w:r>
      <w:r w:rsidRPr="004F7163">
        <w:rPr>
          <w:rFonts w:hAnsi="標楷體" w:hint="eastAsia"/>
        </w:rPr>
        <w:t>當代文化實驗場第三期整體發展計畫」為3年期、「文化與AI融合計畫」為5年期跨年期計畫外，其餘2項為4年期跨年期計畫。查該部115年度</w:t>
      </w:r>
      <w:r w:rsidR="00310C31">
        <w:rPr>
          <w:rFonts w:hAnsi="標楷體" w:hint="eastAsia"/>
        </w:rPr>
        <w:t>預算案</w:t>
      </w:r>
      <w:r w:rsidRPr="004F7163">
        <w:rPr>
          <w:rFonts w:hAnsi="標楷體" w:hint="eastAsia"/>
        </w:rPr>
        <w:t>均編列第1年所需經費（詳表1），卻未於預算書中「跨年期計畫概況表」表達揭露該等計畫執行期間及經費</w:t>
      </w:r>
      <w:r w:rsidR="00310C31">
        <w:rPr>
          <w:rFonts w:hAnsi="標楷體" w:hint="eastAsia"/>
        </w:rPr>
        <w:t>總額</w:t>
      </w:r>
      <w:r w:rsidRPr="004F7163">
        <w:rPr>
          <w:rFonts w:hAnsi="標楷體" w:hint="eastAsia"/>
        </w:rPr>
        <w:t>等資訊，外界難窺整體計畫全貌及檢視所需經費之合理性，允宜檢討改進，俾利預算審議。另為避免預算審議通過而計畫尚未核定致影響預算資源之有效運用，嗣後於研提相關跨年期計畫時，允宜核實依前揭編製概算應行注意事項規定，提前作業以降低年度預算已編列而計畫未核定之情事。</w:t>
      </w:r>
    </w:p>
    <w:p w:rsidR="00310C31" w:rsidRDefault="00310C31" w:rsidP="004F7163">
      <w:pPr>
        <w:adjustRightInd w:val="0"/>
        <w:ind w:leftChars="300" w:left="850" w:firstLine="567"/>
        <w:rPr>
          <w:rFonts w:hAnsi="標楷體"/>
        </w:rPr>
      </w:pPr>
    </w:p>
    <w:p w:rsidR="00310C31" w:rsidRPr="004F7163" w:rsidRDefault="00310C31" w:rsidP="004F7163">
      <w:pPr>
        <w:adjustRightInd w:val="0"/>
        <w:ind w:leftChars="300" w:left="850" w:firstLine="567"/>
        <w:rPr>
          <w:rFonts w:hAnsi="標楷體" w:hint="eastAsia"/>
        </w:rPr>
      </w:pPr>
    </w:p>
    <w:p w:rsidR="004F7163" w:rsidRPr="004F7163" w:rsidRDefault="004F7163" w:rsidP="004F7163">
      <w:pPr>
        <w:spacing w:beforeLines="20" w:before="103" w:line="400" w:lineRule="exact"/>
        <w:ind w:leftChars="0" w:left="0" w:firstLineChars="0" w:firstLine="0"/>
        <w:jc w:val="left"/>
        <w:rPr>
          <w:rFonts w:hAnsi="標楷體"/>
          <w:sz w:val="24"/>
          <w:szCs w:val="24"/>
        </w:rPr>
      </w:pPr>
      <w:r w:rsidRPr="004F7163">
        <w:rPr>
          <w:rFonts w:hAnsi="標楷體" w:hint="eastAsia"/>
          <w:b/>
        </w:rPr>
        <w:t xml:space="preserve">表1  115年度預算案編列跨年期新興計畫一覽表     </w:t>
      </w:r>
      <w:r w:rsidRPr="004F7163">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228"/>
        <w:gridCol w:w="3255"/>
        <w:gridCol w:w="1035"/>
        <w:gridCol w:w="1064"/>
        <w:gridCol w:w="1092"/>
      </w:tblGrid>
      <w:tr w:rsidR="004F7163" w:rsidRPr="004F7163" w:rsidTr="004F7163">
        <w:trPr>
          <w:trHeight w:val="577"/>
          <w:tblHeader/>
        </w:trPr>
        <w:tc>
          <w:tcPr>
            <w:tcW w:w="851"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工作</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w:t>
            </w:r>
          </w:p>
        </w:tc>
        <w:tc>
          <w:tcPr>
            <w:tcW w:w="1228"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分支計畫</w:t>
            </w:r>
          </w:p>
        </w:tc>
        <w:tc>
          <w:tcPr>
            <w:tcW w:w="3255"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計畫內容</w:t>
            </w:r>
          </w:p>
        </w:tc>
        <w:tc>
          <w:tcPr>
            <w:tcW w:w="1035"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期程</w:t>
            </w:r>
          </w:p>
        </w:tc>
        <w:tc>
          <w:tcPr>
            <w:tcW w:w="1064"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總經費</w:t>
            </w:r>
          </w:p>
        </w:tc>
        <w:tc>
          <w:tcPr>
            <w:tcW w:w="1092" w:type="dxa"/>
            <w:shd w:val="clear" w:color="auto" w:fill="auto"/>
            <w:vAlign w:val="center"/>
          </w:tcPr>
          <w:p w:rsidR="004F7163" w:rsidRPr="004F7163" w:rsidRDefault="004F7163" w:rsidP="004F7163">
            <w:pPr>
              <w:spacing w:line="320" w:lineRule="exact"/>
              <w:ind w:leftChars="-23" w:left="-50" w:rightChars="-18" w:right="-51" w:hangingChars="6" w:hanging="15"/>
              <w:jc w:val="center"/>
              <w:rPr>
                <w:rFonts w:hAnsi="標楷體"/>
                <w:b/>
                <w:sz w:val="24"/>
                <w:szCs w:val="24"/>
              </w:rPr>
            </w:pPr>
            <w:r w:rsidRPr="004F7163">
              <w:rPr>
                <w:rFonts w:hAnsi="標楷體" w:hint="eastAsia"/>
                <w:b/>
                <w:sz w:val="24"/>
                <w:szCs w:val="24"/>
              </w:rPr>
              <w:t>115年度</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預算數</w:t>
            </w:r>
          </w:p>
        </w:tc>
      </w:tr>
      <w:tr w:rsidR="004F7163" w:rsidRPr="004F7163" w:rsidTr="004F7163">
        <w:trPr>
          <w:trHeight w:val="1202"/>
        </w:trPr>
        <w:tc>
          <w:tcPr>
            <w:tcW w:w="851" w:type="dxa"/>
            <w:shd w:val="clear" w:color="auto" w:fill="auto"/>
            <w:vAlign w:val="center"/>
          </w:tcPr>
          <w:p w:rsidR="004F7163" w:rsidRPr="004F7163" w:rsidRDefault="004F7163" w:rsidP="004F7163">
            <w:pPr>
              <w:spacing w:line="280" w:lineRule="exact"/>
              <w:ind w:leftChars="0" w:left="0" w:rightChars="-39" w:right="-111" w:firstLineChars="0" w:firstLine="0"/>
              <w:jc w:val="left"/>
              <w:rPr>
                <w:sz w:val="24"/>
              </w:rPr>
            </w:pPr>
            <w:r w:rsidRPr="004F7163">
              <w:rPr>
                <w:rFonts w:hint="eastAsia"/>
                <w:sz w:val="24"/>
              </w:rPr>
              <w:lastRenderedPageBreak/>
              <w:t>綜合規劃業務</w:t>
            </w:r>
          </w:p>
        </w:tc>
        <w:tc>
          <w:tcPr>
            <w:tcW w:w="1228" w:type="dxa"/>
            <w:vAlign w:val="center"/>
          </w:tcPr>
          <w:p w:rsidR="004F7163" w:rsidRPr="004F7163" w:rsidRDefault="004F7163" w:rsidP="00482FDA">
            <w:pPr>
              <w:spacing w:line="280" w:lineRule="exact"/>
              <w:ind w:leftChars="0" w:left="0" w:firstLineChars="0" w:firstLine="0"/>
              <w:jc w:val="left"/>
              <w:rPr>
                <w:sz w:val="24"/>
              </w:rPr>
            </w:pPr>
            <w:r w:rsidRPr="004F7163">
              <w:rPr>
                <w:sz w:val="24"/>
              </w:rPr>
              <w:t>文化與AI融合計畫</w:t>
            </w:r>
          </w:p>
        </w:tc>
        <w:tc>
          <w:tcPr>
            <w:tcW w:w="3255" w:type="dxa"/>
          </w:tcPr>
          <w:p w:rsidR="004F7163" w:rsidRPr="004F7163" w:rsidRDefault="004F7163" w:rsidP="004F7163">
            <w:pPr>
              <w:spacing w:line="280" w:lineRule="exact"/>
              <w:ind w:leftChars="0" w:left="246" w:rightChars="-55" w:right="-156" w:hangingChars="101" w:hanging="246"/>
              <w:jc w:val="left"/>
              <w:rPr>
                <w:sz w:val="24"/>
              </w:rPr>
            </w:pPr>
            <w:r w:rsidRPr="004F7163">
              <w:rPr>
                <w:sz w:val="24"/>
              </w:rPr>
              <w:t>1.文化資料匯流平台建置完成。</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2.公務行政助理功能上線服務。</w:t>
            </w:r>
          </w:p>
        </w:tc>
        <w:tc>
          <w:tcPr>
            <w:tcW w:w="1035" w:type="dxa"/>
          </w:tcPr>
          <w:p w:rsidR="004F7163" w:rsidRPr="004F7163" w:rsidRDefault="004F7163" w:rsidP="004F7163">
            <w:pPr>
              <w:adjustRightInd w:val="0"/>
              <w:snapToGrid w:val="0"/>
              <w:spacing w:line="280" w:lineRule="exact"/>
              <w:ind w:leftChars="0" w:left="0" w:rightChars="-42" w:right="-119" w:firstLineChars="0" w:firstLine="0"/>
              <w:jc w:val="left"/>
              <w:rPr>
                <w:sz w:val="24"/>
              </w:rPr>
            </w:pPr>
            <w:r w:rsidRPr="004F7163">
              <w:rPr>
                <w:rFonts w:hint="eastAsia"/>
                <w:sz w:val="24"/>
              </w:rPr>
              <w:t xml:space="preserve">                                                                          </w:t>
            </w:r>
            <w:r w:rsidRPr="004F7163">
              <w:rPr>
                <w:sz w:val="24"/>
              </w:rPr>
              <w:t>115</w:t>
            </w:r>
            <w:r w:rsidRPr="004F7163">
              <w:rPr>
                <w:rFonts w:hint="eastAsia"/>
                <w:sz w:val="24"/>
              </w:rPr>
              <w:t>至</w:t>
            </w:r>
            <w:r w:rsidRPr="004F7163">
              <w:rPr>
                <w:sz w:val="24"/>
              </w:rPr>
              <w:t>119年</w:t>
            </w:r>
            <w:r w:rsidRPr="004F7163">
              <w:rPr>
                <w:rFonts w:hint="eastAsia"/>
                <w:sz w:val="24"/>
              </w:rPr>
              <w:t>度</w:t>
            </w:r>
          </w:p>
        </w:tc>
        <w:tc>
          <w:tcPr>
            <w:tcW w:w="1064" w:type="dxa"/>
            <w:shd w:val="clear" w:color="auto" w:fill="auto"/>
            <w:vAlign w:val="center"/>
          </w:tcPr>
          <w:p w:rsidR="004F7163" w:rsidRPr="004F7163" w:rsidRDefault="004F7163" w:rsidP="00A90C8D">
            <w:pPr>
              <w:ind w:leftChars="0" w:left="0" w:firstLineChars="0" w:firstLine="0"/>
              <w:jc w:val="right"/>
              <w:rPr>
                <w:sz w:val="24"/>
              </w:rPr>
            </w:pPr>
            <w:r w:rsidRPr="004F7163">
              <w:rPr>
                <w:sz w:val="24"/>
              </w:rPr>
              <w:t>183,</w:t>
            </w:r>
            <w:r w:rsidRPr="00A90C8D">
              <w:rPr>
                <w:rFonts w:ascii="Times New Roman"/>
                <w:sz w:val="24"/>
                <w:szCs w:val="24"/>
              </w:rPr>
              <w:t>917</w:t>
            </w:r>
          </w:p>
        </w:tc>
        <w:tc>
          <w:tcPr>
            <w:tcW w:w="1092" w:type="dxa"/>
            <w:shd w:val="clear" w:color="auto" w:fill="auto"/>
            <w:vAlign w:val="center"/>
          </w:tcPr>
          <w:p w:rsidR="004F7163" w:rsidRPr="00A90C8D" w:rsidRDefault="004F7163" w:rsidP="00A90C8D">
            <w:pPr>
              <w:ind w:leftChars="0" w:left="0" w:firstLineChars="0" w:firstLine="0"/>
              <w:jc w:val="right"/>
              <w:rPr>
                <w:rFonts w:ascii="Times New Roman"/>
                <w:sz w:val="24"/>
                <w:szCs w:val="24"/>
              </w:rPr>
            </w:pPr>
            <w:r w:rsidRPr="00A90C8D">
              <w:rPr>
                <w:rFonts w:ascii="Times New Roman"/>
                <w:sz w:val="24"/>
                <w:szCs w:val="24"/>
              </w:rPr>
              <w:t>23,917</w:t>
            </w:r>
          </w:p>
        </w:tc>
      </w:tr>
      <w:tr w:rsidR="004F7163" w:rsidRPr="004F7163" w:rsidTr="00482FDA">
        <w:trPr>
          <w:trHeight w:val="1326"/>
        </w:trPr>
        <w:tc>
          <w:tcPr>
            <w:tcW w:w="851" w:type="dxa"/>
            <w:shd w:val="clear" w:color="auto" w:fill="auto"/>
            <w:vAlign w:val="center"/>
          </w:tcPr>
          <w:p w:rsidR="004F7163" w:rsidRPr="004F7163" w:rsidRDefault="004F7163" w:rsidP="004F7163">
            <w:pPr>
              <w:spacing w:line="280" w:lineRule="exact"/>
              <w:ind w:leftChars="0" w:left="0" w:rightChars="-39" w:right="-111" w:firstLineChars="0" w:firstLine="0"/>
              <w:jc w:val="left"/>
              <w:rPr>
                <w:rFonts w:hint="eastAsia"/>
                <w:sz w:val="24"/>
              </w:rPr>
            </w:pPr>
            <w:r w:rsidRPr="004F7163">
              <w:rPr>
                <w:rFonts w:hint="eastAsia"/>
                <w:sz w:val="24"/>
              </w:rPr>
              <w:t>影視及流行音樂策劃與發展</w:t>
            </w:r>
          </w:p>
        </w:tc>
        <w:tc>
          <w:tcPr>
            <w:tcW w:w="1228" w:type="dxa"/>
            <w:shd w:val="clear" w:color="auto" w:fill="auto"/>
            <w:vAlign w:val="center"/>
          </w:tcPr>
          <w:p w:rsidR="004F7163" w:rsidRPr="004F7163" w:rsidRDefault="004F7163" w:rsidP="00482FDA">
            <w:pPr>
              <w:spacing w:line="280" w:lineRule="exact"/>
              <w:ind w:leftChars="0" w:left="0" w:firstLineChars="0" w:firstLine="0"/>
              <w:jc w:val="left"/>
              <w:rPr>
                <w:rFonts w:hint="eastAsia"/>
                <w:sz w:val="24"/>
              </w:rPr>
            </w:pPr>
            <w:r w:rsidRPr="004F7163">
              <w:rPr>
                <w:rFonts w:ascii="Times New Roman"/>
                <w:sz w:val="24"/>
                <w:szCs w:val="24"/>
              </w:rPr>
              <w:t>AI</w:t>
            </w:r>
            <w:r w:rsidRPr="004F7163">
              <w:rPr>
                <w:rFonts w:ascii="Times New Roman"/>
                <w:sz w:val="24"/>
                <w:szCs w:val="24"/>
              </w:rPr>
              <w:t>創新應用服務計畫</w:t>
            </w:r>
          </w:p>
        </w:tc>
        <w:tc>
          <w:tcPr>
            <w:tcW w:w="3255" w:type="dxa"/>
            <w:shd w:val="clear" w:color="auto" w:fill="auto"/>
          </w:tcPr>
          <w:p w:rsidR="004F7163" w:rsidRPr="004F7163" w:rsidRDefault="004F7163" w:rsidP="004F7163">
            <w:pPr>
              <w:spacing w:line="280" w:lineRule="exact"/>
              <w:ind w:leftChars="0" w:left="246" w:rightChars="-55" w:right="-156" w:hangingChars="101" w:hanging="246"/>
              <w:jc w:val="left"/>
              <w:rPr>
                <w:rFonts w:hint="eastAsia"/>
                <w:sz w:val="24"/>
              </w:rPr>
            </w:pPr>
            <w:r w:rsidRPr="004F7163">
              <w:rPr>
                <w:rFonts w:hint="eastAsia"/>
                <w:sz w:val="24"/>
              </w:rPr>
              <w:t>1.建置及持續優化臺灣手語語料庫及內容(如與緊急災害相關詞彙影片)。</w:t>
            </w:r>
          </w:p>
          <w:p w:rsidR="004F7163" w:rsidRPr="004F7163" w:rsidRDefault="004F7163" w:rsidP="004F7163">
            <w:pPr>
              <w:spacing w:line="280" w:lineRule="exact"/>
              <w:ind w:leftChars="0" w:left="246" w:rightChars="-55" w:right="-156" w:hangingChars="101" w:hanging="246"/>
              <w:jc w:val="left"/>
              <w:rPr>
                <w:rFonts w:hint="eastAsia"/>
                <w:sz w:val="24"/>
              </w:rPr>
            </w:pPr>
            <w:r w:rsidRPr="004F7163">
              <w:rPr>
                <w:rFonts w:hint="eastAsia"/>
                <w:sz w:val="24"/>
              </w:rPr>
              <w:t>2.開發口語文字自動轉換為手語AI模型。</w:t>
            </w:r>
          </w:p>
        </w:tc>
        <w:tc>
          <w:tcPr>
            <w:tcW w:w="1035" w:type="dxa"/>
            <w:shd w:val="clear" w:color="auto" w:fill="auto"/>
            <w:vAlign w:val="center"/>
          </w:tcPr>
          <w:p w:rsidR="004F7163" w:rsidRPr="004F7163" w:rsidRDefault="004F7163" w:rsidP="004F7163">
            <w:pPr>
              <w:spacing w:line="280" w:lineRule="exact"/>
              <w:ind w:leftChars="0" w:left="0" w:rightChars="-36" w:right="-102" w:firstLineChars="0" w:firstLine="0"/>
              <w:jc w:val="left"/>
              <w:rPr>
                <w:rFonts w:hAnsi="標楷體"/>
                <w:sz w:val="24"/>
              </w:rPr>
            </w:pPr>
            <w:r w:rsidRPr="004F7163">
              <w:rPr>
                <w:rFonts w:ascii="Times New Roman"/>
                <w:sz w:val="24"/>
                <w:szCs w:val="24"/>
              </w:rPr>
              <w:t>115</w:t>
            </w:r>
            <w:r w:rsidRPr="004F7163">
              <w:rPr>
                <w:rFonts w:ascii="Times New Roman" w:hint="eastAsia"/>
                <w:sz w:val="24"/>
                <w:szCs w:val="24"/>
              </w:rPr>
              <w:t>至</w:t>
            </w:r>
            <w:r w:rsidRPr="004F7163">
              <w:rPr>
                <w:rFonts w:ascii="Times New Roman"/>
                <w:sz w:val="24"/>
                <w:szCs w:val="24"/>
              </w:rPr>
              <w:t>118</w:t>
            </w:r>
            <w:r w:rsidRPr="004F7163">
              <w:rPr>
                <w:rFonts w:ascii="Times New Roman"/>
                <w:sz w:val="24"/>
                <w:szCs w:val="24"/>
              </w:rPr>
              <w:t>年</w:t>
            </w:r>
            <w:r w:rsidRPr="004F7163">
              <w:rPr>
                <w:rFonts w:ascii="Times New Roman" w:hint="eastAsia"/>
                <w:sz w:val="24"/>
                <w:szCs w:val="24"/>
              </w:rPr>
              <w:t>度</w:t>
            </w:r>
          </w:p>
        </w:tc>
        <w:tc>
          <w:tcPr>
            <w:tcW w:w="1064" w:type="dxa"/>
            <w:shd w:val="clear" w:color="auto" w:fill="auto"/>
            <w:vAlign w:val="center"/>
          </w:tcPr>
          <w:p w:rsidR="004F7163" w:rsidRPr="004F7163" w:rsidRDefault="004F7163" w:rsidP="004F7163">
            <w:pPr>
              <w:ind w:leftChars="0" w:left="0" w:firstLineChars="0" w:firstLine="0"/>
              <w:jc w:val="right"/>
              <w:rPr>
                <w:rFonts w:hAnsi="標楷體"/>
                <w:bCs/>
                <w:sz w:val="24"/>
              </w:rPr>
            </w:pPr>
            <w:r w:rsidRPr="004F7163">
              <w:rPr>
                <w:rFonts w:ascii="Times New Roman"/>
                <w:sz w:val="24"/>
                <w:szCs w:val="24"/>
              </w:rPr>
              <w:t>400,000</w:t>
            </w:r>
          </w:p>
        </w:tc>
        <w:tc>
          <w:tcPr>
            <w:tcW w:w="1092" w:type="dxa"/>
            <w:shd w:val="clear" w:color="auto" w:fill="auto"/>
            <w:vAlign w:val="center"/>
          </w:tcPr>
          <w:p w:rsidR="004F7163" w:rsidRPr="004F7163" w:rsidRDefault="004F7163" w:rsidP="00A90C8D">
            <w:pPr>
              <w:ind w:leftChars="0" w:left="0" w:firstLineChars="0" w:firstLine="0"/>
              <w:jc w:val="right"/>
              <w:rPr>
                <w:rFonts w:hAnsi="標楷體" w:hint="eastAsia"/>
                <w:bCs/>
                <w:sz w:val="24"/>
              </w:rPr>
            </w:pPr>
            <w:r w:rsidRPr="004F7163">
              <w:rPr>
                <w:rFonts w:ascii="Times New Roman"/>
                <w:sz w:val="24"/>
                <w:szCs w:val="24"/>
              </w:rPr>
              <w:t>21,366</w:t>
            </w:r>
          </w:p>
        </w:tc>
      </w:tr>
      <w:tr w:rsidR="004F7163" w:rsidRPr="004F7163" w:rsidTr="004F7163">
        <w:trPr>
          <w:trHeight w:val="1593"/>
        </w:trPr>
        <w:tc>
          <w:tcPr>
            <w:tcW w:w="851" w:type="dxa"/>
            <w:shd w:val="clear" w:color="auto" w:fill="auto"/>
            <w:vAlign w:val="center"/>
          </w:tcPr>
          <w:p w:rsidR="004F7163" w:rsidRPr="004F7163" w:rsidRDefault="004F7163" w:rsidP="004F7163">
            <w:pPr>
              <w:spacing w:line="280" w:lineRule="exact"/>
              <w:ind w:leftChars="0" w:left="0" w:rightChars="-39" w:right="-111" w:firstLineChars="0" w:firstLine="0"/>
              <w:jc w:val="left"/>
              <w:rPr>
                <w:sz w:val="24"/>
              </w:rPr>
            </w:pPr>
            <w:r w:rsidRPr="004F7163">
              <w:rPr>
                <w:rFonts w:hint="eastAsia"/>
                <w:sz w:val="24"/>
              </w:rPr>
              <w:t>文化創意產業發展業務</w:t>
            </w:r>
          </w:p>
        </w:tc>
        <w:tc>
          <w:tcPr>
            <w:tcW w:w="1228" w:type="dxa"/>
            <w:shd w:val="clear" w:color="auto" w:fill="auto"/>
            <w:vAlign w:val="center"/>
          </w:tcPr>
          <w:p w:rsidR="004F7163" w:rsidRPr="004F7163" w:rsidRDefault="004F7163" w:rsidP="004F7163">
            <w:pPr>
              <w:spacing w:line="280" w:lineRule="exact"/>
              <w:ind w:leftChars="0" w:left="0" w:firstLineChars="0" w:firstLine="0"/>
              <w:jc w:val="left"/>
              <w:rPr>
                <w:rFonts w:hint="eastAsia"/>
                <w:sz w:val="24"/>
              </w:rPr>
            </w:pPr>
            <w:r w:rsidRPr="004F7163">
              <w:rPr>
                <w:sz w:val="24"/>
              </w:rPr>
              <w:t>空總臺灣當代文化實驗場第三期整體發展計畫</w:t>
            </w:r>
          </w:p>
        </w:tc>
        <w:tc>
          <w:tcPr>
            <w:tcW w:w="3255" w:type="dxa"/>
          </w:tcPr>
          <w:p w:rsidR="004F7163" w:rsidRPr="004F7163" w:rsidRDefault="004F7163" w:rsidP="004F7163">
            <w:pPr>
              <w:spacing w:line="280" w:lineRule="exact"/>
              <w:ind w:leftChars="0" w:left="246" w:rightChars="-55" w:right="-156" w:hangingChars="101" w:hanging="246"/>
              <w:jc w:val="left"/>
              <w:rPr>
                <w:sz w:val="24"/>
              </w:rPr>
            </w:pPr>
            <w:r w:rsidRPr="004F7163">
              <w:rPr>
                <w:sz w:val="24"/>
              </w:rPr>
              <w:t>1.古蹟及附屬設施修復。</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2.臨時劇場演出空間1座。</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3.計畫補助與實驗支持計畫6項。</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4.主題實驗展演映活動計畫3場(至少2</w:t>
            </w:r>
            <w:r w:rsidR="00310C31">
              <w:rPr>
                <w:rFonts w:hint="eastAsia"/>
                <w:sz w:val="24"/>
              </w:rPr>
              <w:t>萬</w:t>
            </w:r>
            <w:r w:rsidRPr="004F7163">
              <w:rPr>
                <w:sz w:val="24"/>
              </w:rPr>
              <w:t>5,000人次/年)。</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5.文化實驗講座-大型論壇6場(至少250人次/年)。</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6.市民及兒童創意學習講座及課程18場(210人次/年)。</w:t>
            </w:r>
          </w:p>
        </w:tc>
        <w:tc>
          <w:tcPr>
            <w:tcW w:w="1035" w:type="dxa"/>
            <w:shd w:val="clear" w:color="auto" w:fill="auto"/>
            <w:vAlign w:val="center"/>
          </w:tcPr>
          <w:p w:rsidR="004F7163" w:rsidRPr="004F7163" w:rsidRDefault="004F7163" w:rsidP="004F7163">
            <w:pPr>
              <w:spacing w:line="280" w:lineRule="exact"/>
              <w:ind w:leftChars="0" w:left="0" w:rightChars="-36" w:right="-102" w:firstLineChars="0" w:firstLine="0"/>
              <w:jc w:val="left"/>
              <w:rPr>
                <w:sz w:val="24"/>
              </w:rPr>
            </w:pPr>
            <w:r w:rsidRPr="004F7163">
              <w:rPr>
                <w:sz w:val="24"/>
              </w:rPr>
              <w:t>11</w:t>
            </w:r>
            <w:r w:rsidRPr="004F7163">
              <w:rPr>
                <w:rFonts w:hint="eastAsia"/>
                <w:sz w:val="24"/>
              </w:rPr>
              <w:t>5</w:t>
            </w:r>
            <w:r w:rsidRPr="004F7163">
              <w:rPr>
                <w:sz w:val="24"/>
              </w:rPr>
              <w:t>至11</w:t>
            </w:r>
            <w:r w:rsidRPr="004F7163">
              <w:rPr>
                <w:rFonts w:hint="eastAsia"/>
                <w:sz w:val="24"/>
              </w:rPr>
              <w:t>7</w:t>
            </w:r>
            <w:r w:rsidRPr="004F7163">
              <w:rPr>
                <w:sz w:val="24"/>
              </w:rPr>
              <w:t>年</w:t>
            </w:r>
            <w:r w:rsidRPr="004F7163">
              <w:rPr>
                <w:rFonts w:hint="eastAsia"/>
                <w:sz w:val="24"/>
              </w:rPr>
              <w:t>度</w:t>
            </w:r>
          </w:p>
        </w:tc>
        <w:tc>
          <w:tcPr>
            <w:tcW w:w="1064" w:type="dxa"/>
            <w:shd w:val="clear" w:color="auto" w:fill="auto"/>
            <w:vAlign w:val="center"/>
          </w:tcPr>
          <w:p w:rsidR="004F7163" w:rsidRPr="004F7163" w:rsidRDefault="004F7163" w:rsidP="00A90C8D">
            <w:pPr>
              <w:ind w:leftChars="0" w:left="0" w:firstLineChars="0" w:firstLine="0"/>
              <w:jc w:val="right"/>
              <w:rPr>
                <w:sz w:val="24"/>
              </w:rPr>
            </w:pPr>
            <w:r w:rsidRPr="004F7163">
              <w:rPr>
                <w:sz w:val="24"/>
              </w:rPr>
              <w:t>804,123</w:t>
            </w:r>
          </w:p>
        </w:tc>
        <w:tc>
          <w:tcPr>
            <w:tcW w:w="1092" w:type="dxa"/>
            <w:shd w:val="clear" w:color="auto" w:fill="auto"/>
            <w:vAlign w:val="center"/>
          </w:tcPr>
          <w:p w:rsidR="004F7163" w:rsidRPr="004F7163" w:rsidRDefault="004F7163" w:rsidP="00A90C8D">
            <w:pPr>
              <w:ind w:leftChars="0" w:left="0" w:firstLineChars="0" w:firstLine="0"/>
              <w:jc w:val="right"/>
              <w:rPr>
                <w:rFonts w:hint="eastAsia"/>
                <w:sz w:val="24"/>
              </w:rPr>
            </w:pPr>
            <w:r w:rsidRPr="00A90C8D">
              <w:rPr>
                <w:rFonts w:ascii="Times New Roman" w:hint="eastAsia"/>
                <w:sz w:val="24"/>
                <w:szCs w:val="24"/>
              </w:rPr>
              <w:t>118</w:t>
            </w:r>
            <w:r w:rsidRPr="004F7163">
              <w:rPr>
                <w:sz w:val="24"/>
              </w:rPr>
              <w:t>,</w:t>
            </w:r>
            <w:r w:rsidRPr="004F7163">
              <w:rPr>
                <w:rFonts w:hint="eastAsia"/>
                <w:sz w:val="24"/>
              </w:rPr>
              <w:t>000</w:t>
            </w:r>
          </w:p>
        </w:tc>
      </w:tr>
      <w:tr w:rsidR="00310C31" w:rsidRPr="004F7163" w:rsidTr="00310C31">
        <w:trPr>
          <w:trHeight w:val="1540"/>
        </w:trPr>
        <w:tc>
          <w:tcPr>
            <w:tcW w:w="851" w:type="dxa"/>
            <w:shd w:val="clear" w:color="auto" w:fill="auto"/>
            <w:vAlign w:val="center"/>
          </w:tcPr>
          <w:p w:rsidR="00310C31" w:rsidRPr="004F7163" w:rsidRDefault="00310C31" w:rsidP="004F7163">
            <w:pPr>
              <w:spacing w:line="280" w:lineRule="exact"/>
              <w:ind w:leftChars="0" w:left="0" w:rightChars="-39" w:right="-111" w:firstLineChars="0" w:firstLine="0"/>
              <w:jc w:val="left"/>
              <w:rPr>
                <w:rFonts w:hint="eastAsia"/>
                <w:sz w:val="24"/>
              </w:rPr>
            </w:pPr>
            <w:r>
              <w:rPr>
                <w:rFonts w:hint="eastAsia"/>
                <w:sz w:val="24"/>
              </w:rPr>
              <w:t>文化部之</w:t>
            </w:r>
            <w:r w:rsidRPr="00310C31">
              <w:rPr>
                <w:rFonts w:hint="eastAsia"/>
                <w:sz w:val="24"/>
              </w:rPr>
              <w:t>「</w:t>
            </w:r>
            <w:r w:rsidR="001D5DD0">
              <w:rPr>
                <w:rFonts w:hint="eastAsia"/>
                <w:sz w:val="24"/>
              </w:rPr>
              <w:t>綜合規劃業務</w:t>
            </w:r>
            <w:r w:rsidRPr="00310C31">
              <w:rPr>
                <w:rFonts w:hint="eastAsia"/>
                <w:sz w:val="24"/>
              </w:rPr>
              <w:t>」</w:t>
            </w:r>
            <w:r w:rsidR="001D5DD0">
              <w:rPr>
                <w:rFonts w:hint="eastAsia"/>
                <w:sz w:val="24"/>
              </w:rPr>
              <w:t>等</w:t>
            </w:r>
          </w:p>
        </w:tc>
        <w:tc>
          <w:tcPr>
            <w:tcW w:w="1228" w:type="dxa"/>
            <w:vMerge w:val="restart"/>
            <w:vAlign w:val="center"/>
          </w:tcPr>
          <w:p w:rsidR="00310C31" w:rsidRPr="004F7163" w:rsidRDefault="00310C31" w:rsidP="00482FDA">
            <w:pPr>
              <w:spacing w:line="280" w:lineRule="exact"/>
              <w:ind w:leftChars="0" w:left="0" w:rightChars="-39" w:right="-111" w:firstLineChars="0" w:firstLine="0"/>
              <w:jc w:val="left"/>
              <w:rPr>
                <w:sz w:val="24"/>
              </w:rPr>
            </w:pPr>
            <w:r w:rsidRPr="004F7163">
              <w:rPr>
                <w:sz w:val="24"/>
              </w:rPr>
              <w:t>人文</w:t>
            </w:r>
            <w:r w:rsidRPr="00482FDA">
              <w:rPr>
                <w:rFonts w:hAnsi="標楷體"/>
                <w:sz w:val="24"/>
              </w:rPr>
              <w:t>驅動</w:t>
            </w:r>
            <w:r w:rsidRPr="004F7163">
              <w:rPr>
                <w:sz w:val="24"/>
              </w:rPr>
              <w:t>之未來社會關鍵課題研究與發展計畫</w:t>
            </w:r>
          </w:p>
        </w:tc>
        <w:tc>
          <w:tcPr>
            <w:tcW w:w="3255" w:type="dxa"/>
            <w:vMerge w:val="restart"/>
          </w:tcPr>
          <w:p w:rsidR="00310C31" w:rsidRPr="004F7163" w:rsidRDefault="00310C31" w:rsidP="004F7163">
            <w:pPr>
              <w:spacing w:line="280" w:lineRule="exact"/>
              <w:ind w:leftChars="0" w:left="246" w:rightChars="-55" w:right="-156" w:hangingChars="101" w:hanging="246"/>
              <w:jc w:val="left"/>
              <w:rPr>
                <w:rFonts w:hint="eastAsia"/>
                <w:sz w:val="24"/>
              </w:rPr>
            </w:pPr>
            <w:r w:rsidRPr="004F7163">
              <w:rPr>
                <w:rFonts w:hint="eastAsia"/>
                <w:sz w:val="24"/>
              </w:rPr>
              <w:t>1.透過輔導，於文化基地場域辦理與科技人主題相關交流活動至少2場次。</w:t>
            </w:r>
          </w:p>
          <w:p w:rsidR="00310C31" w:rsidRPr="004F7163" w:rsidRDefault="00310C31" w:rsidP="004F7163">
            <w:pPr>
              <w:spacing w:line="280" w:lineRule="exact"/>
              <w:ind w:leftChars="0" w:left="246" w:rightChars="-55" w:right="-156" w:hangingChars="101" w:hanging="246"/>
              <w:jc w:val="left"/>
              <w:rPr>
                <w:rFonts w:hint="eastAsia"/>
                <w:sz w:val="24"/>
              </w:rPr>
            </w:pPr>
            <w:r w:rsidRPr="004F7163">
              <w:rPr>
                <w:rFonts w:hint="eastAsia"/>
                <w:sz w:val="24"/>
              </w:rPr>
              <w:t>2.整合物聯網技術於文資防災應用，示範優化古蹟歷史建築等文化資產災害防護效能。</w:t>
            </w:r>
          </w:p>
          <w:p w:rsidR="00310C31" w:rsidRPr="004F7163" w:rsidRDefault="00310C31" w:rsidP="00EB3814">
            <w:pPr>
              <w:spacing w:line="280" w:lineRule="exact"/>
              <w:ind w:leftChars="0" w:left="246" w:rightChars="-36" w:right="-102" w:hangingChars="101" w:hanging="246"/>
              <w:jc w:val="left"/>
              <w:rPr>
                <w:sz w:val="24"/>
              </w:rPr>
            </w:pPr>
            <w:r w:rsidRPr="004F7163">
              <w:rPr>
                <w:rFonts w:hint="eastAsia"/>
                <w:sz w:val="24"/>
              </w:rPr>
              <w:t>3.研究國內AI技術應用於文化產業供需現況並蒐研國際文化產業應用AI之標竿案例。</w:t>
            </w:r>
          </w:p>
        </w:tc>
        <w:tc>
          <w:tcPr>
            <w:tcW w:w="1035" w:type="dxa"/>
            <w:vMerge w:val="restart"/>
            <w:vAlign w:val="center"/>
          </w:tcPr>
          <w:p w:rsidR="00310C31" w:rsidRPr="004F7163" w:rsidRDefault="00310C31" w:rsidP="004F7163">
            <w:pPr>
              <w:spacing w:line="280" w:lineRule="exact"/>
              <w:ind w:leftChars="0" w:left="0" w:rightChars="-36" w:right="-102" w:firstLineChars="0" w:firstLine="0"/>
              <w:jc w:val="left"/>
              <w:rPr>
                <w:sz w:val="24"/>
              </w:rPr>
            </w:pPr>
            <w:r w:rsidRPr="004F7163">
              <w:rPr>
                <w:sz w:val="24"/>
              </w:rPr>
              <w:t>115</w:t>
            </w:r>
            <w:r w:rsidRPr="004F7163">
              <w:rPr>
                <w:rFonts w:hint="eastAsia"/>
                <w:sz w:val="24"/>
              </w:rPr>
              <w:t>至</w:t>
            </w:r>
            <w:r w:rsidRPr="004F7163">
              <w:rPr>
                <w:sz w:val="24"/>
              </w:rPr>
              <w:t>118年</w:t>
            </w:r>
            <w:r w:rsidRPr="004F7163">
              <w:rPr>
                <w:rFonts w:hint="eastAsia"/>
                <w:sz w:val="24"/>
              </w:rPr>
              <w:t xml:space="preserve">度                                         </w:t>
            </w:r>
          </w:p>
        </w:tc>
        <w:tc>
          <w:tcPr>
            <w:tcW w:w="1064" w:type="dxa"/>
            <w:vMerge w:val="restart"/>
            <w:shd w:val="clear" w:color="auto" w:fill="auto"/>
            <w:vAlign w:val="center"/>
          </w:tcPr>
          <w:p w:rsidR="00310C31" w:rsidRPr="00A90C8D" w:rsidRDefault="00310C31" w:rsidP="00A90C8D">
            <w:pPr>
              <w:ind w:leftChars="0" w:left="0" w:firstLineChars="0" w:firstLine="0"/>
              <w:jc w:val="right"/>
              <w:rPr>
                <w:rFonts w:ascii="Times New Roman"/>
                <w:sz w:val="24"/>
                <w:szCs w:val="24"/>
              </w:rPr>
            </w:pPr>
            <w:r w:rsidRPr="00A90C8D">
              <w:rPr>
                <w:rFonts w:ascii="Times New Roman"/>
                <w:sz w:val="24"/>
                <w:szCs w:val="24"/>
              </w:rPr>
              <w:t>525,933</w:t>
            </w:r>
          </w:p>
        </w:tc>
        <w:tc>
          <w:tcPr>
            <w:tcW w:w="1092" w:type="dxa"/>
            <w:vMerge w:val="restart"/>
            <w:shd w:val="clear" w:color="auto" w:fill="auto"/>
            <w:vAlign w:val="center"/>
          </w:tcPr>
          <w:p w:rsidR="00310C31" w:rsidRDefault="00310C31" w:rsidP="00A90C8D">
            <w:pPr>
              <w:ind w:leftChars="0" w:left="0" w:firstLineChars="0" w:firstLine="0"/>
              <w:jc w:val="right"/>
              <w:rPr>
                <w:rFonts w:ascii="Times New Roman"/>
                <w:sz w:val="24"/>
                <w:szCs w:val="24"/>
              </w:rPr>
            </w:pPr>
            <w:r w:rsidRPr="00A90C8D">
              <w:rPr>
                <w:rFonts w:ascii="Times New Roman" w:hint="eastAsia"/>
                <w:sz w:val="24"/>
                <w:szCs w:val="24"/>
              </w:rPr>
              <w:t>118</w:t>
            </w:r>
            <w:r w:rsidRPr="00A90C8D">
              <w:rPr>
                <w:rFonts w:ascii="Times New Roman"/>
                <w:sz w:val="24"/>
                <w:szCs w:val="24"/>
              </w:rPr>
              <w:t>,</w:t>
            </w:r>
            <w:r w:rsidRPr="00A90C8D">
              <w:rPr>
                <w:rFonts w:ascii="Times New Roman" w:hint="eastAsia"/>
                <w:sz w:val="24"/>
                <w:szCs w:val="24"/>
              </w:rPr>
              <w:t>233</w:t>
            </w:r>
          </w:p>
          <w:p w:rsidR="001D5DD0" w:rsidRPr="00A90C8D" w:rsidRDefault="001D5DD0" w:rsidP="005800B5">
            <w:pPr>
              <w:spacing w:line="280" w:lineRule="exact"/>
              <w:ind w:leftChars="-32" w:left="-67" w:rightChars="-37" w:right="-105" w:hangingChars="10" w:hanging="24"/>
              <w:rPr>
                <w:rFonts w:ascii="Times New Roman"/>
                <w:sz w:val="24"/>
                <w:szCs w:val="24"/>
              </w:rPr>
            </w:pPr>
            <w:r>
              <w:rPr>
                <w:rFonts w:ascii="Times New Roman" w:hint="eastAsia"/>
                <w:sz w:val="24"/>
                <w:szCs w:val="24"/>
              </w:rPr>
              <w:t>(</w:t>
            </w:r>
            <w:r>
              <w:rPr>
                <w:rFonts w:ascii="Times New Roman" w:hint="eastAsia"/>
                <w:sz w:val="24"/>
                <w:szCs w:val="24"/>
              </w:rPr>
              <w:t>文化部</w:t>
            </w:r>
            <w:r>
              <w:rPr>
                <w:rFonts w:ascii="Times New Roman" w:hint="eastAsia"/>
                <w:sz w:val="24"/>
                <w:szCs w:val="24"/>
              </w:rPr>
              <w:t>8</w:t>
            </w:r>
            <w:r>
              <w:rPr>
                <w:rFonts w:ascii="Times New Roman"/>
                <w:sz w:val="24"/>
                <w:szCs w:val="24"/>
              </w:rPr>
              <w:t>,</w:t>
            </w:r>
            <w:r w:rsidR="005800B5">
              <w:rPr>
                <w:rFonts w:ascii="Times New Roman" w:hint="eastAsia"/>
                <w:sz w:val="24"/>
                <w:szCs w:val="24"/>
              </w:rPr>
              <w:t xml:space="preserve"> 0</w:t>
            </w:r>
            <w:r>
              <w:rPr>
                <w:rFonts w:ascii="Times New Roman" w:hint="eastAsia"/>
                <w:sz w:val="24"/>
                <w:szCs w:val="24"/>
              </w:rPr>
              <w:t>47</w:t>
            </w:r>
            <w:r w:rsidR="005800B5">
              <w:rPr>
                <w:rFonts w:ascii="Times New Roman" w:hint="eastAsia"/>
                <w:sz w:val="24"/>
                <w:szCs w:val="24"/>
              </w:rPr>
              <w:t>萬</w:t>
            </w:r>
            <w:r>
              <w:rPr>
                <w:rFonts w:ascii="Times New Roman" w:hint="eastAsia"/>
                <w:sz w:val="24"/>
                <w:szCs w:val="24"/>
              </w:rPr>
              <w:t>5</w:t>
            </w:r>
            <w:r w:rsidR="005800B5">
              <w:rPr>
                <w:rFonts w:ascii="Times New Roman" w:hint="eastAsia"/>
                <w:sz w:val="24"/>
                <w:szCs w:val="24"/>
              </w:rPr>
              <w:t>千元</w:t>
            </w:r>
            <w:r>
              <w:rPr>
                <w:rFonts w:ascii="Times New Roman" w:hint="eastAsia"/>
                <w:sz w:val="24"/>
                <w:szCs w:val="24"/>
              </w:rPr>
              <w:t>；文化資產局</w:t>
            </w:r>
            <w:r>
              <w:rPr>
                <w:rFonts w:ascii="Times New Roman" w:hint="eastAsia"/>
                <w:sz w:val="24"/>
                <w:szCs w:val="24"/>
              </w:rPr>
              <w:t>3</w:t>
            </w:r>
            <w:r w:rsidR="005800B5">
              <w:rPr>
                <w:rFonts w:ascii="Times New Roman"/>
                <w:sz w:val="24"/>
                <w:szCs w:val="24"/>
              </w:rPr>
              <w:t>,</w:t>
            </w:r>
            <w:r>
              <w:rPr>
                <w:rFonts w:ascii="Times New Roman" w:hint="eastAsia"/>
                <w:sz w:val="24"/>
                <w:szCs w:val="24"/>
              </w:rPr>
              <w:t>775</w:t>
            </w:r>
            <w:r w:rsidR="005800B5">
              <w:rPr>
                <w:rFonts w:ascii="Times New Roman" w:hint="eastAsia"/>
                <w:sz w:val="24"/>
                <w:szCs w:val="24"/>
              </w:rPr>
              <w:t>萬</w:t>
            </w:r>
            <w:r>
              <w:rPr>
                <w:rFonts w:ascii="Times New Roman" w:hint="eastAsia"/>
                <w:sz w:val="24"/>
                <w:szCs w:val="24"/>
              </w:rPr>
              <w:t>8</w:t>
            </w:r>
            <w:r w:rsidR="005800B5">
              <w:rPr>
                <w:rFonts w:ascii="Times New Roman" w:hint="eastAsia"/>
                <w:sz w:val="24"/>
                <w:szCs w:val="24"/>
              </w:rPr>
              <w:t>千元</w:t>
            </w:r>
            <w:r>
              <w:rPr>
                <w:rFonts w:ascii="Times New Roman" w:hint="eastAsia"/>
                <w:sz w:val="24"/>
                <w:szCs w:val="24"/>
              </w:rPr>
              <w:t>)</w:t>
            </w:r>
          </w:p>
        </w:tc>
      </w:tr>
      <w:tr w:rsidR="00310C31" w:rsidRPr="004F7163" w:rsidTr="00482FDA">
        <w:trPr>
          <w:trHeight w:val="1540"/>
        </w:trPr>
        <w:tc>
          <w:tcPr>
            <w:tcW w:w="851" w:type="dxa"/>
            <w:shd w:val="clear" w:color="auto" w:fill="auto"/>
            <w:vAlign w:val="center"/>
          </w:tcPr>
          <w:p w:rsidR="00310C31" w:rsidRPr="004F7163" w:rsidRDefault="001D5DD0" w:rsidP="004F7163">
            <w:pPr>
              <w:spacing w:line="280" w:lineRule="exact"/>
              <w:ind w:leftChars="0" w:left="0" w:rightChars="-39" w:right="-111" w:firstLineChars="0" w:firstLine="0"/>
              <w:jc w:val="left"/>
              <w:rPr>
                <w:rFonts w:hint="eastAsia"/>
                <w:sz w:val="24"/>
              </w:rPr>
            </w:pPr>
            <w:r>
              <w:rPr>
                <w:rFonts w:hint="eastAsia"/>
                <w:sz w:val="24"/>
              </w:rPr>
              <w:t>文化資產局之</w:t>
            </w:r>
            <w:r w:rsidR="00310C31" w:rsidRPr="00310C31">
              <w:rPr>
                <w:rFonts w:hint="eastAsia"/>
                <w:sz w:val="24"/>
              </w:rPr>
              <w:t>「</w:t>
            </w:r>
            <w:r>
              <w:rPr>
                <w:rFonts w:hint="eastAsia"/>
                <w:sz w:val="24"/>
              </w:rPr>
              <w:t>文化資產業務</w:t>
            </w:r>
            <w:r w:rsidR="00310C31" w:rsidRPr="00310C31">
              <w:rPr>
                <w:rFonts w:hint="eastAsia"/>
                <w:sz w:val="24"/>
              </w:rPr>
              <w:t>」</w:t>
            </w:r>
          </w:p>
        </w:tc>
        <w:tc>
          <w:tcPr>
            <w:tcW w:w="1228" w:type="dxa"/>
            <w:vMerge/>
            <w:vAlign w:val="center"/>
          </w:tcPr>
          <w:p w:rsidR="00310C31" w:rsidRPr="004F7163" w:rsidRDefault="00310C31" w:rsidP="00482FDA">
            <w:pPr>
              <w:spacing w:line="280" w:lineRule="exact"/>
              <w:ind w:leftChars="0" w:left="0" w:rightChars="-39" w:right="-111" w:firstLineChars="0" w:firstLine="0"/>
              <w:jc w:val="left"/>
              <w:rPr>
                <w:sz w:val="24"/>
              </w:rPr>
            </w:pPr>
          </w:p>
        </w:tc>
        <w:tc>
          <w:tcPr>
            <w:tcW w:w="3255" w:type="dxa"/>
            <w:vMerge/>
          </w:tcPr>
          <w:p w:rsidR="00310C31" w:rsidRPr="004F7163" w:rsidRDefault="00310C31" w:rsidP="004F7163">
            <w:pPr>
              <w:spacing w:line="280" w:lineRule="exact"/>
              <w:ind w:leftChars="0" w:left="246" w:rightChars="-55" w:right="-156" w:hangingChars="101" w:hanging="246"/>
              <w:jc w:val="left"/>
              <w:rPr>
                <w:rFonts w:hint="eastAsia"/>
                <w:sz w:val="24"/>
              </w:rPr>
            </w:pPr>
          </w:p>
        </w:tc>
        <w:tc>
          <w:tcPr>
            <w:tcW w:w="1035" w:type="dxa"/>
            <w:vMerge/>
            <w:vAlign w:val="center"/>
          </w:tcPr>
          <w:p w:rsidR="00310C31" w:rsidRPr="004F7163" w:rsidRDefault="00310C31" w:rsidP="004F7163">
            <w:pPr>
              <w:spacing w:line="280" w:lineRule="exact"/>
              <w:ind w:leftChars="0" w:left="0" w:rightChars="-36" w:right="-102" w:firstLineChars="0" w:firstLine="0"/>
              <w:jc w:val="left"/>
              <w:rPr>
                <w:sz w:val="24"/>
              </w:rPr>
            </w:pPr>
          </w:p>
        </w:tc>
        <w:tc>
          <w:tcPr>
            <w:tcW w:w="1064" w:type="dxa"/>
            <w:vMerge/>
            <w:shd w:val="clear" w:color="auto" w:fill="auto"/>
            <w:vAlign w:val="center"/>
          </w:tcPr>
          <w:p w:rsidR="00310C31" w:rsidRPr="00A90C8D" w:rsidRDefault="00310C31" w:rsidP="00A90C8D">
            <w:pPr>
              <w:ind w:leftChars="0" w:left="0" w:firstLineChars="0" w:firstLine="0"/>
              <w:jc w:val="right"/>
              <w:rPr>
                <w:rFonts w:ascii="Times New Roman"/>
                <w:sz w:val="24"/>
                <w:szCs w:val="24"/>
              </w:rPr>
            </w:pPr>
          </w:p>
        </w:tc>
        <w:tc>
          <w:tcPr>
            <w:tcW w:w="1092" w:type="dxa"/>
            <w:vMerge/>
            <w:shd w:val="clear" w:color="auto" w:fill="auto"/>
            <w:vAlign w:val="center"/>
          </w:tcPr>
          <w:p w:rsidR="00310C31" w:rsidRPr="00A90C8D" w:rsidRDefault="00310C31" w:rsidP="00A90C8D">
            <w:pPr>
              <w:ind w:leftChars="0" w:left="0" w:firstLineChars="0" w:firstLine="0"/>
              <w:jc w:val="right"/>
              <w:rPr>
                <w:rFonts w:ascii="Times New Roman" w:hint="eastAsia"/>
                <w:sz w:val="24"/>
                <w:szCs w:val="24"/>
              </w:rPr>
            </w:pPr>
          </w:p>
        </w:tc>
      </w:tr>
    </w:tbl>
    <w:p w:rsidR="004F7163" w:rsidRPr="004F7163" w:rsidRDefault="004F7163" w:rsidP="004F7163">
      <w:pPr>
        <w:spacing w:line="300" w:lineRule="exact"/>
        <w:ind w:leftChars="0" w:left="0" w:firstLineChars="0" w:firstLine="0"/>
        <w:jc w:val="left"/>
        <w:rPr>
          <w:sz w:val="24"/>
        </w:rPr>
      </w:pPr>
      <w:r w:rsidRPr="004F7163">
        <w:rPr>
          <w:rFonts w:hint="eastAsia"/>
          <w:sz w:val="24"/>
        </w:rPr>
        <w:t>資料來源：文化部提供。</w:t>
      </w:r>
    </w:p>
    <w:p w:rsidR="003A6D2B" w:rsidRPr="003F1456" w:rsidRDefault="004F7163" w:rsidP="00D30276">
      <w:pPr>
        <w:ind w:left="567" w:firstLine="567"/>
      </w:pPr>
      <w:r w:rsidRPr="004F7163">
        <w:rPr>
          <w:rFonts w:hAnsi="標楷體" w:hint="eastAsia"/>
        </w:rPr>
        <w:t>綜上，文化部</w:t>
      </w:r>
      <w:r w:rsidRPr="004F7163">
        <w:rPr>
          <w:rFonts w:hAnsi="標楷體"/>
        </w:rPr>
        <w:t>115</w:t>
      </w:r>
      <w:r w:rsidRPr="004F7163">
        <w:rPr>
          <w:rFonts w:hAnsi="標楷體" w:hint="eastAsia"/>
        </w:rPr>
        <w:t>年度預算案編列「文化與AI融合創新計畫」、「人文驅動之未來社會關鍵課題研究與發展計畫」、「AI創新應用服務計畫」、「空總</w:t>
      </w:r>
      <w:r w:rsidR="00B004ED">
        <w:rPr>
          <w:rFonts w:hAnsi="標楷體" w:hint="eastAsia"/>
        </w:rPr>
        <w:t>臺灣</w:t>
      </w:r>
      <w:r w:rsidRPr="004F7163">
        <w:rPr>
          <w:rFonts w:hAnsi="標楷體" w:hint="eastAsia"/>
        </w:rPr>
        <w:t>當代文化實驗場第三期整體發展計畫」</w:t>
      </w:r>
      <w:r w:rsidRPr="004F7163">
        <w:rPr>
          <w:rFonts w:hAnsi="標楷體"/>
        </w:rPr>
        <w:t>等4</w:t>
      </w:r>
      <w:r w:rsidRPr="004F7163">
        <w:rPr>
          <w:rFonts w:hAnsi="標楷體" w:hint="eastAsia"/>
        </w:rPr>
        <w:t>項跨年期執行之新興計畫，因計畫尚未核定，且未於預算案中「跨年期計畫概況表」列明全部計畫內容及所需經費，重大施政計畫之規劃及預算編製作業，未盡周延詳實，允宜檢討改善，俾利審議及外界監督。</w:t>
      </w:r>
      <w:bookmarkEnd w:id="4"/>
      <w:bookmarkEnd w:id="0"/>
      <w:bookmarkEnd w:id="1"/>
      <w:bookmarkEnd w:id="2"/>
    </w:p>
    <w:sectPr w:rsidR="003A6D2B" w:rsidRPr="003F145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7F7BD6" w:rsidRDefault="009A4458" w:rsidP="004F7163">
      <w:pPr>
        <w:pStyle w:val="142"/>
        <w:ind w:left="134" w:hangingChars="55" w:hanging="134"/>
        <w:jc w:val="both"/>
        <w:rPr>
          <w:szCs w:val="24"/>
        </w:rPr>
      </w:pPr>
      <w:r w:rsidRPr="007F7BD6">
        <w:rPr>
          <w:rStyle w:val="af7"/>
          <w:szCs w:val="24"/>
        </w:rPr>
        <w:footnoteRef/>
      </w:r>
      <w:r w:rsidRPr="007F7BD6">
        <w:rPr>
          <w:rFonts w:hint="eastAsia"/>
          <w:szCs w:val="24"/>
        </w:rPr>
        <w:t>預算法第46</w:t>
      </w:r>
      <w:r w:rsidRPr="007F7BD6">
        <w:rPr>
          <w:szCs w:val="24"/>
        </w:rPr>
        <w:t>條</w:t>
      </w:r>
      <w:r>
        <w:rPr>
          <w:rFonts w:hint="eastAsia"/>
          <w:szCs w:val="24"/>
        </w:rPr>
        <w:t>規定</w:t>
      </w:r>
      <w:r w:rsidRPr="007F7BD6">
        <w:rPr>
          <w:szCs w:val="24"/>
        </w:rPr>
        <w:t>：「</w:t>
      </w:r>
      <w:r w:rsidRPr="007F7BD6">
        <w:rPr>
          <w:rFonts w:hint="eastAsia"/>
          <w:szCs w:val="24"/>
        </w:rPr>
        <w:t>中央政府總預算案與附屬單位預算及其綜計表，經行政院會議決定後，交由中央主計機關彙編，由行政院於會計年度開始4個月前提出立法院審議，並附送施政計畫。」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276"/>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A876DD4-B740-4A3C-B36E-4A766B276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9B3C2-BB5C-4AFC-BD0D-F3388CEC2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323</Words>
  <Characters>1845</Characters>
  <Application>Microsoft Office Word</Application>
  <DocSecurity>0</DocSecurity>
  <Lines>15</Lines>
  <Paragraphs>4</Paragraphs>
  <ScaleCrop>false</ScaleCrop>
  <Company/>
  <LinksUpToDate>false</LinksUpToDate>
  <CharactersWithSpaces>2164</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