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4F3103" w:rsidRPr="00B965DF" w:rsidRDefault="0074500A" w:rsidP="004F3103">
      <w:pPr>
        <w:pStyle w:val="14"/>
        <w:ind w:left="567" w:hanging="567"/>
        <w:rPr>
          <w:rFonts w:hint="eastAsia"/>
          <w:color w:val="000000"/>
        </w:rPr>
      </w:pPr>
      <w:bookmarkStart w:id="3" w:name="_Toc208997594"/>
      <w:bookmarkStart w:id="4" w:name="_Toc276483812"/>
      <w:bookmarkStart w:id="5" w:name="_Toc495221727"/>
      <w:bookmarkStart w:id="6" w:name="_Toc464543013"/>
      <w:bookmarkStart w:id="7" w:name="_Toc211349999"/>
      <w:bookmarkStart w:id="8" w:name="_Toc212709829"/>
      <w:r>
        <w:rPr>
          <w:rFonts w:hint="eastAsia"/>
          <w:color w:val="000000"/>
        </w:rPr>
        <w:t>一四</w:t>
      </w:r>
      <w:r w:rsidR="004F3103" w:rsidRPr="00B965DF">
        <w:rPr>
          <w:rFonts w:hint="eastAsia"/>
          <w:color w:val="000000"/>
        </w:rPr>
        <w:t>、新增「深度節能-用戶導入ESCO行動計畫」推動服務業節能診斷輔導</w:t>
      </w:r>
      <w:r w:rsidR="004F3103" w:rsidRPr="00B965DF">
        <w:rPr>
          <w:rFonts w:hAnsi="標楷體" w:hint="eastAsia"/>
          <w:color w:val="000000"/>
        </w:rPr>
        <w:t>，允宜建立受</w:t>
      </w:r>
      <w:r w:rsidR="004F3103" w:rsidRPr="00B965DF">
        <w:rPr>
          <w:rFonts w:hint="eastAsia"/>
          <w:color w:val="000000"/>
        </w:rPr>
        <w:t>輔導業者後續配合落實執行之</w:t>
      </w:r>
      <w:r w:rsidR="004F3103" w:rsidRPr="00AC4F8A">
        <w:rPr>
          <w:rFonts w:hAnsi="標楷體" w:hint="eastAsia"/>
          <w:color w:val="000000"/>
        </w:rPr>
        <w:t>追蹤控管</w:t>
      </w:r>
      <w:r w:rsidR="004F3103">
        <w:rPr>
          <w:rFonts w:hAnsi="標楷體" w:hint="eastAsia"/>
          <w:color w:val="000000"/>
        </w:rPr>
        <w:t>機制</w:t>
      </w:r>
      <w:r w:rsidR="004F3103" w:rsidRPr="00B965DF">
        <w:rPr>
          <w:rFonts w:hAnsi="標楷體" w:hint="eastAsia"/>
          <w:color w:val="000000"/>
        </w:rPr>
        <w:t>，以提高成效</w:t>
      </w:r>
      <w:bookmarkEnd w:id="7"/>
      <w:bookmarkEnd w:id="8"/>
    </w:p>
    <w:p w:rsidR="004F3103" w:rsidRPr="00B965DF" w:rsidRDefault="004F3103" w:rsidP="004F3103">
      <w:pPr>
        <w:ind w:left="566" w:firstLine="566"/>
        <w:rPr>
          <w:rFonts w:hAnsi="標楷體" w:hint="eastAsia"/>
          <w:color w:val="000000"/>
        </w:rPr>
      </w:pPr>
      <w:r w:rsidRPr="00B965DF">
        <w:rPr>
          <w:rFonts w:hAnsi="標楷體" w:hint="eastAsia"/>
          <w:color w:val="000000"/>
        </w:rPr>
        <w:t>商業署115年度預算案於「推動商業服務業升級成長-提升服務成長動能」項下，新增辦理</w:t>
      </w:r>
      <w:r w:rsidRPr="00B965DF">
        <w:rPr>
          <w:rFonts w:hint="eastAsia"/>
          <w:color w:val="000000"/>
        </w:rPr>
        <w:t>「深度節能-用戶導入ESCO行動計畫-跨部會ESCO輔導顧問團及經濟部節能服務團計畫」</w:t>
      </w:r>
      <w:r w:rsidRPr="00B965DF">
        <w:rPr>
          <w:rFonts w:hAnsi="標楷體" w:hint="eastAsia"/>
          <w:color w:val="000000"/>
        </w:rPr>
        <w:t>，</w:t>
      </w:r>
      <w:r w:rsidRPr="00B965DF">
        <w:rPr>
          <w:rFonts w:hint="eastAsia"/>
          <w:color w:val="000000"/>
        </w:rPr>
        <w:t>總經費2</w:t>
      </w:r>
      <w:r w:rsidRPr="00B965DF">
        <w:rPr>
          <w:rFonts w:hAnsi="標楷體" w:hint="eastAsia"/>
          <w:color w:val="000000"/>
        </w:rPr>
        <w:t>億3</w:t>
      </w:r>
      <w:r w:rsidRPr="00B965DF">
        <w:rPr>
          <w:rFonts w:hAnsi="標楷體"/>
          <w:color w:val="000000"/>
        </w:rPr>
        <w:t>,000</w:t>
      </w:r>
      <w:r w:rsidRPr="00B965DF">
        <w:rPr>
          <w:rFonts w:hAnsi="標楷體" w:hint="eastAsia"/>
          <w:color w:val="000000"/>
        </w:rPr>
        <w:t>萬元，執行期間115</w:t>
      </w:r>
      <w:r>
        <w:rPr>
          <w:rFonts w:hAnsi="標楷體" w:hint="eastAsia"/>
          <w:color w:val="000000"/>
        </w:rPr>
        <w:t>至</w:t>
      </w:r>
      <w:r w:rsidRPr="00B965DF">
        <w:rPr>
          <w:rFonts w:hAnsi="標楷體" w:hint="eastAsia"/>
          <w:color w:val="000000"/>
        </w:rPr>
        <w:t>116年，115年度編列第1年度經費1億1,500萬元，推動服務業節能輔導工作。</w:t>
      </w:r>
      <w:r w:rsidRPr="00B965DF">
        <w:rPr>
          <w:rFonts w:hAnsi="標楷體"/>
          <w:color w:val="000000"/>
        </w:rPr>
        <w:t>經查</w:t>
      </w:r>
      <w:r w:rsidRPr="00B965DF">
        <w:rPr>
          <w:rFonts w:hAnsi="標楷體" w:hint="eastAsia"/>
          <w:color w:val="000000"/>
        </w:rPr>
        <w:t>：</w:t>
      </w:r>
    </w:p>
    <w:p w:rsidR="004F3103" w:rsidRPr="00B965DF" w:rsidRDefault="004F3103" w:rsidP="004F3103">
      <w:pPr>
        <w:pStyle w:val="a5"/>
        <w:ind w:left="849" w:hanging="283"/>
        <w:rPr>
          <w:b/>
          <w:bCs/>
          <w:color w:val="000000"/>
        </w:rPr>
      </w:pPr>
      <w:r w:rsidRPr="00B965DF">
        <w:rPr>
          <w:rFonts w:hint="eastAsia"/>
          <w:b/>
          <w:bCs/>
          <w:color w:val="000000"/>
        </w:rPr>
        <w:t>(一)計畫內容</w:t>
      </w:r>
    </w:p>
    <w:p w:rsidR="004F3103" w:rsidRPr="00B965DF" w:rsidRDefault="004F3103" w:rsidP="004F3103">
      <w:pPr>
        <w:pStyle w:val="123"/>
        <w:ind w:left="1133" w:hanging="283"/>
        <w:rPr>
          <w:rFonts w:hint="eastAsia"/>
          <w:color w:val="000000"/>
        </w:rPr>
      </w:pPr>
      <w:r w:rsidRPr="00B965DF">
        <w:rPr>
          <w:rFonts w:hint="eastAsia"/>
          <w:color w:val="000000"/>
        </w:rPr>
        <w:t>1.計畫經費：2年度總經費2億3,000萬元(</w:t>
      </w:r>
      <w:r w:rsidRPr="00B965DF">
        <w:rPr>
          <w:rFonts w:hAnsi="標楷體" w:hint="eastAsia"/>
          <w:color w:val="000000"/>
        </w:rPr>
        <w:t>115及116年)</w:t>
      </w:r>
      <w:r w:rsidRPr="00B965DF">
        <w:rPr>
          <w:rFonts w:hint="eastAsia"/>
          <w:color w:val="000000"/>
        </w:rPr>
        <w:t>，115年度編列第1年經費1億1</w:t>
      </w:r>
      <w:r w:rsidRPr="00B965DF">
        <w:rPr>
          <w:color w:val="000000"/>
        </w:rPr>
        <w:t>,</w:t>
      </w:r>
      <w:r w:rsidRPr="00B965DF">
        <w:rPr>
          <w:rFonts w:hint="eastAsia"/>
          <w:color w:val="000000"/>
        </w:rPr>
        <w:t>5</w:t>
      </w:r>
      <w:r w:rsidRPr="00B965DF">
        <w:rPr>
          <w:color w:val="000000"/>
        </w:rPr>
        <w:t>00萬元</w:t>
      </w:r>
      <w:r w:rsidRPr="00B965DF">
        <w:rPr>
          <w:rFonts w:hint="eastAsia"/>
          <w:color w:val="000000"/>
        </w:rPr>
        <w:t>(包含委辦費1億1</w:t>
      </w:r>
      <w:r w:rsidRPr="00B965DF">
        <w:rPr>
          <w:color w:val="000000"/>
        </w:rPr>
        <w:t>,</w:t>
      </w:r>
      <w:r w:rsidRPr="00B965DF">
        <w:rPr>
          <w:rFonts w:hint="eastAsia"/>
          <w:color w:val="000000"/>
        </w:rPr>
        <w:t>477萬元及其他業務費23萬元)</w:t>
      </w:r>
      <w:r w:rsidRPr="00B965DF">
        <w:rPr>
          <w:rFonts w:hAnsi="標楷體" w:hint="eastAsia"/>
          <w:color w:val="000000"/>
        </w:rPr>
        <w:t>。</w:t>
      </w:r>
    </w:p>
    <w:p w:rsidR="004F3103" w:rsidRPr="00B965DF" w:rsidRDefault="004F3103" w:rsidP="004F3103">
      <w:pPr>
        <w:pStyle w:val="123"/>
        <w:ind w:left="1133" w:hanging="283"/>
        <w:rPr>
          <w:rFonts w:hint="eastAsia"/>
          <w:color w:val="000000"/>
        </w:rPr>
      </w:pPr>
      <w:r w:rsidRPr="00B965DF">
        <w:rPr>
          <w:rFonts w:hint="eastAsia"/>
          <w:color w:val="000000"/>
        </w:rPr>
        <w:t>2.</w:t>
      </w:r>
      <w:r w:rsidRPr="00B965DF">
        <w:rPr>
          <w:rFonts w:hint="eastAsia"/>
          <w:color w:val="000000"/>
        </w:rPr>
        <w:tab/>
        <w:t>預計辦理事項及績效目標：成立專業輔導團隊、運用智慧工具進行節能診斷，推動企業節能分級輔導與媒合ESCO專案，辦理溫室氣體盤查輔導、自願減量專案輔導、產品碳足跡輔導等</w:t>
      </w:r>
      <w:r w:rsidRPr="00B965DF">
        <w:rPr>
          <w:rFonts w:hAnsi="標楷體" w:hint="eastAsia"/>
          <w:color w:val="000000"/>
        </w:rPr>
        <w:t>，預計2年促成節電1億3,340萬度。</w:t>
      </w:r>
    </w:p>
    <w:p w:rsidR="004F3103" w:rsidRPr="00B965DF" w:rsidRDefault="004F3103" w:rsidP="004F3103">
      <w:pPr>
        <w:pStyle w:val="123"/>
        <w:ind w:left="1133" w:hanging="283"/>
        <w:rPr>
          <w:rFonts w:hAnsi="標楷體"/>
          <w:color w:val="000000"/>
        </w:rPr>
      </w:pPr>
      <w:r w:rsidRPr="00B965DF">
        <w:rPr>
          <w:rFonts w:hAnsi="標楷體" w:hint="eastAsia"/>
          <w:color w:val="000000"/>
        </w:rPr>
        <w:t>3.115年度預計辦理事項：預計協助20家溫室氣體盤查、3家自願減量、2家碳足跡、1,000家商業服務業用戶導入智慧節能診斷，以提升產業能源效率並帶動節能產業發展，促成節電6,670萬度。</w:t>
      </w:r>
    </w:p>
    <w:p w:rsidR="004F3103" w:rsidRPr="00B965DF" w:rsidRDefault="004F3103" w:rsidP="004F3103">
      <w:pPr>
        <w:pStyle w:val="a5"/>
        <w:ind w:left="849" w:hanging="283"/>
        <w:rPr>
          <w:b/>
          <w:bCs/>
          <w:color w:val="000000"/>
        </w:rPr>
      </w:pPr>
      <w:r w:rsidRPr="00B965DF">
        <w:rPr>
          <w:rFonts w:hint="eastAsia"/>
          <w:b/>
          <w:bCs/>
          <w:color w:val="000000"/>
        </w:rPr>
        <w:t>(二)</w:t>
      </w:r>
      <w:r>
        <w:rPr>
          <w:rFonts w:hint="eastAsia"/>
          <w:b/>
          <w:bCs/>
          <w:color w:val="000000"/>
        </w:rPr>
        <w:t>經追蹤</w:t>
      </w:r>
      <w:r w:rsidRPr="00B965DF">
        <w:rPr>
          <w:rFonts w:hint="eastAsia"/>
          <w:b/>
          <w:bCs/>
          <w:color w:val="000000"/>
        </w:rPr>
        <w:t>歷年接受商業服務節能輔導計畫落實情形</w:t>
      </w:r>
      <w:r w:rsidRPr="00B965DF">
        <w:rPr>
          <w:rFonts w:hAnsi="標楷體" w:hint="eastAsia"/>
          <w:b/>
          <w:bCs/>
          <w:color w:val="000000"/>
        </w:rPr>
        <w:t>，</w:t>
      </w:r>
      <w:r w:rsidRPr="00B965DF">
        <w:rPr>
          <w:rFonts w:hint="eastAsia"/>
          <w:b/>
          <w:bCs/>
          <w:color w:val="000000"/>
        </w:rPr>
        <w:t>受輔導業者之節能改善措施落實率呈下降趨勢</w:t>
      </w:r>
    </w:p>
    <w:p w:rsidR="004F3103" w:rsidRPr="00B965DF" w:rsidRDefault="004F3103" w:rsidP="004F3103">
      <w:pPr>
        <w:pStyle w:val="21"/>
        <w:ind w:left="850" w:firstLine="566"/>
        <w:rPr>
          <w:rFonts w:hAnsi="標楷體"/>
          <w:color w:val="000000"/>
        </w:rPr>
      </w:pPr>
      <w:r w:rsidRPr="00B965DF">
        <w:rPr>
          <w:rFonts w:hint="eastAsia"/>
          <w:color w:val="000000"/>
        </w:rPr>
        <w:t>經查商業署近年亦透過委辦財團法人辦理</w:t>
      </w:r>
      <w:r w:rsidRPr="00B965DF">
        <w:rPr>
          <w:rFonts w:hAnsi="標楷體" w:hint="eastAsia"/>
          <w:color w:val="000000"/>
        </w:rPr>
        <w:t>「商業服務節能</w:t>
      </w:r>
      <w:r w:rsidRPr="00B965DF">
        <w:rPr>
          <w:rFonts w:hAnsi="標楷體" w:hint="eastAsia"/>
          <w:color w:val="000000"/>
        </w:rPr>
        <w:lastRenderedPageBreak/>
        <w:t>輔導計畫」</w:t>
      </w:r>
      <w:r w:rsidRPr="00B965DF">
        <w:rPr>
          <w:rStyle w:val="afa"/>
          <w:rFonts w:hAnsi="標楷體"/>
          <w:color w:val="000000"/>
        </w:rPr>
        <w:footnoteReference w:id="1"/>
      </w:r>
      <w:r w:rsidRPr="00B965DF">
        <w:rPr>
          <w:rFonts w:hAnsi="標楷體" w:hint="eastAsia"/>
          <w:color w:val="000000"/>
        </w:rPr>
        <w:t>，提供業者節能技術輔導，協助診斷耗能問題及研提改善建議報告，並追蹤歷年受輔導業者之落實情形與需求。惟比較112年、113年及114年上半年度委辦計畫，追蹤歷年度受輔導業者之落實情形(詳表1)，改善措施落實率逐年下降，114年上半年度追蹤調查結果下降</w:t>
      </w:r>
      <w:r>
        <w:rPr>
          <w:rFonts w:hAnsi="標楷體" w:hint="eastAsia"/>
          <w:color w:val="000000"/>
        </w:rPr>
        <w:t>至</w:t>
      </w:r>
      <w:r w:rsidRPr="00B965DF">
        <w:rPr>
          <w:rFonts w:hAnsi="標楷體" w:hint="eastAsia"/>
          <w:color w:val="000000"/>
        </w:rPr>
        <w:t>低於五成，另113及114年上</w:t>
      </w:r>
      <w:r>
        <w:rPr>
          <w:rFonts w:hAnsi="標楷體" w:hint="eastAsia"/>
          <w:color w:val="000000"/>
        </w:rPr>
        <w:t>半</w:t>
      </w:r>
      <w:r w:rsidRPr="00B965DF">
        <w:rPr>
          <w:rFonts w:hAnsi="標楷體" w:hint="eastAsia"/>
          <w:color w:val="000000"/>
        </w:rPr>
        <w:t>年度追蹤結果，以前年度受輔導業者之節電落實率亦較112年度下降。又依據114年上半年度之調查，受輔導業者未落實原因，最高為「尚未到達公司設備使用年限」(占45.9%)；推動節約能源遭遇困境，則以「節能專案投資回收年限過長」(占41.7%)最高，「缺乏改善資金」(占33.3%)次之。爰此，為有效提升政府產業節能輔導計畫之執行效率，允宜加強對於受輔導業者未落實原因之控管及輔助，以達成效。</w:t>
      </w:r>
    </w:p>
    <w:p w:rsidR="004F3103" w:rsidRPr="00B965DF" w:rsidRDefault="004F3103" w:rsidP="004F3103">
      <w:pPr>
        <w:spacing w:line="440" w:lineRule="exact"/>
        <w:ind w:leftChars="0" w:left="785" w:hangingChars="277" w:hanging="785"/>
        <w:jc w:val="left"/>
        <w:rPr>
          <w:color w:val="000000"/>
          <w:spacing w:val="-8"/>
        </w:rPr>
      </w:pPr>
      <w:r w:rsidRPr="00B965DF">
        <w:rPr>
          <w:rFonts w:hint="eastAsia"/>
          <w:b/>
          <w:bCs/>
          <w:color w:val="000000"/>
        </w:rPr>
        <w:t xml:space="preserve">表1 </w:t>
      </w:r>
      <w:r w:rsidRPr="00B965DF">
        <w:rPr>
          <w:rFonts w:hint="eastAsia"/>
          <w:b/>
          <w:bCs/>
          <w:color w:val="000000"/>
          <w:spacing w:val="-8"/>
        </w:rPr>
        <w:t>近年度「商業服務節能輔導計畫</w:t>
      </w:r>
      <w:r w:rsidRPr="00B965DF">
        <w:rPr>
          <w:rFonts w:hAnsi="標楷體" w:hint="eastAsia"/>
          <w:b/>
          <w:bCs/>
          <w:color w:val="000000"/>
          <w:spacing w:val="-8"/>
        </w:rPr>
        <w:t>」追蹤歷年節能減碳輔導成果</w:t>
      </w:r>
      <w:r w:rsidRPr="00B965DF">
        <w:rPr>
          <w:rFonts w:hint="eastAsia"/>
          <w:b/>
          <w:bCs/>
          <w:color w:val="000000"/>
          <w:spacing w:val="-8"/>
        </w:rPr>
        <w:t>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937"/>
        <w:gridCol w:w="1937"/>
        <w:gridCol w:w="1937"/>
      </w:tblGrid>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委辦計畫年度</w:t>
            </w:r>
          </w:p>
        </w:tc>
        <w:tc>
          <w:tcPr>
            <w:tcW w:w="1937" w:type="dxa"/>
            <w:vAlign w:val="center"/>
          </w:tcPr>
          <w:p w:rsidR="004F3103" w:rsidRPr="00B965DF" w:rsidRDefault="004F3103">
            <w:pPr>
              <w:pStyle w:val="142"/>
              <w:spacing w:line="260" w:lineRule="exact"/>
              <w:ind w:rightChars="-21" w:right="-59"/>
              <w:jc w:val="center"/>
              <w:rPr>
                <w:rFonts w:hint="eastAsia"/>
                <w:color w:val="000000"/>
              </w:rPr>
            </w:pPr>
            <w:r w:rsidRPr="00B965DF">
              <w:rPr>
                <w:rFonts w:hint="eastAsia"/>
                <w:color w:val="000000"/>
              </w:rPr>
              <w:t>112年度</w:t>
            </w:r>
          </w:p>
        </w:tc>
        <w:tc>
          <w:tcPr>
            <w:tcW w:w="1937" w:type="dxa"/>
            <w:vAlign w:val="center"/>
          </w:tcPr>
          <w:p w:rsidR="004F3103" w:rsidRPr="00B965DF" w:rsidRDefault="004F3103">
            <w:pPr>
              <w:pStyle w:val="142"/>
              <w:spacing w:line="260" w:lineRule="exact"/>
              <w:ind w:rightChars="-21" w:right="-59"/>
              <w:jc w:val="center"/>
              <w:rPr>
                <w:rFonts w:hint="eastAsia"/>
                <w:color w:val="000000"/>
              </w:rPr>
            </w:pPr>
            <w:r w:rsidRPr="00B965DF">
              <w:rPr>
                <w:rFonts w:hint="eastAsia"/>
                <w:color w:val="000000"/>
              </w:rPr>
              <w:t>113年度</w:t>
            </w:r>
          </w:p>
        </w:tc>
        <w:tc>
          <w:tcPr>
            <w:tcW w:w="1937" w:type="dxa"/>
            <w:vAlign w:val="center"/>
          </w:tcPr>
          <w:p w:rsidR="004F3103" w:rsidRPr="00B965DF" w:rsidRDefault="004F3103">
            <w:pPr>
              <w:pStyle w:val="142"/>
              <w:spacing w:line="260" w:lineRule="exact"/>
              <w:ind w:rightChars="-21" w:right="-59"/>
              <w:jc w:val="center"/>
              <w:rPr>
                <w:rFonts w:hint="eastAsia"/>
                <w:color w:val="000000"/>
              </w:rPr>
            </w:pPr>
            <w:r w:rsidRPr="00B965DF">
              <w:rPr>
                <w:rFonts w:hint="eastAsia"/>
                <w:color w:val="000000"/>
              </w:rPr>
              <w:t>114年上半年度</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調查家數</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105</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121</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73</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建議改善措施項數</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314</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337</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199</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實際落實措施項數</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200</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183</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90</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b/>
                <w:bCs/>
                <w:color w:val="000000"/>
              </w:rPr>
            </w:pPr>
            <w:r w:rsidRPr="00B965DF">
              <w:rPr>
                <w:rFonts w:hint="eastAsia"/>
                <w:b/>
                <w:bCs/>
                <w:color w:val="000000"/>
              </w:rPr>
              <w:t>改善措施落實率</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63.69%</w:t>
            </w:r>
          </w:p>
        </w:tc>
        <w:tc>
          <w:tcPr>
            <w:tcW w:w="1937" w:type="dxa"/>
            <w:vAlign w:val="center"/>
          </w:tcPr>
          <w:p w:rsidR="004F3103" w:rsidRPr="00B965DF" w:rsidRDefault="004F3103">
            <w:pPr>
              <w:pStyle w:val="142"/>
              <w:wordWrap w:val="0"/>
              <w:spacing w:line="260" w:lineRule="exact"/>
              <w:ind w:rightChars="-21" w:right="-59"/>
              <w:jc w:val="right"/>
              <w:rPr>
                <w:rFonts w:hint="eastAsia"/>
                <w:b/>
                <w:bCs/>
                <w:color w:val="000000"/>
              </w:rPr>
            </w:pPr>
            <w:r w:rsidRPr="00B965DF">
              <w:rPr>
                <w:rFonts w:hint="eastAsia"/>
                <w:b/>
                <w:bCs/>
                <w:color w:val="000000"/>
              </w:rPr>
              <w:t>54.30%</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45.23%</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發掘節電量</w:t>
            </w:r>
            <w:r w:rsidRPr="00B965DF">
              <w:rPr>
                <w:rFonts w:hAnsi="標楷體" w:hint="eastAsia"/>
                <w:color w:val="000000"/>
              </w:rPr>
              <w:t>(萬度/年</w:t>
            </w:r>
            <w:r w:rsidRPr="00B965DF">
              <w:rPr>
                <w:rFonts w:hint="eastAsia"/>
                <w:color w:val="000000"/>
              </w:rPr>
              <w:t>)</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2,662.0</w:t>
            </w:r>
          </w:p>
        </w:tc>
        <w:tc>
          <w:tcPr>
            <w:tcW w:w="1937" w:type="dxa"/>
            <w:vAlign w:val="center"/>
          </w:tcPr>
          <w:p w:rsidR="004F3103" w:rsidRPr="00B965DF" w:rsidRDefault="004F3103">
            <w:pPr>
              <w:pStyle w:val="142"/>
              <w:wordWrap w:val="0"/>
              <w:spacing w:line="260" w:lineRule="exact"/>
              <w:ind w:rightChars="-21" w:right="-59"/>
              <w:jc w:val="right"/>
              <w:rPr>
                <w:rFonts w:hint="eastAsia"/>
                <w:color w:val="000000"/>
              </w:rPr>
            </w:pPr>
            <w:r w:rsidRPr="00B965DF">
              <w:rPr>
                <w:rFonts w:hint="eastAsia"/>
                <w:color w:val="000000"/>
              </w:rPr>
              <w:t>2,131.6</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1,181.5</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bookmarkStart w:id="9" w:name="_Hlk210599343"/>
            <w:r w:rsidRPr="00B965DF">
              <w:rPr>
                <w:rFonts w:hint="eastAsia"/>
                <w:color w:val="000000"/>
              </w:rPr>
              <w:t>實際節電量</w:t>
            </w:r>
            <w:bookmarkEnd w:id="9"/>
            <w:r w:rsidRPr="00B965DF">
              <w:rPr>
                <w:rFonts w:hAnsi="標楷體" w:hint="eastAsia"/>
                <w:color w:val="000000"/>
              </w:rPr>
              <w:t>(萬度/年</w:t>
            </w:r>
            <w:r w:rsidRPr="00B965DF">
              <w:rPr>
                <w:rFonts w:hint="eastAsia"/>
                <w:color w:val="000000"/>
              </w:rPr>
              <w:t>)</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1,802.1</w:t>
            </w:r>
          </w:p>
        </w:tc>
        <w:tc>
          <w:tcPr>
            <w:tcW w:w="1937" w:type="dxa"/>
            <w:vAlign w:val="center"/>
          </w:tcPr>
          <w:p w:rsidR="004F3103" w:rsidRPr="00B965DF" w:rsidRDefault="004F3103">
            <w:pPr>
              <w:pStyle w:val="142"/>
              <w:wordWrap w:val="0"/>
              <w:spacing w:line="260" w:lineRule="exact"/>
              <w:ind w:rightChars="-21" w:right="-59"/>
              <w:jc w:val="right"/>
              <w:rPr>
                <w:rFonts w:hint="eastAsia"/>
                <w:color w:val="000000"/>
              </w:rPr>
            </w:pPr>
            <w:r w:rsidRPr="00B965DF">
              <w:rPr>
                <w:rFonts w:hint="eastAsia"/>
                <w:color w:val="000000"/>
              </w:rPr>
              <w:t>1,009.6</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603.6</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b/>
                <w:bCs/>
                <w:color w:val="000000"/>
                <w:spacing w:val="-20"/>
              </w:rPr>
            </w:pPr>
            <w:bookmarkStart w:id="10" w:name="_Hlk210599327"/>
            <w:r w:rsidRPr="00B965DF">
              <w:rPr>
                <w:rFonts w:hint="eastAsia"/>
                <w:b/>
                <w:bCs/>
                <w:color w:val="000000"/>
              </w:rPr>
              <w:t>節電落實率</w:t>
            </w:r>
            <w:bookmarkEnd w:id="10"/>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67.70%</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47.36%</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51.09%</w:t>
            </w:r>
          </w:p>
        </w:tc>
      </w:tr>
    </w:tbl>
    <w:p w:rsidR="004F3103" w:rsidRPr="00B965DF" w:rsidRDefault="004F3103" w:rsidP="004F3103">
      <w:pPr>
        <w:pStyle w:val="142"/>
        <w:ind w:left="1133" w:hangingChars="466" w:hanging="1133"/>
        <w:rPr>
          <w:rFonts w:hint="eastAsia"/>
          <w:color w:val="000000"/>
        </w:rPr>
      </w:pPr>
      <w:r w:rsidRPr="00B965DF">
        <w:rPr>
          <w:rFonts w:hint="eastAsia"/>
          <w:color w:val="000000"/>
        </w:rPr>
        <w:t>說    明</w:t>
      </w:r>
      <w:r w:rsidRPr="00B965DF">
        <w:rPr>
          <w:rFonts w:hAnsi="標楷體" w:hint="eastAsia"/>
          <w:color w:val="000000"/>
        </w:rPr>
        <w:t>：改善措施落實率=實際落實措施項數/建議改善措施項數；節電落實率=實際節電量/發掘節電量。</w:t>
      </w:r>
    </w:p>
    <w:p w:rsidR="004F3103" w:rsidRPr="00B965DF" w:rsidRDefault="004F3103" w:rsidP="004F3103">
      <w:pPr>
        <w:pStyle w:val="142"/>
        <w:ind w:left="1133" w:hangingChars="466" w:hanging="1133"/>
        <w:rPr>
          <w:color w:val="000000"/>
        </w:rPr>
      </w:pPr>
      <w:r w:rsidRPr="00B965DF">
        <w:rPr>
          <w:rFonts w:hint="eastAsia"/>
          <w:color w:val="000000"/>
        </w:rPr>
        <w:t>資料來源：商業署提供</w:t>
      </w:r>
      <w:r w:rsidRPr="00B965DF">
        <w:rPr>
          <w:rFonts w:hAnsi="標楷體" w:hint="eastAsia"/>
          <w:color w:val="000000"/>
        </w:rPr>
        <w:t>「</w:t>
      </w:r>
      <w:r w:rsidRPr="00B965DF">
        <w:rPr>
          <w:rFonts w:hint="eastAsia"/>
          <w:color w:val="000000"/>
        </w:rPr>
        <w:t>商業服務節能輔導計畫</w:t>
      </w:r>
      <w:r w:rsidRPr="00B965DF">
        <w:rPr>
          <w:rFonts w:hAnsi="標楷體" w:hint="eastAsia"/>
          <w:color w:val="000000"/>
        </w:rPr>
        <w:t>」112及113年度期末報告及114年度期中報告</w:t>
      </w:r>
      <w:r w:rsidRPr="00B965DF">
        <w:rPr>
          <w:rFonts w:hint="eastAsia"/>
          <w:color w:val="000000"/>
        </w:rPr>
        <w:t>。</w:t>
      </w:r>
    </w:p>
    <w:p w:rsidR="004F3103" w:rsidRPr="00B965DF" w:rsidRDefault="004F3103" w:rsidP="004F3103">
      <w:pPr>
        <w:pStyle w:val="a5"/>
        <w:ind w:left="849" w:hanging="283"/>
        <w:rPr>
          <w:b/>
          <w:bCs/>
          <w:color w:val="000000"/>
        </w:rPr>
      </w:pPr>
      <w:r w:rsidRPr="00B965DF">
        <w:rPr>
          <w:rFonts w:hint="eastAsia"/>
          <w:b/>
          <w:bCs/>
          <w:color w:val="000000"/>
        </w:rPr>
        <w:t>(三)近3年度商業服務業用電量持續增加</w:t>
      </w:r>
      <w:r w:rsidRPr="00B965DF">
        <w:rPr>
          <w:rFonts w:hAnsi="標楷體" w:hint="eastAsia"/>
          <w:b/>
          <w:bCs/>
          <w:color w:val="000000"/>
        </w:rPr>
        <w:t>，</w:t>
      </w:r>
      <w:r w:rsidRPr="00B965DF">
        <w:rPr>
          <w:rFonts w:hint="eastAsia"/>
          <w:b/>
          <w:bCs/>
          <w:color w:val="000000"/>
        </w:rPr>
        <w:t>允宜建立受輔導業者後續落實執行之控管機制</w:t>
      </w:r>
      <w:r w:rsidRPr="00B965DF">
        <w:rPr>
          <w:rFonts w:hAnsi="標楷體" w:hint="eastAsia"/>
          <w:b/>
          <w:bCs/>
          <w:color w:val="000000"/>
        </w:rPr>
        <w:t>，</w:t>
      </w:r>
      <w:r w:rsidRPr="00B965DF">
        <w:rPr>
          <w:rFonts w:hint="eastAsia"/>
          <w:b/>
          <w:bCs/>
          <w:color w:val="000000"/>
        </w:rPr>
        <w:t>並加強對外擴散宣導</w:t>
      </w:r>
      <w:r w:rsidRPr="00B965DF">
        <w:rPr>
          <w:rFonts w:hAnsi="標楷體" w:hint="eastAsia"/>
          <w:b/>
          <w:bCs/>
          <w:color w:val="000000"/>
        </w:rPr>
        <w:t>，</w:t>
      </w:r>
      <w:r w:rsidRPr="00B965DF">
        <w:rPr>
          <w:rFonts w:hint="eastAsia"/>
          <w:b/>
          <w:bCs/>
          <w:color w:val="000000"/>
        </w:rPr>
        <w:t>以提高成效</w:t>
      </w:r>
    </w:p>
    <w:p w:rsidR="004F3103" w:rsidRPr="00B965DF" w:rsidRDefault="004F3103" w:rsidP="004F3103">
      <w:pPr>
        <w:pStyle w:val="21"/>
        <w:ind w:left="850" w:firstLine="566"/>
        <w:rPr>
          <w:rFonts w:hAnsi="標楷體"/>
          <w:color w:val="000000"/>
        </w:rPr>
      </w:pPr>
      <w:r w:rsidRPr="00B965DF">
        <w:rPr>
          <w:rFonts w:hint="eastAsia"/>
          <w:color w:val="000000"/>
        </w:rPr>
        <w:t>商業部門碳排放量主要來自於電力排放</w:t>
      </w:r>
      <w:r w:rsidRPr="00B965DF">
        <w:rPr>
          <w:rFonts w:hAnsi="標楷體" w:hint="eastAsia"/>
          <w:color w:val="000000"/>
        </w:rPr>
        <w:t>，</w:t>
      </w:r>
      <w:r w:rsidRPr="00B965DF">
        <w:rPr>
          <w:rFonts w:hint="eastAsia"/>
          <w:color w:val="000000"/>
        </w:rPr>
        <w:t>商業署115年度</w:t>
      </w:r>
      <w:r w:rsidRPr="00B965DF">
        <w:rPr>
          <w:rFonts w:hint="eastAsia"/>
          <w:color w:val="000000"/>
        </w:rPr>
        <w:lastRenderedPageBreak/>
        <w:t>預算案除賡續編列撥補石油基金10億元</w:t>
      </w:r>
      <w:r w:rsidRPr="00B965DF">
        <w:rPr>
          <w:rStyle w:val="afa"/>
          <w:color w:val="000000"/>
        </w:rPr>
        <w:footnoteReference w:id="2"/>
      </w:r>
      <w:r w:rsidRPr="00B965DF">
        <w:rPr>
          <w:rFonts w:hAnsi="標楷體" w:hint="eastAsia"/>
          <w:color w:val="000000"/>
        </w:rPr>
        <w:t>，</w:t>
      </w:r>
      <w:r w:rsidRPr="00B965DF">
        <w:rPr>
          <w:rFonts w:hint="eastAsia"/>
          <w:color w:val="000000"/>
        </w:rPr>
        <w:t>辦理</w:t>
      </w:r>
      <w:r w:rsidRPr="00B965DF">
        <w:rPr>
          <w:rFonts w:hAnsi="標楷體" w:hint="eastAsia"/>
          <w:color w:val="000000"/>
        </w:rPr>
        <w:t>「</w:t>
      </w:r>
      <w:r w:rsidRPr="00B965DF">
        <w:rPr>
          <w:rFonts w:hint="eastAsia"/>
          <w:color w:val="000000"/>
        </w:rPr>
        <w:t>商業服務業節能設備補助計畫</w:t>
      </w:r>
      <w:r w:rsidRPr="00B965DF">
        <w:rPr>
          <w:rFonts w:hAnsi="標楷體" w:hint="eastAsia"/>
          <w:color w:val="000000"/>
        </w:rPr>
        <w:t>」</w:t>
      </w:r>
      <w:r w:rsidRPr="00B965DF">
        <w:rPr>
          <w:rFonts w:hint="eastAsia"/>
          <w:color w:val="000000"/>
        </w:rPr>
        <w:t>外</w:t>
      </w:r>
      <w:r w:rsidRPr="00B965DF">
        <w:rPr>
          <w:rFonts w:hAnsi="標楷體" w:hint="eastAsia"/>
          <w:color w:val="000000"/>
        </w:rPr>
        <w:t>，</w:t>
      </w:r>
      <w:r w:rsidRPr="00B965DF">
        <w:rPr>
          <w:rFonts w:hint="eastAsia"/>
          <w:color w:val="000000"/>
        </w:rPr>
        <w:t>並新增辦理「深度節能-用戶導入ESCO行動計畫」</w:t>
      </w:r>
      <w:r w:rsidRPr="00B965DF">
        <w:rPr>
          <w:rFonts w:hAnsi="標楷體" w:hint="eastAsia"/>
          <w:color w:val="000000"/>
        </w:rPr>
        <w:t>。惟</w:t>
      </w:r>
      <w:r w:rsidRPr="00B965DF">
        <w:rPr>
          <w:rFonts w:hint="eastAsia"/>
          <w:color w:val="000000"/>
        </w:rPr>
        <w:t>統計近3年(111至113年)「批發及零售業」、「運輸及倉儲業」、「住宿及餐飲業」等3大商業服務業之</w:t>
      </w:r>
      <w:r w:rsidRPr="00B965DF">
        <w:rPr>
          <w:rFonts w:hAnsi="標楷體" w:hint="eastAsia"/>
          <w:color w:val="000000"/>
        </w:rPr>
        <w:t>電力使用量均呈增加趨勢(詳表2)，產業節能績效，仍待強化。爰此，115年度</w:t>
      </w:r>
      <w:r>
        <w:rPr>
          <w:rFonts w:hAnsi="標楷體" w:hint="eastAsia"/>
          <w:color w:val="000000"/>
        </w:rPr>
        <w:t>預算案</w:t>
      </w:r>
      <w:r w:rsidRPr="00B965DF">
        <w:rPr>
          <w:rFonts w:hAnsi="標楷體" w:hint="eastAsia"/>
          <w:color w:val="000000"/>
        </w:rPr>
        <w:t>新增辦理「深度節能-用戶導入ESCO行動計畫」，除加強發掘業者節電輔導目標，允宜研謀建立受輔導業者後續配合建議事項落實執行之控管機制，並加強對外擴散宣導，以提高成效。</w:t>
      </w:r>
    </w:p>
    <w:p w:rsidR="004F3103" w:rsidRPr="00B965DF" w:rsidRDefault="004F3103" w:rsidP="004F3103">
      <w:pPr>
        <w:pStyle w:val="21"/>
        <w:ind w:leftChars="0" w:left="1038" w:hangingChars="366" w:hanging="1038"/>
        <w:jc w:val="left"/>
        <w:rPr>
          <w:rFonts w:hAnsi="標楷體"/>
          <w:b/>
          <w:color w:val="000000"/>
        </w:rPr>
      </w:pPr>
      <w:r w:rsidRPr="00B965DF">
        <w:rPr>
          <w:rFonts w:hAnsi="標楷體" w:hint="eastAsia"/>
          <w:b/>
          <w:color w:val="000000"/>
        </w:rPr>
        <w:t>表2  近年商業服務業電力使用情形</w:t>
      </w:r>
      <w:r>
        <w:rPr>
          <w:rFonts w:hAnsi="標楷體" w:hint="eastAsia"/>
          <w:b/>
          <w:color w:val="000000"/>
        </w:rPr>
        <w:t>表</w:t>
      </w:r>
      <w:r w:rsidRPr="00B965DF">
        <w:rPr>
          <w:rFonts w:hAnsi="標楷體" w:hint="eastAsia"/>
          <w:b/>
          <w:color w:val="000000"/>
        </w:rPr>
        <w:t xml:space="preserve">        </w:t>
      </w:r>
      <w:r w:rsidRPr="00B965DF">
        <w:rPr>
          <w:rFonts w:hAnsi="標楷體"/>
          <w:b/>
          <w:color w:val="000000"/>
        </w:rPr>
        <w:t xml:space="preserve">       </w:t>
      </w:r>
      <w:r w:rsidRPr="00B965DF">
        <w:rPr>
          <w:rFonts w:hAnsi="標楷體" w:hint="eastAsia"/>
          <w:bCs/>
          <w:color w:val="000000"/>
          <w:sz w:val="24"/>
          <w:szCs w:val="24"/>
        </w:rPr>
        <w:t>單位：千度；%</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82"/>
        <w:gridCol w:w="1361"/>
        <w:gridCol w:w="709"/>
        <w:gridCol w:w="1186"/>
        <w:gridCol w:w="784"/>
        <w:gridCol w:w="1148"/>
        <w:gridCol w:w="798"/>
        <w:gridCol w:w="1187"/>
        <w:gridCol w:w="809"/>
      </w:tblGrid>
      <w:tr w:rsidR="004F3103" w:rsidRPr="00B965DF">
        <w:tc>
          <w:tcPr>
            <w:tcW w:w="482" w:type="dxa"/>
            <w:vMerge w:val="restart"/>
            <w:vAlign w:val="center"/>
          </w:tcPr>
          <w:p w:rsidR="004F3103" w:rsidRPr="00B965DF" w:rsidRDefault="004F3103" w:rsidP="004F3103">
            <w:pPr>
              <w:pStyle w:val="142"/>
              <w:ind w:leftChars="-42" w:left="-119" w:rightChars="-35" w:right="-99"/>
              <w:rPr>
                <w:rFonts w:hint="eastAsia"/>
                <w:color w:val="000000"/>
                <w:spacing w:val="-20"/>
              </w:rPr>
            </w:pPr>
            <w:r w:rsidRPr="00B965DF">
              <w:rPr>
                <w:rFonts w:hint="eastAsia"/>
                <w:color w:val="000000"/>
                <w:spacing w:val="-20"/>
              </w:rPr>
              <w:t>年度</w:t>
            </w:r>
          </w:p>
        </w:tc>
        <w:tc>
          <w:tcPr>
            <w:tcW w:w="1361" w:type="dxa"/>
            <w:vMerge w:val="restart"/>
            <w:tcBorders>
              <w:top w:val="single" w:sz="12" w:space="0" w:color="auto"/>
              <w:right w:val="nil"/>
            </w:tcBorders>
            <w:vAlign w:val="center"/>
          </w:tcPr>
          <w:p w:rsidR="004F3103" w:rsidRPr="00B965DF" w:rsidRDefault="004F3103" w:rsidP="004F3103">
            <w:pPr>
              <w:pStyle w:val="142"/>
              <w:rPr>
                <w:rFonts w:hint="eastAsia"/>
                <w:color w:val="000000"/>
                <w:spacing w:val="-20"/>
              </w:rPr>
            </w:pPr>
            <w:r w:rsidRPr="00B965DF">
              <w:rPr>
                <w:rFonts w:hint="eastAsia"/>
                <w:color w:val="000000"/>
                <w:spacing w:val="-20"/>
              </w:rPr>
              <w:t>全體產業</w:t>
            </w:r>
          </w:p>
        </w:tc>
        <w:tc>
          <w:tcPr>
            <w:tcW w:w="709" w:type="dxa"/>
            <w:tcBorders>
              <w:top w:val="single" w:sz="12" w:space="0" w:color="auto"/>
              <w:left w:val="nil"/>
              <w:bottom w:val="single" w:sz="4" w:space="0" w:color="auto"/>
              <w:right w:val="double" w:sz="4" w:space="0" w:color="auto"/>
            </w:tcBorders>
            <w:vAlign w:val="center"/>
          </w:tcPr>
          <w:p w:rsidR="004F3103" w:rsidRPr="00B965DF" w:rsidRDefault="004F3103" w:rsidP="004F3103">
            <w:pPr>
              <w:pStyle w:val="142"/>
              <w:rPr>
                <w:rFonts w:hint="eastAsia"/>
                <w:color w:val="000000"/>
                <w:spacing w:val="-20"/>
              </w:rPr>
            </w:pPr>
          </w:p>
        </w:tc>
        <w:tc>
          <w:tcPr>
            <w:tcW w:w="1186" w:type="dxa"/>
            <w:vMerge w:val="restart"/>
            <w:tcBorders>
              <w:top w:val="single" w:sz="12" w:space="0" w:color="auto"/>
              <w:left w:val="double" w:sz="4" w:space="0" w:color="auto"/>
              <w:right w:val="nil"/>
            </w:tcBorders>
            <w:vAlign w:val="center"/>
          </w:tcPr>
          <w:p w:rsidR="004F3103" w:rsidRPr="00B965DF" w:rsidRDefault="004F3103" w:rsidP="004F3103">
            <w:pPr>
              <w:pStyle w:val="142"/>
              <w:rPr>
                <w:color w:val="000000"/>
                <w:spacing w:val="-20"/>
              </w:rPr>
            </w:pPr>
            <w:r w:rsidRPr="00B965DF">
              <w:rPr>
                <w:rFonts w:hint="eastAsia"/>
                <w:color w:val="000000"/>
                <w:spacing w:val="-20"/>
              </w:rPr>
              <w:t>批發及零售業</w:t>
            </w:r>
          </w:p>
        </w:tc>
        <w:tc>
          <w:tcPr>
            <w:tcW w:w="784" w:type="dxa"/>
            <w:tcBorders>
              <w:top w:val="single" w:sz="12" w:space="0" w:color="auto"/>
              <w:left w:val="nil"/>
              <w:bottom w:val="single" w:sz="4" w:space="0" w:color="auto"/>
            </w:tcBorders>
          </w:tcPr>
          <w:p w:rsidR="004F3103" w:rsidRPr="00B965DF" w:rsidRDefault="004F3103" w:rsidP="004F3103">
            <w:pPr>
              <w:pStyle w:val="142"/>
              <w:rPr>
                <w:rFonts w:hint="eastAsia"/>
                <w:color w:val="000000"/>
                <w:spacing w:val="-20"/>
              </w:rPr>
            </w:pPr>
          </w:p>
        </w:tc>
        <w:tc>
          <w:tcPr>
            <w:tcW w:w="1148" w:type="dxa"/>
            <w:vMerge w:val="restart"/>
            <w:tcBorders>
              <w:top w:val="single" w:sz="12" w:space="0" w:color="auto"/>
              <w:right w:val="nil"/>
            </w:tcBorders>
            <w:vAlign w:val="center"/>
          </w:tcPr>
          <w:p w:rsidR="004F3103" w:rsidRPr="00B965DF" w:rsidRDefault="004F3103" w:rsidP="004F3103">
            <w:pPr>
              <w:pStyle w:val="142"/>
              <w:rPr>
                <w:color w:val="000000"/>
                <w:spacing w:val="-20"/>
              </w:rPr>
            </w:pPr>
            <w:r w:rsidRPr="00B965DF">
              <w:rPr>
                <w:rFonts w:hint="eastAsia"/>
                <w:color w:val="000000"/>
                <w:spacing w:val="-20"/>
              </w:rPr>
              <w:t>運輸及倉儲業</w:t>
            </w:r>
          </w:p>
        </w:tc>
        <w:tc>
          <w:tcPr>
            <w:tcW w:w="798" w:type="dxa"/>
            <w:tcBorders>
              <w:top w:val="single" w:sz="12" w:space="0" w:color="auto"/>
              <w:left w:val="nil"/>
              <w:bottom w:val="single" w:sz="4" w:space="0" w:color="auto"/>
            </w:tcBorders>
          </w:tcPr>
          <w:p w:rsidR="004F3103" w:rsidRPr="00B965DF" w:rsidRDefault="004F3103" w:rsidP="004F3103">
            <w:pPr>
              <w:pStyle w:val="142"/>
              <w:rPr>
                <w:rFonts w:hint="eastAsia"/>
                <w:color w:val="000000"/>
                <w:spacing w:val="-20"/>
              </w:rPr>
            </w:pPr>
          </w:p>
        </w:tc>
        <w:tc>
          <w:tcPr>
            <w:tcW w:w="1187" w:type="dxa"/>
            <w:vMerge w:val="restart"/>
            <w:tcBorders>
              <w:top w:val="single" w:sz="12" w:space="0" w:color="auto"/>
              <w:right w:val="nil"/>
            </w:tcBorders>
            <w:vAlign w:val="center"/>
          </w:tcPr>
          <w:p w:rsidR="004F3103" w:rsidRPr="00B965DF" w:rsidRDefault="004F3103" w:rsidP="004F3103">
            <w:pPr>
              <w:pStyle w:val="142"/>
              <w:rPr>
                <w:color w:val="000000"/>
                <w:spacing w:val="-20"/>
              </w:rPr>
            </w:pPr>
            <w:r w:rsidRPr="00B965DF">
              <w:rPr>
                <w:rFonts w:hint="eastAsia"/>
                <w:color w:val="000000"/>
                <w:spacing w:val="-20"/>
              </w:rPr>
              <w:t>住宿及餐飲業</w:t>
            </w:r>
          </w:p>
        </w:tc>
        <w:tc>
          <w:tcPr>
            <w:tcW w:w="809" w:type="dxa"/>
            <w:tcBorders>
              <w:top w:val="single" w:sz="12" w:space="0" w:color="auto"/>
              <w:left w:val="nil"/>
              <w:bottom w:val="single" w:sz="4" w:space="0" w:color="auto"/>
            </w:tcBorders>
          </w:tcPr>
          <w:p w:rsidR="004F3103" w:rsidRPr="00B965DF" w:rsidRDefault="004F3103" w:rsidP="004F3103">
            <w:pPr>
              <w:pStyle w:val="142"/>
              <w:rPr>
                <w:rFonts w:hint="eastAsia"/>
                <w:color w:val="000000"/>
                <w:spacing w:val="-20"/>
              </w:rPr>
            </w:pPr>
          </w:p>
        </w:tc>
      </w:tr>
      <w:tr w:rsidR="004F3103" w:rsidRPr="00B965DF">
        <w:tc>
          <w:tcPr>
            <w:tcW w:w="482" w:type="dxa"/>
            <w:vMerge/>
          </w:tcPr>
          <w:p w:rsidR="004F3103" w:rsidRPr="00B965DF" w:rsidRDefault="004F3103" w:rsidP="004F3103">
            <w:pPr>
              <w:pStyle w:val="142"/>
              <w:rPr>
                <w:rFonts w:hint="eastAsia"/>
                <w:color w:val="000000"/>
                <w:spacing w:val="-20"/>
              </w:rPr>
            </w:pPr>
          </w:p>
        </w:tc>
        <w:tc>
          <w:tcPr>
            <w:tcW w:w="1361" w:type="dxa"/>
            <w:vMerge/>
            <w:tcBorders>
              <w:right w:val="single" w:sz="4" w:space="0" w:color="auto"/>
            </w:tcBorders>
          </w:tcPr>
          <w:p w:rsidR="004F3103" w:rsidRPr="00B965DF" w:rsidRDefault="004F3103" w:rsidP="004F3103">
            <w:pPr>
              <w:pStyle w:val="142"/>
              <w:rPr>
                <w:rFonts w:hint="eastAsia"/>
                <w:color w:val="000000"/>
                <w:spacing w:val="-20"/>
              </w:rPr>
            </w:pPr>
          </w:p>
        </w:tc>
        <w:tc>
          <w:tcPr>
            <w:tcW w:w="709" w:type="dxa"/>
            <w:tcBorders>
              <w:top w:val="single" w:sz="4" w:space="0" w:color="auto"/>
              <w:left w:val="single" w:sz="4" w:space="0" w:color="auto"/>
              <w:bottom w:val="single" w:sz="4" w:space="0" w:color="auto"/>
              <w:right w:val="double" w:sz="4" w:space="0" w:color="auto"/>
            </w:tcBorders>
            <w:vAlign w:val="center"/>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c>
          <w:tcPr>
            <w:tcW w:w="1186" w:type="dxa"/>
            <w:vMerge/>
            <w:tcBorders>
              <w:left w:val="double" w:sz="4" w:space="0" w:color="auto"/>
              <w:bottom w:val="single" w:sz="4" w:space="0" w:color="auto"/>
            </w:tcBorders>
          </w:tcPr>
          <w:p w:rsidR="004F3103" w:rsidRPr="00B965DF" w:rsidRDefault="004F3103" w:rsidP="004F3103">
            <w:pPr>
              <w:pStyle w:val="142"/>
              <w:rPr>
                <w:rFonts w:hint="eastAsia"/>
                <w:color w:val="000000"/>
                <w:spacing w:val="-20"/>
              </w:rPr>
            </w:pPr>
          </w:p>
        </w:tc>
        <w:tc>
          <w:tcPr>
            <w:tcW w:w="784" w:type="dxa"/>
            <w:tcBorders>
              <w:top w:val="single" w:sz="4" w:space="0" w:color="auto"/>
            </w:tcBorders>
            <w:vAlign w:val="center"/>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c>
          <w:tcPr>
            <w:tcW w:w="1148" w:type="dxa"/>
            <w:vMerge/>
            <w:vAlign w:val="center"/>
          </w:tcPr>
          <w:p w:rsidR="004F3103" w:rsidRPr="00B965DF" w:rsidRDefault="004F3103" w:rsidP="004F3103">
            <w:pPr>
              <w:pStyle w:val="142"/>
              <w:rPr>
                <w:rFonts w:hint="eastAsia"/>
                <w:color w:val="000000"/>
                <w:spacing w:val="-20"/>
              </w:rPr>
            </w:pPr>
          </w:p>
        </w:tc>
        <w:tc>
          <w:tcPr>
            <w:tcW w:w="798" w:type="dxa"/>
            <w:tcBorders>
              <w:top w:val="single" w:sz="4" w:space="0" w:color="auto"/>
            </w:tcBorders>
            <w:vAlign w:val="center"/>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c>
          <w:tcPr>
            <w:tcW w:w="1187" w:type="dxa"/>
            <w:vMerge/>
            <w:vAlign w:val="center"/>
          </w:tcPr>
          <w:p w:rsidR="004F3103" w:rsidRPr="00B965DF" w:rsidRDefault="004F3103" w:rsidP="004F3103">
            <w:pPr>
              <w:pStyle w:val="142"/>
              <w:rPr>
                <w:rFonts w:hint="eastAsia"/>
                <w:color w:val="000000"/>
                <w:spacing w:val="-20"/>
              </w:rPr>
            </w:pPr>
          </w:p>
        </w:tc>
        <w:tc>
          <w:tcPr>
            <w:tcW w:w="809" w:type="dxa"/>
            <w:tcBorders>
              <w:top w:val="single" w:sz="4" w:space="0" w:color="auto"/>
            </w:tcBorders>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r>
      <w:tr w:rsidR="004F3103" w:rsidRPr="00B965DF">
        <w:tc>
          <w:tcPr>
            <w:tcW w:w="482" w:type="dxa"/>
          </w:tcPr>
          <w:p w:rsidR="004F3103" w:rsidRPr="00B965DF" w:rsidRDefault="004F3103" w:rsidP="004F3103">
            <w:pPr>
              <w:pStyle w:val="142"/>
              <w:ind w:leftChars="-42" w:left="-119" w:rightChars="-35" w:right="-99"/>
              <w:jc w:val="center"/>
              <w:rPr>
                <w:color w:val="000000"/>
                <w:spacing w:val="-20"/>
              </w:rPr>
            </w:pPr>
            <w:r w:rsidRPr="00B965DF">
              <w:rPr>
                <w:rFonts w:hint="eastAsia"/>
                <w:color w:val="000000"/>
                <w:spacing w:val="-20"/>
              </w:rPr>
              <w:t>1</w:t>
            </w:r>
            <w:r w:rsidRPr="00B965DF">
              <w:rPr>
                <w:color w:val="000000"/>
                <w:spacing w:val="-20"/>
              </w:rPr>
              <w:t>11</w:t>
            </w:r>
          </w:p>
        </w:tc>
        <w:tc>
          <w:tcPr>
            <w:tcW w:w="1361" w:type="dxa"/>
            <w:tcBorders>
              <w:right w:val="single" w:sz="4" w:space="0" w:color="auto"/>
            </w:tcBorders>
          </w:tcPr>
          <w:p w:rsidR="004F3103" w:rsidRPr="00B965DF" w:rsidRDefault="004F3103" w:rsidP="004F3103">
            <w:pPr>
              <w:pStyle w:val="142"/>
              <w:ind w:rightChars="-15" w:right="-42"/>
              <w:jc w:val="right"/>
              <w:rPr>
                <w:color w:val="000000"/>
                <w:spacing w:val="-20"/>
              </w:rPr>
            </w:pPr>
            <w:r w:rsidRPr="00B965DF">
              <w:rPr>
                <w:rFonts w:hint="eastAsia"/>
                <w:color w:val="000000"/>
                <w:spacing w:val="-20"/>
              </w:rPr>
              <w:t>1</w:t>
            </w:r>
            <w:r w:rsidRPr="00B965DF">
              <w:rPr>
                <w:color w:val="000000"/>
                <w:spacing w:val="-20"/>
              </w:rPr>
              <w:t>68,572,937</w:t>
            </w:r>
          </w:p>
        </w:tc>
        <w:tc>
          <w:tcPr>
            <w:tcW w:w="709" w:type="dxa"/>
            <w:tcBorders>
              <w:top w:val="single" w:sz="4" w:space="0" w:color="auto"/>
              <w:left w:val="single" w:sz="4" w:space="0" w:color="auto"/>
              <w:bottom w:val="single" w:sz="4" w:space="0" w:color="auto"/>
              <w:right w:val="double" w:sz="4" w:space="0" w:color="auto"/>
            </w:tcBorders>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1.32</w:t>
            </w:r>
          </w:p>
        </w:tc>
        <w:tc>
          <w:tcPr>
            <w:tcW w:w="1186" w:type="dxa"/>
            <w:tcBorders>
              <w:top w:val="single" w:sz="4" w:space="0" w:color="auto"/>
              <w:left w:val="double" w:sz="4" w:space="0" w:color="auto"/>
              <w:bottom w:val="single" w:sz="4" w:space="0" w:color="auto"/>
            </w:tcBorders>
          </w:tcPr>
          <w:p w:rsidR="004F3103" w:rsidRPr="00B965DF" w:rsidRDefault="004F3103" w:rsidP="004F3103">
            <w:pPr>
              <w:pStyle w:val="142"/>
              <w:ind w:rightChars="-15" w:right="-42"/>
              <w:jc w:val="right"/>
              <w:rPr>
                <w:color w:val="000000"/>
                <w:spacing w:val="-20"/>
              </w:rPr>
            </w:pPr>
            <w:r w:rsidRPr="00B965DF">
              <w:rPr>
                <w:rFonts w:hint="eastAsia"/>
                <w:color w:val="000000"/>
                <w:spacing w:val="-20"/>
              </w:rPr>
              <w:t>6</w:t>
            </w:r>
            <w:r w:rsidRPr="00B965DF">
              <w:rPr>
                <w:color w:val="000000"/>
                <w:spacing w:val="-20"/>
              </w:rPr>
              <w:t>,056,825</w:t>
            </w:r>
          </w:p>
        </w:tc>
        <w:tc>
          <w:tcPr>
            <w:tcW w:w="784"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3.85</w:t>
            </w:r>
          </w:p>
        </w:tc>
        <w:tc>
          <w:tcPr>
            <w:tcW w:w="1148" w:type="dxa"/>
            <w:vAlign w:val="center"/>
          </w:tcPr>
          <w:p w:rsidR="004F3103" w:rsidRPr="00B965DF" w:rsidRDefault="004F3103" w:rsidP="004F3103">
            <w:pPr>
              <w:pStyle w:val="142"/>
              <w:ind w:rightChars="-15" w:right="-42"/>
              <w:jc w:val="right"/>
              <w:rPr>
                <w:color w:val="000000"/>
                <w:spacing w:val="-20"/>
              </w:rPr>
            </w:pPr>
            <w:r w:rsidRPr="00B965DF">
              <w:rPr>
                <w:rFonts w:hint="eastAsia"/>
                <w:color w:val="000000"/>
                <w:spacing w:val="-20"/>
              </w:rPr>
              <w:t>4</w:t>
            </w:r>
            <w:r w:rsidRPr="00B965DF">
              <w:rPr>
                <w:color w:val="000000"/>
                <w:spacing w:val="-20"/>
              </w:rPr>
              <w:t>,345,347</w:t>
            </w:r>
          </w:p>
        </w:tc>
        <w:tc>
          <w:tcPr>
            <w:tcW w:w="79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3.07</w:t>
            </w:r>
          </w:p>
        </w:tc>
        <w:tc>
          <w:tcPr>
            <w:tcW w:w="1187" w:type="dxa"/>
            <w:vAlign w:val="center"/>
          </w:tcPr>
          <w:p w:rsidR="004F3103" w:rsidRPr="00B965DF" w:rsidRDefault="004F3103" w:rsidP="004F3103">
            <w:pPr>
              <w:pStyle w:val="142"/>
              <w:ind w:rightChars="-15" w:right="-42"/>
              <w:jc w:val="right"/>
              <w:rPr>
                <w:color w:val="000000"/>
                <w:spacing w:val="-20"/>
              </w:rPr>
            </w:pPr>
            <w:r w:rsidRPr="00B965DF">
              <w:rPr>
                <w:rFonts w:hint="eastAsia"/>
                <w:color w:val="000000"/>
                <w:spacing w:val="-20"/>
              </w:rPr>
              <w:t>3</w:t>
            </w:r>
            <w:r w:rsidRPr="00B965DF">
              <w:rPr>
                <w:color w:val="000000"/>
                <w:spacing w:val="-20"/>
              </w:rPr>
              <w:t>,267,076</w:t>
            </w:r>
          </w:p>
        </w:tc>
        <w:tc>
          <w:tcPr>
            <w:tcW w:w="809"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7.74</w:t>
            </w:r>
          </w:p>
        </w:tc>
      </w:tr>
      <w:tr w:rsidR="004F3103" w:rsidRPr="00B965DF">
        <w:tc>
          <w:tcPr>
            <w:tcW w:w="482" w:type="dxa"/>
          </w:tcPr>
          <w:p w:rsidR="004F3103" w:rsidRPr="00B965DF" w:rsidRDefault="004F3103" w:rsidP="004F3103">
            <w:pPr>
              <w:pStyle w:val="142"/>
              <w:ind w:leftChars="-42" w:left="-119" w:rightChars="-35" w:right="-99"/>
              <w:jc w:val="center"/>
              <w:rPr>
                <w:rFonts w:hint="eastAsia"/>
                <w:color w:val="000000"/>
                <w:spacing w:val="-20"/>
              </w:rPr>
            </w:pPr>
            <w:r w:rsidRPr="00B965DF">
              <w:rPr>
                <w:rFonts w:hint="eastAsia"/>
                <w:color w:val="000000"/>
                <w:spacing w:val="-20"/>
              </w:rPr>
              <w:t>112</w:t>
            </w:r>
          </w:p>
        </w:tc>
        <w:tc>
          <w:tcPr>
            <w:tcW w:w="1361" w:type="dxa"/>
            <w:tcBorders>
              <w:right w:val="single" w:sz="4"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164</w:t>
            </w:r>
            <w:r w:rsidRPr="00B965DF">
              <w:rPr>
                <w:color w:val="000000"/>
                <w:spacing w:val="-20"/>
              </w:rPr>
              <w:t>,012,891</w:t>
            </w:r>
          </w:p>
        </w:tc>
        <w:tc>
          <w:tcPr>
            <w:tcW w:w="709" w:type="dxa"/>
            <w:tcBorders>
              <w:top w:val="single" w:sz="4" w:space="0" w:color="auto"/>
              <w:left w:val="single" w:sz="4" w:space="0" w:color="auto"/>
              <w:bottom w:val="single" w:sz="4" w:space="0" w:color="auto"/>
              <w:right w:val="double" w:sz="4" w:space="0" w:color="auto"/>
            </w:tcBorders>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-2.71</w:t>
            </w:r>
          </w:p>
        </w:tc>
        <w:tc>
          <w:tcPr>
            <w:tcW w:w="1186" w:type="dxa"/>
            <w:tcBorders>
              <w:top w:val="single" w:sz="4" w:space="0" w:color="auto"/>
              <w:left w:val="double" w:sz="4" w:space="0" w:color="auto"/>
              <w:bottom w:val="single" w:sz="4"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6</w:t>
            </w:r>
            <w:r w:rsidRPr="00B965DF">
              <w:rPr>
                <w:color w:val="000000"/>
                <w:spacing w:val="-20"/>
              </w:rPr>
              <w:t>,</w:t>
            </w:r>
            <w:r w:rsidRPr="00B965DF">
              <w:rPr>
                <w:rFonts w:hint="eastAsia"/>
                <w:color w:val="000000"/>
                <w:spacing w:val="-20"/>
              </w:rPr>
              <w:t>234</w:t>
            </w:r>
            <w:r w:rsidRPr="00B965DF">
              <w:rPr>
                <w:color w:val="000000"/>
                <w:spacing w:val="-20"/>
              </w:rPr>
              <w:t>,903</w:t>
            </w:r>
          </w:p>
        </w:tc>
        <w:tc>
          <w:tcPr>
            <w:tcW w:w="784"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2.94</w:t>
            </w:r>
          </w:p>
        </w:tc>
        <w:tc>
          <w:tcPr>
            <w:tcW w:w="114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4</w:t>
            </w:r>
            <w:r w:rsidRPr="00B965DF">
              <w:rPr>
                <w:color w:val="000000"/>
                <w:spacing w:val="-20"/>
              </w:rPr>
              <w:t>,484,506</w:t>
            </w:r>
          </w:p>
        </w:tc>
        <w:tc>
          <w:tcPr>
            <w:tcW w:w="79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3.20</w:t>
            </w:r>
          </w:p>
        </w:tc>
        <w:tc>
          <w:tcPr>
            <w:tcW w:w="1187"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w:t>
            </w:r>
            <w:r w:rsidRPr="00B965DF">
              <w:rPr>
                <w:color w:val="000000"/>
                <w:spacing w:val="-20"/>
              </w:rPr>
              <w:t>,377,163</w:t>
            </w:r>
          </w:p>
        </w:tc>
        <w:tc>
          <w:tcPr>
            <w:tcW w:w="809"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3.37</w:t>
            </w:r>
          </w:p>
        </w:tc>
      </w:tr>
      <w:tr w:rsidR="004F3103" w:rsidRPr="00B965DF">
        <w:tc>
          <w:tcPr>
            <w:tcW w:w="482" w:type="dxa"/>
          </w:tcPr>
          <w:p w:rsidR="004F3103" w:rsidRPr="00B965DF" w:rsidRDefault="004F3103" w:rsidP="004F3103">
            <w:pPr>
              <w:pStyle w:val="142"/>
              <w:ind w:leftChars="-42" w:left="-119" w:rightChars="-35" w:right="-99"/>
              <w:jc w:val="center"/>
              <w:rPr>
                <w:rFonts w:hint="eastAsia"/>
                <w:color w:val="000000"/>
                <w:spacing w:val="-20"/>
              </w:rPr>
            </w:pPr>
            <w:r w:rsidRPr="00B965DF">
              <w:rPr>
                <w:rFonts w:hint="eastAsia"/>
                <w:color w:val="000000"/>
                <w:spacing w:val="-20"/>
              </w:rPr>
              <w:t>113</w:t>
            </w:r>
          </w:p>
        </w:tc>
        <w:tc>
          <w:tcPr>
            <w:tcW w:w="1361" w:type="dxa"/>
            <w:tcBorders>
              <w:right w:val="single" w:sz="4"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167,537,119</w:t>
            </w:r>
          </w:p>
        </w:tc>
        <w:tc>
          <w:tcPr>
            <w:tcW w:w="709" w:type="dxa"/>
            <w:tcBorders>
              <w:top w:val="single" w:sz="4" w:space="0" w:color="auto"/>
              <w:left w:val="single" w:sz="4" w:space="0" w:color="auto"/>
              <w:bottom w:val="single" w:sz="12" w:space="0" w:color="auto"/>
              <w:right w:val="double" w:sz="4" w:space="0" w:color="auto"/>
            </w:tcBorders>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2.15</w:t>
            </w:r>
          </w:p>
        </w:tc>
        <w:tc>
          <w:tcPr>
            <w:tcW w:w="1186" w:type="dxa"/>
            <w:tcBorders>
              <w:top w:val="single" w:sz="4" w:space="0" w:color="auto"/>
              <w:left w:val="double" w:sz="4" w:space="0" w:color="auto"/>
              <w:bottom w:val="single" w:sz="12"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6,310,094</w:t>
            </w:r>
          </w:p>
        </w:tc>
        <w:tc>
          <w:tcPr>
            <w:tcW w:w="784"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1.21</w:t>
            </w:r>
          </w:p>
        </w:tc>
        <w:tc>
          <w:tcPr>
            <w:tcW w:w="114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4,690,206</w:t>
            </w:r>
          </w:p>
        </w:tc>
        <w:tc>
          <w:tcPr>
            <w:tcW w:w="79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4.59</w:t>
            </w:r>
          </w:p>
        </w:tc>
        <w:tc>
          <w:tcPr>
            <w:tcW w:w="1187"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3,489,837</w:t>
            </w:r>
          </w:p>
        </w:tc>
        <w:tc>
          <w:tcPr>
            <w:tcW w:w="809"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3.34</w:t>
            </w:r>
          </w:p>
        </w:tc>
      </w:tr>
    </w:tbl>
    <w:p w:rsidR="004F3103" w:rsidRPr="00B965DF" w:rsidRDefault="004F3103" w:rsidP="004F3103">
      <w:pPr>
        <w:adjustRightInd w:val="0"/>
        <w:spacing w:line="300" w:lineRule="exact"/>
        <w:ind w:leftChars="0" w:left="973" w:rightChars="-50" w:right="-142" w:hangingChars="400" w:hanging="973"/>
        <w:rPr>
          <w:rFonts w:hAnsi="標楷體"/>
          <w:color w:val="000000"/>
          <w:sz w:val="24"/>
          <w:szCs w:val="24"/>
        </w:rPr>
      </w:pPr>
      <w:r w:rsidRPr="00B965DF">
        <w:rPr>
          <w:rFonts w:hAnsi="標楷體" w:hint="eastAsia"/>
          <w:color w:val="000000"/>
          <w:sz w:val="24"/>
          <w:szCs w:val="24"/>
        </w:rPr>
        <w:t>資料來源：經濟部1</w:t>
      </w:r>
      <w:r w:rsidRPr="00B965DF">
        <w:rPr>
          <w:rFonts w:hAnsi="標楷體"/>
          <w:color w:val="000000"/>
          <w:sz w:val="24"/>
          <w:szCs w:val="24"/>
        </w:rPr>
        <w:t>1</w:t>
      </w:r>
      <w:r w:rsidRPr="00B965DF">
        <w:rPr>
          <w:rFonts w:hAnsi="標楷體" w:hint="eastAsia"/>
          <w:color w:val="000000"/>
          <w:sz w:val="24"/>
          <w:szCs w:val="24"/>
        </w:rPr>
        <w:t>3年度統計年報「</w:t>
      </w:r>
      <w:r w:rsidRPr="00B965DF">
        <w:rPr>
          <w:rFonts w:hAnsi="標楷體"/>
          <w:color w:val="000000"/>
          <w:sz w:val="24"/>
          <w:szCs w:val="24"/>
        </w:rPr>
        <w:t>C5</w:t>
      </w:r>
      <w:r w:rsidRPr="00B965DF">
        <w:rPr>
          <w:rFonts w:hAnsi="標楷體" w:hint="eastAsia"/>
          <w:color w:val="000000"/>
          <w:sz w:val="24"/>
          <w:szCs w:val="24"/>
        </w:rPr>
        <w:t>電力使用量-按行業別分」。</w:t>
      </w:r>
    </w:p>
    <w:p w:rsidR="004F3103" w:rsidRPr="00B965DF" w:rsidRDefault="004F3103" w:rsidP="004F3103">
      <w:pPr>
        <w:ind w:left="566" w:firstLine="566"/>
        <w:rPr>
          <w:rFonts w:hint="eastAsia"/>
          <w:color w:val="000000"/>
        </w:rPr>
      </w:pPr>
      <w:r w:rsidRPr="00B965DF">
        <w:rPr>
          <w:rFonts w:hint="eastAsia"/>
          <w:color w:val="000000"/>
        </w:rPr>
        <w:t>綜上，商業署115年度新增辦理「深度節能-用戶導入ESCO行動計畫-跨部會ESCO輔導顧問團及經濟部節能服務團計畫」，總經費2億3,000萬元(執行期間115</w:t>
      </w:r>
      <w:r>
        <w:rPr>
          <w:rFonts w:hint="eastAsia"/>
          <w:color w:val="000000"/>
        </w:rPr>
        <w:t>至</w:t>
      </w:r>
      <w:r w:rsidRPr="00B965DF">
        <w:rPr>
          <w:rFonts w:hint="eastAsia"/>
          <w:color w:val="000000"/>
        </w:rPr>
        <w:t>116年)，115年度預算案編列第1年度經費1億1,500萬元，推動服務業節能診斷輔導工作。鑑於近3年度商業服務業用電量持續增加，允宜建立受輔導業者後續落實執行之控管機制並加強對外之擴散宣導，以提高成效。</w:t>
      </w:r>
    </w:p>
    <w:bookmarkEnd w:id="6"/>
    <w:bookmarkEnd w:id="3"/>
    <w:bookmarkEnd w:id="4"/>
    <w:bookmarkEnd w:id="5"/>
    <w:sectPr w:rsidR="004F3103" w:rsidRPr="00B965DF"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C365B1" w:rsidRPr="00C365B1">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如113年度主要以營運據點契約容量800瓩(kW)以下，具有減碳需求用戶為優先輔導對象；委辦計畫經費2,000萬，分別完成62家企業輔導，合計發掘節電潛力743.5萬度年並追蹤121家歷年受輔導企業用戶節能建議措施之落實情形；114年度委辦計畫發包金額2</w:t>
      </w:r>
      <w:r w:rsidRPr="004F3103">
        <w:t>,</w:t>
      </w:r>
      <w:r w:rsidRPr="004F3103">
        <w:rPr>
          <w:rFonts w:hint="eastAsia"/>
        </w:rPr>
        <w:t>300萬元。</w:t>
      </w:r>
    </w:p>
  </w:footnote>
  <w:footnote w:id="2">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112至114年度累計已編列預算30億元，參據「114年度辦理商業服務業節能設備補助計畫」執行成果修正後期中報告略以，(1)112度計畫補助1.6萬案，合計促成節電量2.12億度、減碳量10.72萬噸。(2)113年度計畫補助2萬案；合計促成節電量2.13億度、減碳量10.60萬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365B1"/>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FF0FBF7-1FAE-4747-A209-923D598A9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C44DD-FA9B-4A06-9A9C-363E3E807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321</Words>
  <Characters>1836</Characters>
  <Application>Microsoft Office Word</Application>
  <DocSecurity>0</DocSecurity>
  <Lines>15</Lines>
  <Paragraphs>4</Paragraphs>
  <ScaleCrop>false</ScaleCrop>
  <Company>HOME</Company>
  <LinksUpToDate>false</LinksUpToDate>
  <CharactersWithSpaces>2153</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2025-11-10T06:04:00Z</dcterms:created>
  <dcterms:modified xsi:type="dcterms:W3CDTF">2025-11-10T06:04:00Z</dcterms:modified>
</cp:coreProperties>
</file>