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656978" w:rsidRPr="005F3D13" w:rsidRDefault="00593B60" w:rsidP="00FE0534">
      <w:pPr>
        <w:pStyle w:val="14"/>
        <w:ind w:left="567" w:hanging="567"/>
        <w:rPr>
          <w:rFonts w:hint="eastAsia"/>
        </w:rPr>
      </w:pPr>
      <w:bookmarkStart w:id="1" w:name="_Toc116631639"/>
      <w:bookmarkStart w:id="2" w:name="_Toc146819448"/>
      <w:bookmarkStart w:id="3" w:name="_Toc147348729"/>
      <w:bookmarkStart w:id="4" w:name="_Toc147348777"/>
      <w:bookmarkStart w:id="5" w:name="_Toc148363475"/>
      <w:bookmarkStart w:id="6" w:name="_Toc213170900"/>
      <w:r>
        <w:rPr>
          <w:rFonts w:hint="eastAsia"/>
        </w:rPr>
        <w:t>六</w:t>
      </w:r>
      <w:r w:rsidR="00656978" w:rsidRPr="005F3D13">
        <w:rPr>
          <w:rFonts w:hint="eastAsia"/>
        </w:rPr>
        <w:t>、</w:t>
      </w:r>
      <w:bookmarkEnd w:id="1"/>
      <w:bookmarkEnd w:id="2"/>
      <w:bookmarkEnd w:id="3"/>
      <w:bookmarkEnd w:id="4"/>
      <w:bookmarkEnd w:id="5"/>
      <w:r w:rsidR="001F7F73" w:rsidRPr="005F3D13">
        <w:rPr>
          <w:rFonts w:hint="eastAsia"/>
        </w:rPr>
        <w:t>自114年度起增編預算推動原住民族優秀與潛優運動選手培育計畫，惟截至114年8月底計畫及預算執行均未達五成，允宜研謀有效推動機制並強化管理</w:t>
      </w:r>
      <w:bookmarkEnd w:id="6"/>
    </w:p>
    <w:p w:rsidR="00656978" w:rsidRPr="005F3D13" w:rsidRDefault="00BD1D9E" w:rsidP="00656978">
      <w:pPr>
        <w:ind w:left="566" w:firstLine="566"/>
      </w:pPr>
      <w:r w:rsidRPr="005F3D13">
        <w:rPr>
          <w:rFonts w:hint="eastAsia"/>
        </w:rPr>
        <w:t>原民會115年度預算案於「原住民族教育推展-01原住民族教育協調與發展經費</w:t>
      </w:r>
      <w:r w:rsidR="001F7F73" w:rsidRPr="005F3D13">
        <w:rPr>
          <w:rFonts w:hint="eastAsia"/>
        </w:rPr>
        <w:t>-培育原住民族人才</w:t>
      </w:r>
      <w:r w:rsidRPr="005F3D13">
        <w:rPr>
          <w:rFonts w:hint="eastAsia"/>
        </w:rPr>
        <w:t>」項下編列「推動原住民專門人才獎勵，建置人才資料庫」3,200萬元</w:t>
      </w:r>
      <w:r w:rsidR="001F7F73" w:rsidRPr="005F3D13">
        <w:rPr>
          <w:rFonts w:hint="eastAsia"/>
        </w:rPr>
        <w:t>；</w:t>
      </w:r>
      <w:r w:rsidR="00B73F8E">
        <w:rPr>
          <w:rFonts w:hint="eastAsia"/>
        </w:rPr>
        <w:t>另</w:t>
      </w:r>
      <w:r w:rsidR="001F7F73" w:rsidRPr="005F3D13">
        <w:rPr>
          <w:rFonts w:hint="eastAsia"/>
        </w:rPr>
        <w:t>「原住民族教育推展-01原住民族教育協調與發展經費-推展南島民族有關教育及傳統競技交流」項下編列</w:t>
      </w:r>
      <w:r w:rsidRPr="005F3D13">
        <w:rPr>
          <w:rFonts w:hint="eastAsia"/>
        </w:rPr>
        <w:t>「推動原住民運動人才育成方案」經費</w:t>
      </w:r>
      <w:r w:rsidR="001F7F73" w:rsidRPr="005F3D13">
        <w:rPr>
          <w:rFonts w:hint="eastAsia"/>
        </w:rPr>
        <w:t>1</w:t>
      </w:r>
      <w:r w:rsidRPr="005F3D13">
        <w:rPr>
          <w:rFonts w:hint="eastAsia"/>
        </w:rPr>
        <w:t>億</w:t>
      </w:r>
      <w:r w:rsidR="001F7F73" w:rsidRPr="005F3D13">
        <w:rPr>
          <w:rFonts w:hint="eastAsia"/>
        </w:rPr>
        <w:t>3,300萬元</w:t>
      </w:r>
      <w:r w:rsidR="00B73F8E">
        <w:rPr>
          <w:rFonts w:hint="eastAsia"/>
        </w:rPr>
        <w:t>，</w:t>
      </w:r>
      <w:r w:rsidR="001F7F73" w:rsidRPr="005F3D13">
        <w:rPr>
          <w:rFonts w:hAnsi="標楷體" w:hint="eastAsia"/>
        </w:rPr>
        <w:t>及總預算案「直轄市及縣市政府-一般性補助款-原民會」</w:t>
      </w:r>
      <w:r w:rsidR="00B73F8E">
        <w:rPr>
          <w:rFonts w:hAnsi="標楷體" w:hint="eastAsia"/>
        </w:rPr>
        <w:t>編列</w:t>
      </w:r>
      <w:r w:rsidR="001F7F73" w:rsidRPr="005F3D13">
        <w:rPr>
          <w:rFonts w:hint="eastAsia"/>
        </w:rPr>
        <w:t>6,700萬</w:t>
      </w:r>
      <w:r w:rsidR="001F7F73" w:rsidRPr="005F3D13">
        <w:rPr>
          <w:rFonts w:hAnsi="標楷體" w:hint="eastAsia"/>
        </w:rPr>
        <w:t>，共計</w:t>
      </w:r>
      <w:r w:rsidR="00E2262A">
        <w:rPr>
          <w:rFonts w:hAnsi="標楷體" w:hint="eastAsia"/>
        </w:rPr>
        <w:t>2</w:t>
      </w:r>
      <w:r w:rsidR="001F7F73" w:rsidRPr="005F3D13">
        <w:rPr>
          <w:rFonts w:hAnsi="標楷體" w:hint="eastAsia"/>
        </w:rPr>
        <w:t>億元</w:t>
      </w:r>
      <w:r w:rsidRPr="005F3D13">
        <w:rPr>
          <w:rFonts w:hint="eastAsia"/>
        </w:rPr>
        <w:t>。經查：</w:t>
      </w:r>
    </w:p>
    <w:p w:rsidR="00E26342" w:rsidRPr="005F3D13" w:rsidRDefault="00E26342" w:rsidP="00E26342">
      <w:pPr>
        <w:ind w:left="849" w:hangingChars="100" w:hanging="283"/>
        <w:rPr>
          <w:rFonts w:hint="eastAsia"/>
          <w:b/>
        </w:rPr>
      </w:pPr>
      <w:r w:rsidRPr="005F3D13">
        <w:rPr>
          <w:rFonts w:hint="eastAsia"/>
          <w:b/>
        </w:rPr>
        <w:t>(一)</w:t>
      </w:r>
      <w:r w:rsidR="00BD1D9E" w:rsidRPr="005F3D13">
        <w:rPr>
          <w:rFonts w:hint="eastAsia"/>
          <w:b/>
        </w:rPr>
        <w:t>原住民族運動選手仍面臨經濟壓力及培訓體系不健全等困境，致基層選手難以穩定發展</w:t>
      </w:r>
    </w:p>
    <w:p w:rsidR="00BD1D9E" w:rsidRPr="005F3D13" w:rsidRDefault="00BD1D9E" w:rsidP="00BD1D9E">
      <w:pPr>
        <w:pStyle w:val="21"/>
        <w:ind w:left="850" w:firstLine="566"/>
      </w:pPr>
      <w:r w:rsidRPr="005F3D13">
        <w:rPr>
          <w:rFonts w:hint="eastAsia"/>
        </w:rPr>
        <w:t>原住民選手運動成就在臺灣體壇上一直備受肯定，原民會為因應原住民族教育法於87年公布施行，自88年度推動原住民專門人才獎勵計畫，獎勵項目包含「深造教育」、「學術專門著作」、「專業考試」、「專利」以及「體育傑出人才」等，其中「體育傑出人才」</w:t>
      </w:r>
      <w:r w:rsidR="00B73F8E">
        <w:rPr>
          <w:rFonts w:hint="eastAsia"/>
        </w:rPr>
        <w:t>110年度至114年8月</w:t>
      </w:r>
      <w:r w:rsidRPr="005F3D13">
        <w:rPr>
          <w:rFonts w:hint="eastAsia"/>
        </w:rPr>
        <w:t>獎勵件數共</w:t>
      </w:r>
      <w:r w:rsidR="00B73F8E">
        <w:rPr>
          <w:rFonts w:hint="eastAsia"/>
        </w:rPr>
        <w:t>1</w:t>
      </w:r>
      <w:r w:rsidRPr="005F3D13">
        <w:rPr>
          <w:rFonts w:hint="eastAsia"/>
        </w:rPr>
        <w:t>,</w:t>
      </w:r>
      <w:r w:rsidR="00B73F8E">
        <w:rPr>
          <w:rFonts w:hint="eastAsia"/>
        </w:rPr>
        <w:t>908</w:t>
      </w:r>
      <w:r w:rsidRPr="005F3D13">
        <w:rPr>
          <w:rFonts w:hint="eastAsia"/>
        </w:rPr>
        <w:t>件，核發獎勵金合計4,</w:t>
      </w:r>
      <w:r w:rsidR="00B73F8E">
        <w:rPr>
          <w:rFonts w:hint="eastAsia"/>
        </w:rPr>
        <w:t>6</w:t>
      </w:r>
      <w:r w:rsidR="005F3D13" w:rsidRPr="005F3D13">
        <w:rPr>
          <w:rFonts w:hint="eastAsia"/>
        </w:rPr>
        <w:t>00</w:t>
      </w:r>
      <w:r w:rsidRPr="005F3D13">
        <w:rPr>
          <w:rFonts w:hint="eastAsia"/>
        </w:rPr>
        <w:t>萬</w:t>
      </w:r>
      <w:r w:rsidR="005F3D13" w:rsidRPr="005F3D13">
        <w:rPr>
          <w:rFonts w:hint="eastAsia"/>
        </w:rPr>
        <w:t>3</w:t>
      </w:r>
      <w:r w:rsidRPr="005F3D13">
        <w:rPr>
          <w:rFonts w:hint="eastAsia"/>
        </w:rPr>
        <w:t>千元(詳表1)，顯示每年在體育賽事上表現優異之原住民族選手不少；惟具有運動潛能及天分之原住民族運動選手在運動發展上，常面臨資源不足、學業壓力、社會經濟壓力、社會變遷及缺乏完善運動職涯規劃等困境，</w:t>
      </w:r>
      <w:r w:rsidRPr="005F3D13">
        <w:t>致部分基層</w:t>
      </w:r>
      <w:r w:rsidRPr="005F3D13">
        <w:rPr>
          <w:rFonts w:hint="eastAsia"/>
        </w:rPr>
        <w:t>原住民族運動</w:t>
      </w:r>
      <w:r w:rsidRPr="005F3D13">
        <w:t>選手無法持續接受系統性訓練，</w:t>
      </w:r>
      <w:r w:rsidRPr="005F3D13">
        <w:rPr>
          <w:rFonts w:hint="eastAsia"/>
        </w:rPr>
        <w:t>進而</w:t>
      </w:r>
      <w:r w:rsidRPr="005F3D13">
        <w:t>影響運動技能精進與長期發展</w:t>
      </w:r>
      <w:r w:rsidRPr="005F3D13">
        <w:rPr>
          <w:rFonts w:hint="eastAsia"/>
        </w:rPr>
        <w:t>。</w:t>
      </w:r>
    </w:p>
    <w:p w:rsidR="00BD1D9E" w:rsidRPr="005F3D13" w:rsidRDefault="00BD1D9E" w:rsidP="00BD1D9E">
      <w:pPr>
        <w:adjustRightInd w:val="0"/>
        <w:ind w:leftChars="296" w:left="845" w:hangingChars="3" w:hanging="7"/>
        <w:rPr>
          <w:rFonts w:hAnsi="標楷體"/>
          <w:b/>
          <w:spacing w:val="-20"/>
        </w:rPr>
      </w:pPr>
      <w:bookmarkStart w:id="7" w:name="_Hlk212475240"/>
      <w:r w:rsidRPr="005F3D13">
        <w:rPr>
          <w:rFonts w:hAnsi="標楷體" w:hint="eastAsia"/>
          <w:b/>
          <w:spacing w:val="-20"/>
        </w:rPr>
        <w:lastRenderedPageBreak/>
        <w:t>表1  1</w:t>
      </w:r>
      <w:r w:rsidR="005F3D13" w:rsidRPr="005F3D13">
        <w:rPr>
          <w:rFonts w:hAnsi="標楷體" w:hint="eastAsia"/>
          <w:b/>
          <w:spacing w:val="-20"/>
        </w:rPr>
        <w:t>10</w:t>
      </w:r>
      <w:r w:rsidRPr="005F3D13">
        <w:rPr>
          <w:rFonts w:hAnsi="標楷體" w:hint="eastAsia"/>
          <w:b/>
          <w:spacing w:val="-20"/>
        </w:rPr>
        <w:t xml:space="preserve">至114年度原住民族「體育傑出人才」獎勵情形表 </w:t>
      </w:r>
    </w:p>
    <w:p w:rsidR="00BD1D9E" w:rsidRPr="005F3D13" w:rsidRDefault="00BD1D9E" w:rsidP="00BD1D9E">
      <w:pPr>
        <w:spacing w:line="340" w:lineRule="exact"/>
        <w:ind w:leftChars="0" w:left="686" w:rightChars="49" w:right="139" w:firstLineChars="0" w:hanging="828"/>
        <w:jc w:val="right"/>
        <w:rPr>
          <w:sz w:val="24"/>
          <w:szCs w:val="24"/>
        </w:rPr>
      </w:pPr>
      <w:r w:rsidRPr="005F3D13">
        <w:rPr>
          <w:rFonts w:hint="eastAsia"/>
          <w:sz w:val="24"/>
          <w:szCs w:val="24"/>
        </w:rPr>
        <w:t>單位:件；千元</w:t>
      </w:r>
    </w:p>
    <w:tbl>
      <w:tblPr>
        <w:tblW w:w="7513"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2835"/>
        <w:gridCol w:w="3544"/>
      </w:tblGrid>
      <w:tr w:rsidR="005F3D13" w:rsidRPr="005F3D13" w:rsidTr="00FB3430">
        <w:trPr>
          <w:tblHeader/>
        </w:trPr>
        <w:tc>
          <w:tcPr>
            <w:tcW w:w="1134" w:type="dxa"/>
            <w:shd w:val="clear" w:color="auto" w:fill="auto"/>
            <w:vAlign w:val="center"/>
          </w:tcPr>
          <w:p w:rsidR="00BD1D9E" w:rsidRPr="005F3D13" w:rsidRDefault="00BD1D9E" w:rsidP="00BD1D9E">
            <w:pPr>
              <w:pStyle w:val="142"/>
              <w:jc w:val="center"/>
            </w:pPr>
            <w:r w:rsidRPr="005F3D13">
              <w:rPr>
                <w:rFonts w:hint="eastAsia"/>
              </w:rPr>
              <w:t>年度</w:t>
            </w:r>
          </w:p>
        </w:tc>
        <w:tc>
          <w:tcPr>
            <w:tcW w:w="2835" w:type="dxa"/>
            <w:shd w:val="clear" w:color="auto" w:fill="auto"/>
            <w:vAlign w:val="center"/>
          </w:tcPr>
          <w:p w:rsidR="00BD1D9E" w:rsidRPr="005F3D13" w:rsidRDefault="00BD1D9E" w:rsidP="00BD1D9E">
            <w:pPr>
              <w:pStyle w:val="142"/>
              <w:jc w:val="center"/>
            </w:pPr>
            <w:r w:rsidRPr="005F3D13">
              <w:rPr>
                <w:rFonts w:hint="eastAsia"/>
              </w:rPr>
              <w:t>獎勵件數</w:t>
            </w:r>
          </w:p>
        </w:tc>
        <w:tc>
          <w:tcPr>
            <w:tcW w:w="3544" w:type="dxa"/>
            <w:shd w:val="clear" w:color="auto" w:fill="auto"/>
            <w:vAlign w:val="center"/>
          </w:tcPr>
          <w:p w:rsidR="00BD1D9E" w:rsidRPr="005F3D13" w:rsidRDefault="00BD1D9E" w:rsidP="00BD1D9E">
            <w:pPr>
              <w:pStyle w:val="142"/>
              <w:jc w:val="center"/>
            </w:pPr>
            <w:r w:rsidRPr="005F3D13">
              <w:rPr>
                <w:rFonts w:hint="eastAsia"/>
              </w:rPr>
              <w:t>獎勵金</w:t>
            </w:r>
          </w:p>
        </w:tc>
      </w:tr>
      <w:tr w:rsidR="005F3D13" w:rsidRPr="005F3D13" w:rsidTr="00FB3430">
        <w:trPr>
          <w:trHeight w:val="108"/>
        </w:trPr>
        <w:tc>
          <w:tcPr>
            <w:tcW w:w="1134" w:type="dxa"/>
            <w:shd w:val="clear" w:color="auto" w:fill="auto"/>
            <w:vAlign w:val="center"/>
          </w:tcPr>
          <w:p w:rsidR="00BD1D9E" w:rsidRPr="005F3D13" w:rsidRDefault="00BD1D9E" w:rsidP="00BD1D9E">
            <w:pPr>
              <w:pStyle w:val="142"/>
              <w:jc w:val="center"/>
            </w:pPr>
            <w:r w:rsidRPr="005F3D13">
              <w:rPr>
                <w:rFonts w:hint="eastAsia"/>
              </w:rPr>
              <w:t>110</w:t>
            </w:r>
          </w:p>
        </w:tc>
        <w:tc>
          <w:tcPr>
            <w:tcW w:w="2835" w:type="dxa"/>
            <w:shd w:val="clear" w:color="auto" w:fill="auto"/>
          </w:tcPr>
          <w:p w:rsidR="00BD1D9E" w:rsidRPr="005F3D13" w:rsidRDefault="00BD1D9E" w:rsidP="00BD1D9E">
            <w:pPr>
              <w:pStyle w:val="142"/>
              <w:jc w:val="right"/>
            </w:pPr>
            <w:r w:rsidRPr="005F3D13">
              <w:rPr>
                <w:rFonts w:hint="eastAsia"/>
              </w:rPr>
              <w:t>259</w:t>
            </w:r>
          </w:p>
        </w:tc>
        <w:tc>
          <w:tcPr>
            <w:tcW w:w="3544" w:type="dxa"/>
            <w:shd w:val="clear" w:color="auto" w:fill="auto"/>
          </w:tcPr>
          <w:p w:rsidR="00BD1D9E" w:rsidRPr="005F3D13" w:rsidRDefault="00BD1D9E" w:rsidP="00BD1D9E">
            <w:pPr>
              <w:pStyle w:val="142"/>
              <w:jc w:val="right"/>
            </w:pPr>
            <w:r w:rsidRPr="005F3D13">
              <w:rPr>
                <w:rFonts w:hint="eastAsia"/>
              </w:rPr>
              <w:t>6</w:t>
            </w:r>
            <w:r w:rsidRPr="005F3D13">
              <w:t>,</w:t>
            </w:r>
            <w:r w:rsidRPr="005F3D13">
              <w:rPr>
                <w:rFonts w:hint="eastAsia"/>
              </w:rPr>
              <w:t>077</w:t>
            </w:r>
          </w:p>
        </w:tc>
      </w:tr>
      <w:tr w:rsidR="005F3D13" w:rsidRPr="005F3D13" w:rsidTr="00FB3430">
        <w:trPr>
          <w:trHeight w:val="241"/>
        </w:trPr>
        <w:tc>
          <w:tcPr>
            <w:tcW w:w="1134" w:type="dxa"/>
            <w:shd w:val="clear" w:color="auto" w:fill="auto"/>
            <w:vAlign w:val="center"/>
          </w:tcPr>
          <w:p w:rsidR="00BD1D9E" w:rsidRPr="005F3D13" w:rsidRDefault="00BD1D9E" w:rsidP="00BD1D9E">
            <w:pPr>
              <w:pStyle w:val="142"/>
              <w:jc w:val="center"/>
            </w:pPr>
            <w:r w:rsidRPr="005F3D13">
              <w:rPr>
                <w:rFonts w:hint="eastAsia"/>
              </w:rPr>
              <w:t>111</w:t>
            </w:r>
          </w:p>
        </w:tc>
        <w:tc>
          <w:tcPr>
            <w:tcW w:w="2835" w:type="dxa"/>
            <w:shd w:val="clear" w:color="auto" w:fill="auto"/>
          </w:tcPr>
          <w:p w:rsidR="00BD1D9E" w:rsidRPr="005F3D13" w:rsidRDefault="00BD1D9E" w:rsidP="00BD1D9E">
            <w:pPr>
              <w:pStyle w:val="142"/>
              <w:jc w:val="right"/>
            </w:pPr>
            <w:r w:rsidRPr="005F3D13">
              <w:rPr>
                <w:rFonts w:hint="eastAsia"/>
              </w:rPr>
              <w:t>385</w:t>
            </w:r>
          </w:p>
        </w:tc>
        <w:tc>
          <w:tcPr>
            <w:tcW w:w="3544" w:type="dxa"/>
            <w:shd w:val="clear" w:color="auto" w:fill="auto"/>
          </w:tcPr>
          <w:p w:rsidR="00BD1D9E" w:rsidRPr="005F3D13" w:rsidRDefault="00BD1D9E" w:rsidP="00BD1D9E">
            <w:pPr>
              <w:pStyle w:val="142"/>
              <w:jc w:val="right"/>
            </w:pPr>
            <w:r w:rsidRPr="005F3D13">
              <w:rPr>
                <w:rFonts w:hint="eastAsia"/>
              </w:rPr>
              <w:t>8</w:t>
            </w:r>
            <w:r w:rsidRPr="005F3D13">
              <w:t>,</w:t>
            </w:r>
            <w:r w:rsidRPr="005F3D13">
              <w:rPr>
                <w:rFonts w:hint="eastAsia"/>
              </w:rPr>
              <w:t>592</w:t>
            </w:r>
          </w:p>
        </w:tc>
      </w:tr>
      <w:tr w:rsidR="005F3D13" w:rsidRPr="005F3D13" w:rsidTr="00FB3430">
        <w:trPr>
          <w:trHeight w:val="230"/>
        </w:trPr>
        <w:tc>
          <w:tcPr>
            <w:tcW w:w="1134" w:type="dxa"/>
            <w:shd w:val="clear" w:color="auto" w:fill="auto"/>
            <w:vAlign w:val="center"/>
          </w:tcPr>
          <w:p w:rsidR="00BD1D9E" w:rsidRPr="005F3D13" w:rsidRDefault="00BD1D9E" w:rsidP="00BD1D9E">
            <w:pPr>
              <w:pStyle w:val="142"/>
              <w:jc w:val="center"/>
            </w:pPr>
            <w:r w:rsidRPr="005F3D13">
              <w:rPr>
                <w:rFonts w:hint="eastAsia"/>
              </w:rPr>
              <w:t>112</w:t>
            </w:r>
          </w:p>
        </w:tc>
        <w:tc>
          <w:tcPr>
            <w:tcW w:w="2835" w:type="dxa"/>
            <w:shd w:val="clear" w:color="auto" w:fill="auto"/>
          </w:tcPr>
          <w:p w:rsidR="00BD1D9E" w:rsidRPr="005F3D13" w:rsidRDefault="00BD1D9E" w:rsidP="00BD1D9E">
            <w:pPr>
              <w:pStyle w:val="142"/>
              <w:jc w:val="right"/>
            </w:pPr>
            <w:r w:rsidRPr="005F3D13">
              <w:rPr>
                <w:rFonts w:hint="eastAsia"/>
              </w:rPr>
              <w:t>342</w:t>
            </w:r>
          </w:p>
        </w:tc>
        <w:tc>
          <w:tcPr>
            <w:tcW w:w="3544" w:type="dxa"/>
            <w:shd w:val="clear" w:color="auto" w:fill="auto"/>
          </w:tcPr>
          <w:p w:rsidR="00BD1D9E" w:rsidRPr="005F3D13" w:rsidRDefault="00BD1D9E" w:rsidP="00BD1D9E">
            <w:pPr>
              <w:pStyle w:val="142"/>
              <w:jc w:val="right"/>
            </w:pPr>
            <w:r w:rsidRPr="005F3D13">
              <w:rPr>
                <w:rFonts w:hint="eastAsia"/>
              </w:rPr>
              <w:t>7</w:t>
            </w:r>
            <w:r w:rsidRPr="005F3D13">
              <w:t>,</w:t>
            </w:r>
            <w:r w:rsidRPr="005F3D13">
              <w:rPr>
                <w:rFonts w:hint="eastAsia"/>
              </w:rPr>
              <w:t>682</w:t>
            </w:r>
          </w:p>
        </w:tc>
      </w:tr>
      <w:tr w:rsidR="005F3D13" w:rsidRPr="005F3D13" w:rsidTr="00FB3430">
        <w:trPr>
          <w:trHeight w:val="230"/>
        </w:trPr>
        <w:tc>
          <w:tcPr>
            <w:tcW w:w="1134" w:type="dxa"/>
            <w:shd w:val="clear" w:color="auto" w:fill="auto"/>
            <w:vAlign w:val="center"/>
          </w:tcPr>
          <w:p w:rsidR="005F3D13" w:rsidRPr="005F3D13" w:rsidRDefault="005F3D13" w:rsidP="005F3D13">
            <w:pPr>
              <w:pStyle w:val="142"/>
              <w:jc w:val="center"/>
              <w:rPr>
                <w:rFonts w:hint="eastAsia"/>
              </w:rPr>
            </w:pPr>
            <w:r w:rsidRPr="005F3D13">
              <w:rPr>
                <w:rFonts w:hint="eastAsia"/>
              </w:rPr>
              <w:t>113</w:t>
            </w:r>
          </w:p>
        </w:tc>
        <w:tc>
          <w:tcPr>
            <w:tcW w:w="2835" w:type="dxa"/>
            <w:shd w:val="clear" w:color="auto" w:fill="auto"/>
          </w:tcPr>
          <w:p w:rsidR="005F3D13" w:rsidRPr="005F3D13" w:rsidRDefault="005F3D13" w:rsidP="005F3D13">
            <w:pPr>
              <w:pStyle w:val="142"/>
              <w:jc w:val="right"/>
              <w:rPr>
                <w:rFonts w:hint="eastAsia"/>
              </w:rPr>
            </w:pPr>
            <w:r w:rsidRPr="005F3D13">
              <w:rPr>
                <w:rFonts w:ascii="Times New Roman"/>
              </w:rPr>
              <w:t>539</w:t>
            </w:r>
          </w:p>
        </w:tc>
        <w:tc>
          <w:tcPr>
            <w:tcW w:w="3544" w:type="dxa"/>
            <w:shd w:val="clear" w:color="auto" w:fill="auto"/>
          </w:tcPr>
          <w:p w:rsidR="005F3D13" w:rsidRPr="005F3D13" w:rsidRDefault="005F3D13" w:rsidP="005F3D13">
            <w:pPr>
              <w:pStyle w:val="142"/>
              <w:jc w:val="right"/>
              <w:rPr>
                <w:rFonts w:hint="eastAsia"/>
              </w:rPr>
            </w:pPr>
            <w:r w:rsidRPr="005F3D13">
              <w:rPr>
                <w:rFonts w:ascii="Times New Roman"/>
              </w:rPr>
              <w:t>14,543</w:t>
            </w:r>
          </w:p>
        </w:tc>
      </w:tr>
      <w:tr w:rsidR="005F3D13" w:rsidRPr="005F3D13" w:rsidTr="00FB3430">
        <w:trPr>
          <w:trHeight w:val="230"/>
        </w:trPr>
        <w:tc>
          <w:tcPr>
            <w:tcW w:w="1134" w:type="dxa"/>
            <w:shd w:val="clear" w:color="auto" w:fill="auto"/>
            <w:vAlign w:val="center"/>
          </w:tcPr>
          <w:p w:rsidR="005F3D13" w:rsidRPr="005F3D13" w:rsidRDefault="005F3D13" w:rsidP="005F3D13">
            <w:pPr>
              <w:pStyle w:val="142"/>
              <w:jc w:val="center"/>
              <w:rPr>
                <w:rFonts w:hint="eastAsia"/>
              </w:rPr>
            </w:pPr>
            <w:r w:rsidRPr="005F3D13">
              <w:rPr>
                <w:rFonts w:hint="eastAsia"/>
              </w:rPr>
              <w:t>114</w:t>
            </w:r>
          </w:p>
        </w:tc>
        <w:tc>
          <w:tcPr>
            <w:tcW w:w="2835" w:type="dxa"/>
            <w:shd w:val="clear" w:color="auto" w:fill="auto"/>
          </w:tcPr>
          <w:p w:rsidR="005F3D13" w:rsidRPr="005F3D13" w:rsidRDefault="005F3D13" w:rsidP="005F3D13">
            <w:pPr>
              <w:pStyle w:val="142"/>
              <w:jc w:val="right"/>
              <w:rPr>
                <w:rFonts w:hint="eastAsia"/>
              </w:rPr>
            </w:pPr>
            <w:r w:rsidRPr="005F3D13">
              <w:rPr>
                <w:rFonts w:ascii="Times New Roman"/>
              </w:rPr>
              <w:t>383</w:t>
            </w:r>
          </w:p>
        </w:tc>
        <w:tc>
          <w:tcPr>
            <w:tcW w:w="3544" w:type="dxa"/>
            <w:shd w:val="clear" w:color="auto" w:fill="auto"/>
          </w:tcPr>
          <w:p w:rsidR="005F3D13" w:rsidRPr="005F3D13" w:rsidRDefault="005F3D13" w:rsidP="005F3D13">
            <w:pPr>
              <w:pStyle w:val="142"/>
              <w:jc w:val="right"/>
              <w:rPr>
                <w:rFonts w:hint="eastAsia"/>
              </w:rPr>
            </w:pPr>
            <w:r w:rsidRPr="005F3D13">
              <w:rPr>
                <w:rFonts w:ascii="Times New Roman"/>
              </w:rPr>
              <w:t>9,10</w:t>
            </w:r>
            <w:r w:rsidRPr="005F3D13">
              <w:rPr>
                <w:rFonts w:ascii="Times New Roman" w:hint="eastAsia"/>
              </w:rPr>
              <w:t>9</w:t>
            </w:r>
          </w:p>
        </w:tc>
      </w:tr>
      <w:tr w:rsidR="005F3D13" w:rsidRPr="005F3D13" w:rsidTr="00FB3430">
        <w:trPr>
          <w:trHeight w:val="230"/>
        </w:trPr>
        <w:tc>
          <w:tcPr>
            <w:tcW w:w="1134" w:type="dxa"/>
            <w:shd w:val="clear" w:color="auto" w:fill="auto"/>
            <w:vAlign w:val="center"/>
          </w:tcPr>
          <w:p w:rsidR="005F3D13" w:rsidRPr="005F3D13" w:rsidRDefault="005F3D13" w:rsidP="005F3D13">
            <w:pPr>
              <w:pStyle w:val="142"/>
              <w:jc w:val="center"/>
            </w:pPr>
            <w:r w:rsidRPr="005F3D13">
              <w:rPr>
                <w:rFonts w:hint="eastAsia"/>
              </w:rPr>
              <w:t>合計</w:t>
            </w:r>
          </w:p>
        </w:tc>
        <w:tc>
          <w:tcPr>
            <w:tcW w:w="2835" w:type="dxa"/>
            <w:shd w:val="clear" w:color="auto" w:fill="auto"/>
          </w:tcPr>
          <w:p w:rsidR="005F3D13" w:rsidRPr="005F3D13" w:rsidRDefault="005F3D13" w:rsidP="005F3D13">
            <w:pPr>
              <w:pStyle w:val="142"/>
              <w:jc w:val="right"/>
              <w:rPr>
                <w:rFonts w:hint="eastAsia"/>
              </w:rPr>
            </w:pPr>
            <w:r w:rsidRPr="005F3D13">
              <w:rPr>
                <w:rFonts w:ascii="Times New Roman" w:hint="eastAsia"/>
              </w:rPr>
              <w:t>1,908</w:t>
            </w:r>
          </w:p>
        </w:tc>
        <w:tc>
          <w:tcPr>
            <w:tcW w:w="3544" w:type="dxa"/>
            <w:shd w:val="clear" w:color="auto" w:fill="auto"/>
          </w:tcPr>
          <w:p w:rsidR="005F3D13" w:rsidRPr="005F3D13" w:rsidRDefault="005F3D13" w:rsidP="005F3D13">
            <w:pPr>
              <w:pStyle w:val="142"/>
              <w:jc w:val="right"/>
              <w:rPr>
                <w:rFonts w:hint="eastAsia"/>
              </w:rPr>
            </w:pPr>
            <w:r w:rsidRPr="005F3D13">
              <w:rPr>
                <w:rFonts w:ascii="Times New Roman" w:hint="eastAsia"/>
              </w:rPr>
              <w:t>46</w:t>
            </w:r>
            <w:r w:rsidRPr="005F3D13">
              <w:rPr>
                <w:rFonts w:ascii="Times New Roman"/>
              </w:rPr>
              <w:t>,</w:t>
            </w:r>
            <w:r w:rsidRPr="005F3D13">
              <w:rPr>
                <w:rFonts w:ascii="Times New Roman" w:hint="eastAsia"/>
              </w:rPr>
              <w:t>003</w:t>
            </w:r>
          </w:p>
        </w:tc>
      </w:tr>
    </w:tbl>
    <w:p w:rsidR="007D00DD" w:rsidRDefault="007D00DD" w:rsidP="00BD1D9E">
      <w:pPr>
        <w:pStyle w:val="142"/>
        <w:ind w:leftChars="-44" w:left="-125" w:firstLine="923"/>
        <w:rPr>
          <w:rFonts w:hAnsi="標楷體"/>
        </w:rPr>
      </w:pPr>
      <w:r>
        <w:rPr>
          <w:rFonts w:hAnsi="標楷體" w:hint="eastAsia"/>
        </w:rPr>
        <w:t>說    明</w:t>
      </w:r>
      <w:r w:rsidRPr="005F3D13">
        <w:rPr>
          <w:rFonts w:hAnsi="標楷體" w:hint="eastAsia"/>
        </w:rPr>
        <w:t>：</w:t>
      </w:r>
      <w:r>
        <w:rPr>
          <w:rFonts w:hAnsi="標楷體" w:hint="eastAsia"/>
        </w:rPr>
        <w:t>114年度</w:t>
      </w:r>
      <w:r w:rsidR="001A17E7">
        <w:rPr>
          <w:rFonts w:hAnsi="標楷體" w:hint="eastAsia"/>
        </w:rPr>
        <w:t>資料</w:t>
      </w:r>
      <w:r>
        <w:rPr>
          <w:rFonts w:hAnsi="標楷體" w:hint="eastAsia"/>
        </w:rPr>
        <w:t>統計至8月底。</w:t>
      </w:r>
    </w:p>
    <w:p w:rsidR="00BD1D9E" w:rsidRPr="005F3D13" w:rsidRDefault="00BD1D9E" w:rsidP="00BD1D9E">
      <w:pPr>
        <w:pStyle w:val="142"/>
        <w:ind w:leftChars="-44" w:left="-125" w:firstLine="923"/>
        <w:rPr>
          <w:rFonts w:hAnsi="標楷體"/>
        </w:rPr>
      </w:pPr>
      <w:r w:rsidRPr="005F3D13">
        <w:rPr>
          <w:rFonts w:hAnsi="標楷體" w:hint="eastAsia"/>
        </w:rPr>
        <w:t>資料來源：原民會提供。</w:t>
      </w:r>
    </w:p>
    <w:bookmarkEnd w:id="7"/>
    <w:p w:rsidR="00656978" w:rsidRPr="005F3D13" w:rsidRDefault="00656978" w:rsidP="00656978">
      <w:pPr>
        <w:ind w:left="849" w:hangingChars="100" w:hanging="283"/>
        <w:rPr>
          <w:rFonts w:hint="eastAsia"/>
          <w:b/>
        </w:rPr>
      </w:pPr>
      <w:r w:rsidRPr="005F3D13">
        <w:rPr>
          <w:rFonts w:hint="eastAsia"/>
          <w:b/>
        </w:rPr>
        <w:t>(</w:t>
      </w:r>
      <w:r w:rsidR="00E26342" w:rsidRPr="005F3D13">
        <w:rPr>
          <w:rFonts w:hint="eastAsia"/>
          <w:b/>
        </w:rPr>
        <w:t>二)</w:t>
      </w:r>
      <w:r w:rsidR="00617BE9" w:rsidRPr="005F3D13">
        <w:rPr>
          <w:rFonts w:hint="eastAsia"/>
          <w:b/>
        </w:rPr>
        <w:t>原民會自114年度起增編預算推動原住民族優秀與潛優運動選手培育計畫，</w:t>
      </w:r>
      <w:r w:rsidR="00617BE9" w:rsidRPr="005F3D13">
        <w:rPr>
          <w:b/>
        </w:rPr>
        <w:t>惟截至114年8月底計畫</w:t>
      </w:r>
      <w:r w:rsidR="0068617B">
        <w:rPr>
          <w:rFonts w:hint="eastAsia"/>
          <w:b/>
        </w:rPr>
        <w:t>目標達成</w:t>
      </w:r>
      <w:r w:rsidR="00617BE9" w:rsidRPr="005F3D13">
        <w:rPr>
          <w:rFonts w:hint="eastAsia"/>
          <w:b/>
        </w:rPr>
        <w:t>及預算</w:t>
      </w:r>
      <w:r w:rsidR="00617BE9" w:rsidRPr="005F3D13">
        <w:rPr>
          <w:b/>
        </w:rPr>
        <w:t>執行均未達五成</w:t>
      </w:r>
    </w:p>
    <w:p w:rsidR="00BD1D9E" w:rsidRPr="005F3D13" w:rsidRDefault="00BD1D9E" w:rsidP="0068617B">
      <w:pPr>
        <w:pStyle w:val="21"/>
        <w:ind w:left="850" w:firstLine="566"/>
        <w:rPr>
          <w:rFonts w:hint="eastAsia"/>
        </w:rPr>
      </w:pPr>
      <w:r w:rsidRPr="005F3D13">
        <w:rPr>
          <w:rFonts w:hint="eastAsia"/>
        </w:rPr>
        <w:t>為突破原住民族運動發展所面臨之困境，並積極發掘、培養更多基層的原住民族運動選手，原民會依行政院指示，自114年度起擴大支持協助原住民族運動人才發展，配合於114年度預算案增編</w:t>
      </w:r>
      <w:r w:rsidRPr="005F3D13">
        <w:rPr>
          <w:rFonts w:hAnsi="標楷體" w:hint="eastAsia"/>
        </w:rPr>
        <w:t>「體育人才培力」</w:t>
      </w:r>
      <w:r w:rsidRPr="005F3D13">
        <w:rPr>
          <w:rFonts w:hint="eastAsia"/>
        </w:rPr>
        <w:t>2億元，按照不同類型的原住民運動選手(奧運選手、亞奧運培訓選手、全運會選手、全大運選手、全中運選手等)及教練之實際需求，研訂「原住民族優秀運動選手拔尖計畫」與「原住民族潛優運動選手培育計畫」兩種，加強提供訓練及參賽之支持</w:t>
      </w:r>
      <w:r w:rsidR="00617BE9" w:rsidRPr="005F3D13">
        <w:rPr>
          <w:rFonts w:hint="eastAsia"/>
        </w:rPr>
        <w:t>。另原民會依據近年原住民選手取得亞、奧運等國際賽會成績，擇定最具優勢之田徑、舉重、射箭、射擊、拳擊、柔道、跆拳道等7項進行人才培育，115年度預算案賡續編列</w:t>
      </w:r>
      <w:r w:rsidR="0068617B" w:rsidRPr="005F3D13">
        <w:rPr>
          <w:rFonts w:hint="eastAsia"/>
        </w:rPr>
        <w:t>「推動原住民運動人才育成方案」</w:t>
      </w:r>
      <w:r w:rsidR="00617BE9" w:rsidRPr="005F3D13">
        <w:rPr>
          <w:rFonts w:hint="eastAsia"/>
        </w:rPr>
        <w:t>2億元</w:t>
      </w:r>
      <w:r w:rsidR="0068617B">
        <w:rPr>
          <w:rFonts w:hint="eastAsia"/>
        </w:rPr>
        <w:t>辦理前揭兩計畫</w:t>
      </w:r>
      <w:r w:rsidR="00617BE9" w:rsidRPr="005F3D13">
        <w:rPr>
          <w:rFonts w:hint="eastAsia"/>
        </w:rPr>
        <w:t>，以挹注現有資源不足之項目，如生活津貼、移地訓練、聘用運動科學支援人力、個人設備器材、營養金、教練績效獎金、訓練場地修繕及設備購置等項目之補助；惟該計畫截至114年8月底，受理人數207</w:t>
      </w:r>
      <w:r w:rsidR="003B6406" w:rsidRPr="005F3D13">
        <w:rPr>
          <w:rFonts w:hint="eastAsia"/>
        </w:rPr>
        <w:t>件</w:t>
      </w:r>
      <w:r w:rsidR="00617BE9" w:rsidRPr="005F3D13">
        <w:rPr>
          <w:rFonts w:hint="eastAsia"/>
        </w:rPr>
        <w:t>、預算執行數8,941萬3千元，受</w:t>
      </w:r>
      <w:r w:rsidR="00617BE9" w:rsidRPr="005F3D13">
        <w:rPr>
          <w:rFonts w:hint="eastAsia"/>
        </w:rPr>
        <w:lastRenderedPageBreak/>
        <w:t>理目標達成率41.4%</w:t>
      </w:r>
      <w:r w:rsidR="00617BE9" w:rsidRPr="005F3D13">
        <w:rPr>
          <w:rStyle w:val="af5"/>
        </w:rPr>
        <w:footnoteReference w:id="1"/>
      </w:r>
      <w:r w:rsidR="00617BE9" w:rsidRPr="005F3D13">
        <w:rPr>
          <w:rFonts w:hint="eastAsia"/>
        </w:rPr>
        <w:t>、預算執行率44.71%，均未達五成，</w:t>
      </w:r>
      <w:r w:rsidR="00617BE9" w:rsidRPr="005F3D13">
        <w:t>顯示</w:t>
      </w:r>
      <w:r w:rsidR="00296F28">
        <w:rPr>
          <w:rFonts w:hint="eastAsia"/>
        </w:rPr>
        <w:t>方案</w:t>
      </w:r>
      <w:r w:rsidR="00617BE9" w:rsidRPr="005F3D13">
        <w:t>推動進度與執行效益仍有強化空間，允宜檢討審核作業流程與資源配置機制，確保後續培訓資源能有效落實於選手需求及培育目標之達成</w:t>
      </w:r>
      <w:r w:rsidR="00617BE9" w:rsidRPr="005F3D13">
        <w:rPr>
          <w:rFonts w:hint="eastAsia"/>
        </w:rPr>
        <w:t>。</w:t>
      </w:r>
    </w:p>
    <w:p w:rsidR="00656978" w:rsidRDefault="00E11D4C" w:rsidP="00656978">
      <w:pPr>
        <w:ind w:left="566" w:firstLine="566"/>
        <w:rPr>
          <w:rFonts w:hAnsi="標楷體"/>
        </w:rPr>
      </w:pPr>
      <w:r w:rsidRPr="005F3D13">
        <w:rPr>
          <w:rFonts w:hint="eastAsia"/>
        </w:rPr>
        <w:t>綜上，</w:t>
      </w:r>
      <w:r w:rsidR="00617BE9" w:rsidRPr="005F3D13">
        <w:t>原民會自114年度起推動原住民族優秀</w:t>
      </w:r>
      <w:r w:rsidR="00296F28">
        <w:rPr>
          <w:rFonts w:hint="eastAsia"/>
        </w:rPr>
        <w:t>及</w:t>
      </w:r>
      <w:r w:rsidR="00617BE9" w:rsidRPr="005F3D13">
        <w:t>潛優運動選手培育計畫，</w:t>
      </w:r>
      <w:r w:rsidR="00296F28">
        <w:rPr>
          <w:rFonts w:hint="eastAsia"/>
        </w:rPr>
        <w:t>續</w:t>
      </w:r>
      <w:r w:rsidR="00617BE9" w:rsidRPr="005F3D13">
        <w:t>於115年度</w:t>
      </w:r>
      <w:r w:rsidR="0068617B">
        <w:rPr>
          <w:rFonts w:hint="eastAsia"/>
        </w:rPr>
        <w:t>預算案</w:t>
      </w:r>
      <w:r w:rsidR="00296F28">
        <w:rPr>
          <w:rFonts w:hint="eastAsia"/>
        </w:rPr>
        <w:t>編列</w:t>
      </w:r>
      <w:r w:rsidR="0068617B" w:rsidRPr="005F3D13">
        <w:rPr>
          <w:rFonts w:hint="eastAsia"/>
        </w:rPr>
        <w:t>「推動原住民運動人才育成方案」</w:t>
      </w:r>
      <w:r w:rsidR="00617BE9" w:rsidRPr="005F3D13">
        <w:t>2億元，以強化原住民族運動人才培力及訓練支持，惟截至114年8月底</w:t>
      </w:r>
      <w:r w:rsidR="00296F28">
        <w:rPr>
          <w:rFonts w:hint="eastAsia"/>
        </w:rPr>
        <w:t>，</w:t>
      </w:r>
      <w:r w:rsidR="0068617B">
        <w:rPr>
          <w:rFonts w:hint="eastAsia"/>
        </w:rPr>
        <w:t>前揭計畫</w:t>
      </w:r>
      <w:r w:rsidR="00617BE9" w:rsidRPr="005F3D13">
        <w:t>受理目標達成率及預算執行率均未達五成，允宜檢討推動進度與執行機制，完善培訓資源配置與管理，以確保原住民族運動選手培育成效及運動發展能量之持續提升</w:t>
      </w:r>
      <w:r w:rsidR="00656978" w:rsidRPr="005F3D13">
        <w:rPr>
          <w:rFonts w:hAnsi="標楷體" w:hint="eastAsia"/>
        </w:rPr>
        <w:t>。</w:t>
      </w:r>
    </w:p>
    <w:sectPr w:rsidR="00656978"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3C0FA6" w:rsidRPr="003C0FA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 w:id="1">
    <w:p w:rsidR="00617BE9" w:rsidRPr="00BD1D9E" w:rsidRDefault="00617BE9" w:rsidP="00617BE9">
      <w:pPr>
        <w:pStyle w:val="af3"/>
        <w:ind w:leftChars="0" w:left="564" w:hangingChars="232" w:hanging="564"/>
        <w:rPr>
          <w:rFonts w:hint="eastAsia"/>
          <w:sz w:val="24"/>
          <w:szCs w:val="24"/>
        </w:rPr>
      </w:pPr>
      <w:r w:rsidRPr="00BD1D9E">
        <w:rPr>
          <w:rStyle w:val="af5"/>
          <w:sz w:val="24"/>
          <w:szCs w:val="24"/>
        </w:rPr>
        <w:footnoteRef/>
      </w:r>
      <w:r w:rsidRPr="00BD1D9E">
        <w:rPr>
          <w:sz w:val="24"/>
          <w:szCs w:val="24"/>
        </w:rPr>
        <w:t xml:space="preserve"> </w:t>
      </w:r>
      <w:r w:rsidRPr="003B6406">
        <w:rPr>
          <w:rFonts w:hint="eastAsia"/>
          <w:sz w:val="24"/>
          <w:szCs w:val="24"/>
        </w:rPr>
        <w:t>114年度受理</w:t>
      </w:r>
      <w:r w:rsidR="003B6406" w:rsidRPr="003B6406">
        <w:rPr>
          <w:rFonts w:hint="eastAsia"/>
          <w:sz w:val="24"/>
          <w:szCs w:val="24"/>
        </w:rPr>
        <w:t>件數</w:t>
      </w:r>
      <w:r w:rsidRPr="003B6406">
        <w:rPr>
          <w:rFonts w:hint="eastAsia"/>
          <w:sz w:val="24"/>
          <w:szCs w:val="24"/>
        </w:rPr>
        <w:t>目標為500</w:t>
      </w:r>
      <w:r w:rsidR="003B6406" w:rsidRPr="003B6406">
        <w:rPr>
          <w:rFonts w:hint="eastAsia"/>
          <w:sz w:val="24"/>
          <w:szCs w:val="24"/>
        </w:rPr>
        <w:t>件</w:t>
      </w:r>
      <w:r w:rsidRPr="003B6406">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0FA6"/>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C2443A2-43A1-486E-A0B7-E21A1B97D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680AE-3B40-4A46-B3CC-8E8C6D8B0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238</Words>
  <Characters>1359</Characters>
  <Application>Microsoft Office Word</Application>
  <DocSecurity>0</DocSecurity>
  <Lines>11</Lines>
  <Paragraphs>3</Paragraphs>
  <ScaleCrop>false</ScaleCrop>
  <Company/>
  <LinksUpToDate>false</LinksUpToDate>
  <CharactersWithSpaces>1594</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