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04772D" w:rsidRPr="009C3D6E" w:rsidRDefault="00E56BCD" w:rsidP="00366C9F">
      <w:pPr>
        <w:pStyle w:val="14"/>
        <w:tabs>
          <w:tab w:val="left" w:pos="5387"/>
        </w:tabs>
        <w:ind w:left="437" w:hangingChars="154" w:hanging="437"/>
        <w:rPr>
          <w:rFonts w:ascii="標楷體" w:eastAsia="標楷體" w:hAnsi="標楷體"/>
          <w:color w:val="000000"/>
        </w:rPr>
      </w:pPr>
      <w:bookmarkStart w:id="1" w:name="_Toc83835510"/>
      <w:bookmarkStart w:id="2" w:name="_Toc85465237"/>
      <w:bookmarkStart w:id="3" w:name="_Toc109739071"/>
      <w:bookmarkStart w:id="4" w:name="_Toc495509764"/>
      <w:bookmarkStart w:id="5" w:name="_Toc495757738"/>
      <w:bookmarkStart w:id="6" w:name="_Toc495761111"/>
      <w:bookmarkStart w:id="7" w:name="_Toc424402846"/>
      <w:bookmarkStart w:id="8" w:name="_Toc480890733"/>
      <w:bookmarkStart w:id="9" w:name="_Toc489523786"/>
      <w:bookmarkStart w:id="10" w:name="_Toc213832726"/>
      <w:r w:rsidRPr="009C3D6E">
        <w:rPr>
          <w:rFonts w:ascii="標楷體" w:eastAsia="標楷體" w:hAnsi="標楷體" w:hint="eastAsia"/>
        </w:rPr>
        <w:t>一</w:t>
      </w:r>
      <w:r w:rsidR="0004772D" w:rsidRPr="009C3D6E">
        <w:rPr>
          <w:rFonts w:ascii="標楷體" w:eastAsia="標楷體" w:hAnsi="標楷體" w:hint="eastAsia"/>
        </w:rPr>
        <w:t>、</w:t>
      </w:r>
      <w:r w:rsidR="00EC0895">
        <w:rPr>
          <w:rFonts w:ascii="標楷體" w:eastAsia="標楷體" w:hAnsi="標楷體" w:hint="eastAsia"/>
        </w:rPr>
        <w:t>配合</w:t>
      </w:r>
      <w:r w:rsidR="00253875">
        <w:rPr>
          <w:rFonts w:ascii="標楷體" w:eastAsia="標楷體" w:hAnsi="標楷體" w:hint="eastAsia"/>
        </w:rPr>
        <w:t>補助辦法</w:t>
      </w:r>
      <w:r w:rsidR="00EC0895">
        <w:rPr>
          <w:rFonts w:ascii="標楷體" w:eastAsia="標楷體" w:hAnsi="標楷體" w:hint="eastAsia"/>
        </w:rPr>
        <w:t>修</w:t>
      </w:r>
      <w:r w:rsidR="008477B3">
        <w:rPr>
          <w:rFonts w:ascii="標楷體" w:eastAsia="標楷體" w:hAnsi="標楷體" w:hint="eastAsia"/>
        </w:rPr>
        <w:t>訂</w:t>
      </w:r>
      <w:r w:rsidR="00253875">
        <w:rPr>
          <w:rFonts w:ascii="標楷體" w:eastAsia="標楷體" w:hAnsi="標楷體" w:hint="eastAsia"/>
        </w:rPr>
        <w:t>，</w:t>
      </w:r>
      <w:r w:rsidR="00E34EFB">
        <w:rPr>
          <w:rFonts w:ascii="標楷體" w:eastAsia="標楷體" w:hAnsi="標楷體" w:hint="eastAsia"/>
        </w:rPr>
        <w:t>115年度預算案</w:t>
      </w:r>
      <w:r w:rsidR="00E5522B">
        <w:rPr>
          <w:rFonts w:ascii="標楷體" w:eastAsia="標楷體" w:hAnsi="標楷體" w:hint="eastAsia"/>
        </w:rPr>
        <w:t>將計畫型補助項目</w:t>
      </w:r>
      <w:r w:rsidR="00253875">
        <w:rPr>
          <w:rFonts w:ascii="標楷體" w:eastAsia="標楷體" w:hAnsi="標楷體" w:hint="eastAsia"/>
        </w:rPr>
        <w:t>改編列為一般性補助款，</w:t>
      </w:r>
      <w:r w:rsidR="00EC0895">
        <w:rPr>
          <w:rFonts w:ascii="標楷體" w:eastAsia="標楷體" w:hAnsi="標楷體" w:hint="eastAsia"/>
        </w:rPr>
        <w:t>致</w:t>
      </w:r>
      <w:r w:rsidR="00253875">
        <w:rPr>
          <w:rFonts w:ascii="標楷體" w:eastAsia="標楷體" w:hAnsi="標楷體" w:hint="eastAsia"/>
        </w:rPr>
        <w:t>計畫</w:t>
      </w:r>
      <w:r w:rsidR="00E5522B">
        <w:rPr>
          <w:rFonts w:ascii="標楷體" w:eastAsia="標楷體" w:hAnsi="標楷體" w:hint="eastAsia"/>
        </w:rPr>
        <w:t>編列基礎</w:t>
      </w:r>
      <w:r w:rsidR="00253875">
        <w:rPr>
          <w:rFonts w:ascii="標楷體" w:eastAsia="標楷體" w:hAnsi="標楷體" w:hint="eastAsia"/>
        </w:rPr>
        <w:t>與</w:t>
      </w:r>
      <w:r w:rsidR="00EC0895">
        <w:rPr>
          <w:rFonts w:ascii="標楷體" w:eastAsia="標楷體" w:hAnsi="標楷體" w:hint="eastAsia"/>
        </w:rPr>
        <w:t>往年</w:t>
      </w:r>
      <w:r w:rsidR="0066001B">
        <w:rPr>
          <w:rFonts w:ascii="標楷體" w:eastAsia="標楷體" w:hAnsi="標楷體" w:hint="eastAsia"/>
        </w:rPr>
        <w:t>迥異</w:t>
      </w:r>
      <w:r w:rsidR="00253875">
        <w:rPr>
          <w:rFonts w:ascii="標楷體" w:eastAsia="標楷體" w:hAnsi="標楷體" w:hint="eastAsia"/>
        </w:rPr>
        <w:t>，允宜妥適說明，俾利預算審議</w:t>
      </w:r>
      <w:bookmarkEnd w:id="10"/>
    </w:p>
    <w:p w:rsidR="00D419F8" w:rsidRPr="006070FF" w:rsidRDefault="00D419F8" w:rsidP="00FA177C">
      <w:pPr>
        <w:ind w:left="566" w:firstLine="566"/>
        <w:rPr>
          <w:rFonts w:ascii="標楷體" w:eastAsia="標楷體" w:hAnsi="標楷體"/>
          <w:color w:val="000000"/>
        </w:rPr>
      </w:pPr>
      <w:r w:rsidRPr="009C3D6E">
        <w:rPr>
          <w:rFonts w:ascii="標楷體" w:eastAsia="標楷體" w:hAnsi="標楷體" w:hint="eastAsia"/>
        </w:rPr>
        <w:t>衛福部</w:t>
      </w:r>
      <w:r w:rsidRPr="006070FF">
        <w:rPr>
          <w:rFonts w:ascii="標楷體" w:eastAsia="標楷體" w:hAnsi="標楷體" w:hint="eastAsia"/>
          <w:color w:val="000000"/>
        </w:rPr>
        <w:t>115年度預算案編列歲出2,912億7,786萬8千元，較114年度法定預算數(含追加)2,782億784萬3千元</w:t>
      </w:r>
      <w:r w:rsidRPr="006070FF">
        <w:rPr>
          <w:rFonts w:ascii="標楷體" w:eastAsia="標楷體" w:hAnsi="標楷體"/>
          <w:color w:val="000000"/>
          <w:vertAlign w:val="superscript"/>
        </w:rPr>
        <w:footnoteReference w:id="1"/>
      </w:r>
      <w:r w:rsidRPr="006070FF">
        <w:rPr>
          <w:rFonts w:ascii="標楷體" w:eastAsia="標楷體" w:hAnsi="標楷體" w:hint="eastAsia"/>
          <w:color w:val="000000"/>
        </w:rPr>
        <w:t>增加13</w:t>
      </w:r>
      <w:r w:rsidR="00DE2AF8" w:rsidRPr="006070FF">
        <w:rPr>
          <w:rFonts w:ascii="標楷體" w:eastAsia="標楷體" w:hAnsi="標楷體" w:hint="eastAsia"/>
          <w:color w:val="000000"/>
        </w:rPr>
        <w:t>0</w:t>
      </w:r>
      <w:r w:rsidRPr="006070FF">
        <w:rPr>
          <w:rFonts w:ascii="標楷體" w:eastAsia="標楷體" w:hAnsi="標楷體" w:hint="eastAsia"/>
          <w:color w:val="000000"/>
        </w:rPr>
        <w:lastRenderedPageBreak/>
        <w:t>億</w:t>
      </w:r>
      <w:r w:rsidR="00DE2AF8" w:rsidRPr="006070FF">
        <w:rPr>
          <w:rFonts w:ascii="標楷體" w:eastAsia="標楷體" w:hAnsi="標楷體" w:hint="eastAsia"/>
          <w:color w:val="000000"/>
        </w:rPr>
        <w:t>7</w:t>
      </w:r>
      <w:r w:rsidRPr="006070FF">
        <w:rPr>
          <w:rFonts w:ascii="標楷體" w:eastAsia="標楷體" w:hAnsi="標楷體" w:hint="eastAsia"/>
          <w:color w:val="000000"/>
        </w:rPr>
        <w:t>,</w:t>
      </w:r>
      <w:r w:rsidR="00DE2AF8" w:rsidRPr="006070FF">
        <w:rPr>
          <w:rFonts w:ascii="標楷體" w:eastAsia="標楷體" w:hAnsi="標楷體" w:hint="eastAsia"/>
          <w:color w:val="000000"/>
        </w:rPr>
        <w:t>002</w:t>
      </w:r>
      <w:r w:rsidRPr="006070FF">
        <w:rPr>
          <w:rFonts w:ascii="標楷體" w:eastAsia="標楷體" w:hAnsi="標楷體" w:hint="eastAsia"/>
          <w:color w:val="000000"/>
        </w:rPr>
        <w:t>萬</w:t>
      </w:r>
      <w:r w:rsidR="00DE2AF8" w:rsidRPr="006070FF">
        <w:rPr>
          <w:rFonts w:ascii="標楷體" w:eastAsia="標楷體" w:hAnsi="標楷體" w:hint="eastAsia"/>
          <w:color w:val="000000"/>
        </w:rPr>
        <w:t>5</w:t>
      </w:r>
      <w:r w:rsidRPr="006070FF">
        <w:rPr>
          <w:rFonts w:ascii="標楷體" w:eastAsia="標楷體" w:hAnsi="標楷體" w:hint="eastAsia"/>
          <w:color w:val="000000"/>
        </w:rPr>
        <w:t>千元</w:t>
      </w:r>
      <w:r w:rsidR="00DE2AF8" w:rsidRPr="006070FF">
        <w:rPr>
          <w:rFonts w:ascii="標楷體" w:eastAsia="標楷體" w:hAnsi="標楷體" w:hint="eastAsia"/>
          <w:color w:val="000000"/>
        </w:rPr>
        <w:t>，倘加計一般性補助款25億5,681萬7千元</w:t>
      </w:r>
      <w:r w:rsidR="00373804">
        <w:rPr>
          <w:rFonts w:ascii="標楷體" w:eastAsia="標楷體" w:hAnsi="標楷體" w:hint="eastAsia"/>
          <w:color w:val="000000"/>
        </w:rPr>
        <w:t>後</w:t>
      </w:r>
      <w:r w:rsidR="008E7D92" w:rsidRPr="006070FF">
        <w:rPr>
          <w:rFonts w:ascii="標楷體" w:eastAsia="標楷體" w:hAnsi="標楷體" w:hint="eastAsia"/>
          <w:color w:val="000000"/>
        </w:rPr>
        <w:t>(詳表1)</w:t>
      </w:r>
      <w:r w:rsidR="00DE2AF8" w:rsidRPr="006070FF">
        <w:rPr>
          <w:rFonts w:ascii="標楷體" w:eastAsia="標楷體" w:hAnsi="標楷體" w:hint="eastAsia"/>
          <w:color w:val="000000"/>
        </w:rPr>
        <w:t>，則衛福部115年度可執行預算案數將</w:t>
      </w:r>
      <w:r w:rsidR="00373804">
        <w:rPr>
          <w:rFonts w:ascii="標楷體" w:eastAsia="標楷體" w:hAnsi="標楷體" w:hint="eastAsia"/>
          <w:color w:val="000000"/>
        </w:rPr>
        <w:t>較114年度預算數增加156億餘元</w:t>
      </w:r>
      <w:r w:rsidR="00DE2AF8" w:rsidRPr="006070FF">
        <w:rPr>
          <w:rFonts w:ascii="標楷體" w:eastAsia="標楷體" w:hAnsi="標楷體" w:hint="eastAsia"/>
          <w:color w:val="000000"/>
        </w:rPr>
        <w:t>。</w:t>
      </w:r>
    </w:p>
    <w:p w:rsidR="007C439E" w:rsidRDefault="008E7D92" w:rsidP="00EB4529">
      <w:pPr>
        <w:snapToGrid w:val="0"/>
        <w:ind w:leftChars="0" w:left="0" w:firstLineChars="0" w:firstLine="0"/>
        <w:rPr>
          <w:rFonts w:ascii="標楷體" w:eastAsia="標楷體" w:hAnsi="標楷體"/>
          <w:b/>
        </w:rPr>
      </w:pPr>
      <w:r>
        <w:rPr>
          <w:rFonts w:ascii="標楷體" w:eastAsia="標楷體" w:hAnsi="標楷體" w:hint="eastAsia"/>
          <w:b/>
        </w:rPr>
        <w:t xml:space="preserve"> </w:t>
      </w:r>
      <w:r w:rsidR="00EB4529" w:rsidRPr="009C3D6E">
        <w:rPr>
          <w:rFonts w:ascii="標楷體" w:eastAsia="標楷體" w:hAnsi="標楷體" w:hint="eastAsia"/>
          <w:b/>
        </w:rPr>
        <w:t>表1  11</w:t>
      </w:r>
      <w:r w:rsidR="00EB4529">
        <w:rPr>
          <w:rFonts w:ascii="標楷體" w:eastAsia="標楷體" w:hAnsi="標楷體" w:hint="eastAsia"/>
          <w:b/>
        </w:rPr>
        <w:t>5</w:t>
      </w:r>
      <w:r w:rsidR="00EB4529" w:rsidRPr="009C3D6E">
        <w:rPr>
          <w:rFonts w:ascii="標楷體" w:eastAsia="標楷體" w:hAnsi="標楷體" w:hint="eastAsia"/>
          <w:b/>
        </w:rPr>
        <w:t>年度</w:t>
      </w:r>
      <w:r w:rsidR="00373804">
        <w:rPr>
          <w:rFonts w:ascii="標楷體" w:eastAsia="標楷體" w:hAnsi="標楷體" w:hint="eastAsia"/>
          <w:b/>
        </w:rPr>
        <w:t>總</w:t>
      </w:r>
      <w:r w:rsidR="00EB4529" w:rsidRPr="009C3D6E">
        <w:rPr>
          <w:rFonts w:ascii="標楷體" w:eastAsia="標楷體" w:hAnsi="標楷體" w:hint="eastAsia"/>
          <w:b/>
        </w:rPr>
        <w:t>預算案</w:t>
      </w:r>
      <w:r w:rsidR="00373804">
        <w:rPr>
          <w:rFonts w:ascii="標楷體" w:eastAsia="標楷體" w:hAnsi="標楷體" w:hint="eastAsia"/>
          <w:b/>
        </w:rPr>
        <w:t>衛生福利部</w:t>
      </w:r>
      <w:r w:rsidR="00EB4529">
        <w:rPr>
          <w:rFonts w:ascii="標楷體" w:eastAsia="標楷體" w:hAnsi="標楷體" w:hint="eastAsia"/>
          <w:b/>
        </w:rPr>
        <w:t>一般性補助款</w:t>
      </w:r>
      <w:r w:rsidR="007C439E">
        <w:rPr>
          <w:rFonts w:ascii="標楷體" w:eastAsia="標楷體" w:hAnsi="標楷體" w:hint="eastAsia"/>
          <w:b/>
        </w:rPr>
        <w:t>編列概況表</w:t>
      </w:r>
    </w:p>
    <w:p w:rsidR="00EB4529" w:rsidRPr="009C3D6E" w:rsidRDefault="007C439E" w:rsidP="007C439E">
      <w:pPr>
        <w:snapToGrid w:val="0"/>
        <w:spacing w:line="320" w:lineRule="exact"/>
        <w:ind w:leftChars="0" w:left="0" w:firstLineChars="0" w:firstLine="0"/>
        <w:rPr>
          <w:rFonts w:ascii="標楷體" w:eastAsia="標楷體" w:hAnsi="標楷體"/>
        </w:rPr>
      </w:pPr>
      <w:r>
        <w:rPr>
          <w:rFonts w:ascii="標楷體" w:eastAsia="標楷體" w:hAnsi="標楷體" w:hint="eastAsia"/>
          <w:b/>
        </w:rPr>
        <w:t xml:space="preserve">                                   </w:t>
      </w:r>
      <w:r w:rsidR="00373804">
        <w:rPr>
          <w:rFonts w:ascii="標楷體" w:eastAsia="標楷體" w:hAnsi="標楷體" w:hint="eastAsia"/>
          <w:b/>
        </w:rPr>
        <w:t xml:space="preserve">  </w:t>
      </w:r>
      <w:r w:rsidR="00EB4529" w:rsidRPr="009C3D6E">
        <w:rPr>
          <w:rFonts w:ascii="標楷體" w:eastAsia="標楷體" w:hAnsi="標楷體"/>
          <w:b/>
        </w:rPr>
        <w:t xml:space="preserve"> </w:t>
      </w:r>
      <w:r>
        <w:rPr>
          <w:rFonts w:ascii="標楷體" w:eastAsia="標楷體" w:hAnsi="標楷體" w:hint="eastAsia"/>
          <w:b/>
        </w:rPr>
        <w:t xml:space="preserve">         </w:t>
      </w:r>
      <w:r w:rsidR="00EB4529" w:rsidRPr="009C3D6E">
        <w:rPr>
          <w:rFonts w:ascii="標楷體" w:eastAsia="標楷體" w:hAnsi="標楷體" w:hint="eastAsia"/>
          <w:sz w:val="24"/>
          <w:szCs w:val="24"/>
        </w:rPr>
        <w:t>單位：新臺幣</w:t>
      </w:r>
      <w:r w:rsidR="00EB4529">
        <w:rPr>
          <w:rFonts w:ascii="標楷體" w:eastAsia="標楷體" w:hAnsi="標楷體" w:hint="eastAsia"/>
          <w:sz w:val="24"/>
          <w:szCs w:val="24"/>
        </w:rPr>
        <w:t>千</w:t>
      </w:r>
      <w:r w:rsidR="00EB4529" w:rsidRPr="009C3D6E">
        <w:rPr>
          <w:rFonts w:ascii="標楷體" w:eastAsia="標楷體" w:hAnsi="標楷體" w:hint="eastAsia"/>
          <w:sz w:val="24"/>
          <w:szCs w:val="24"/>
        </w:rPr>
        <w:t>元</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954"/>
        <w:gridCol w:w="2409"/>
      </w:tblGrid>
      <w:tr w:rsidR="00EB4529" w:rsidRPr="00EB4529" w:rsidTr="00707E21">
        <w:trPr>
          <w:trHeight w:val="323"/>
          <w:tblHeader/>
        </w:trPr>
        <w:tc>
          <w:tcPr>
            <w:tcW w:w="5954" w:type="dxa"/>
            <w:shd w:val="clear" w:color="auto" w:fill="auto"/>
            <w:noWrap/>
            <w:vAlign w:val="center"/>
          </w:tcPr>
          <w:p w:rsidR="00EB4529" w:rsidRPr="00EB4529" w:rsidRDefault="00EB4529" w:rsidP="00EB4529">
            <w:pPr>
              <w:pStyle w:val="142"/>
              <w:jc w:val="center"/>
              <w:rPr>
                <w:rFonts w:ascii="標楷體" w:eastAsia="標楷體" w:hAnsi="標楷體"/>
              </w:rPr>
            </w:pPr>
            <w:r w:rsidRPr="00EB4529">
              <w:rPr>
                <w:rFonts w:ascii="標楷體" w:eastAsia="標楷體" w:hAnsi="標楷體" w:hint="eastAsia"/>
              </w:rPr>
              <w:t>項目</w:t>
            </w:r>
          </w:p>
        </w:tc>
        <w:tc>
          <w:tcPr>
            <w:tcW w:w="2409" w:type="dxa"/>
            <w:shd w:val="clear" w:color="auto" w:fill="auto"/>
            <w:vAlign w:val="center"/>
          </w:tcPr>
          <w:p w:rsidR="00EB4529" w:rsidRPr="00EB4529" w:rsidRDefault="00EB4529" w:rsidP="00EB4529">
            <w:pPr>
              <w:pStyle w:val="142"/>
              <w:jc w:val="center"/>
              <w:rPr>
                <w:rFonts w:ascii="標楷體" w:eastAsia="標楷體" w:hAnsi="標楷體"/>
              </w:rPr>
            </w:pPr>
            <w:r w:rsidRPr="00EB4529">
              <w:rPr>
                <w:rFonts w:ascii="標楷體" w:eastAsia="標楷體" w:hAnsi="標楷體" w:hint="eastAsia"/>
              </w:rPr>
              <w:t>115年度預算數</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b/>
              </w:rPr>
            </w:pPr>
            <w:r w:rsidRPr="00EB4529">
              <w:rPr>
                <w:rFonts w:ascii="標楷體" w:eastAsia="標楷體" w:hAnsi="標楷體" w:hint="eastAsia"/>
                <w:b/>
              </w:rPr>
              <w:t>一般性社會救助補助</w:t>
            </w:r>
            <w:r w:rsidRPr="00EB4529">
              <w:rPr>
                <w:rFonts w:ascii="標楷體" w:eastAsia="標楷體" w:hAnsi="標楷體"/>
                <w:b/>
              </w:rPr>
              <w:t>—</w:t>
            </w:r>
            <w:r w:rsidRPr="00EB4529">
              <w:rPr>
                <w:rFonts w:ascii="標楷體" w:eastAsia="標楷體" w:hAnsi="標楷體" w:hint="eastAsia"/>
                <w:b/>
              </w:rPr>
              <w:t>衛生福利部</w:t>
            </w:r>
            <w:r>
              <w:rPr>
                <w:rFonts w:ascii="標楷體" w:eastAsia="標楷體" w:hAnsi="標楷體" w:hint="eastAsia"/>
                <w:b/>
              </w:rPr>
              <w:t>(A)</w:t>
            </w:r>
          </w:p>
        </w:tc>
        <w:tc>
          <w:tcPr>
            <w:tcW w:w="2409" w:type="dxa"/>
            <w:shd w:val="clear" w:color="auto" w:fill="auto"/>
            <w:vAlign w:val="center"/>
          </w:tcPr>
          <w:p w:rsidR="00EB4529" w:rsidRPr="00EB4529" w:rsidRDefault="00EB4529" w:rsidP="00886ABF">
            <w:pPr>
              <w:pStyle w:val="142"/>
              <w:jc w:val="right"/>
              <w:rPr>
                <w:rFonts w:ascii="標楷體" w:eastAsia="標楷體" w:hAnsi="標楷體"/>
                <w:b/>
              </w:rPr>
            </w:pPr>
            <w:r w:rsidRPr="00EB4529">
              <w:rPr>
                <w:rFonts w:ascii="標楷體" w:eastAsia="標楷體" w:hAnsi="標楷體" w:hint="eastAsia"/>
                <w:b/>
              </w:rPr>
              <w:t>3</w:t>
            </w:r>
            <w:r w:rsidRPr="00EB4529">
              <w:rPr>
                <w:rFonts w:ascii="標楷體" w:eastAsia="標楷體" w:hAnsi="標楷體"/>
                <w:b/>
              </w:rPr>
              <w:t>5</w:t>
            </w:r>
            <w:r w:rsidR="00886ABF">
              <w:rPr>
                <w:rFonts w:ascii="標楷體" w:eastAsia="標楷體" w:hAnsi="標楷體" w:hint="eastAsia"/>
                <w:b/>
              </w:rPr>
              <w:t>9</w:t>
            </w:r>
            <w:r w:rsidRPr="00EB4529">
              <w:rPr>
                <w:rFonts w:ascii="標楷體" w:eastAsia="標楷體" w:hAnsi="標楷體"/>
                <w:b/>
              </w:rPr>
              <w:t>,816</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b/>
              </w:rPr>
            </w:pPr>
            <w:r w:rsidRPr="00EB4529">
              <w:rPr>
                <w:rFonts w:ascii="標楷體" w:eastAsia="標楷體" w:hAnsi="標楷體" w:hint="eastAsia"/>
                <w:b/>
              </w:rPr>
              <w:t>一般性醫療保健補助</w:t>
            </w:r>
            <w:r w:rsidRPr="00EB4529">
              <w:rPr>
                <w:rFonts w:ascii="標楷體" w:eastAsia="標楷體" w:hAnsi="標楷體"/>
                <w:b/>
              </w:rPr>
              <w:t>—</w:t>
            </w:r>
            <w:r w:rsidRPr="00EB4529">
              <w:rPr>
                <w:rFonts w:ascii="標楷體" w:eastAsia="標楷體" w:hAnsi="標楷體" w:hint="eastAsia"/>
                <w:b/>
              </w:rPr>
              <w:t>衛生福利部</w:t>
            </w:r>
            <w:r>
              <w:rPr>
                <w:rFonts w:ascii="標楷體" w:eastAsia="標楷體" w:hAnsi="標楷體" w:hint="eastAsia"/>
                <w:b/>
              </w:rPr>
              <w:t xml:space="preserve"> (B) (1至9項)</w:t>
            </w:r>
          </w:p>
        </w:tc>
        <w:tc>
          <w:tcPr>
            <w:tcW w:w="2409" w:type="dxa"/>
            <w:shd w:val="clear" w:color="auto" w:fill="auto"/>
            <w:vAlign w:val="center"/>
          </w:tcPr>
          <w:p w:rsidR="00EB4529" w:rsidRPr="00EB4529" w:rsidRDefault="00EB4529" w:rsidP="00EB4529">
            <w:pPr>
              <w:pStyle w:val="142"/>
              <w:jc w:val="right"/>
              <w:rPr>
                <w:rFonts w:ascii="標楷體" w:eastAsia="標楷體" w:hAnsi="標楷體"/>
                <w:b/>
              </w:rPr>
            </w:pPr>
            <w:r w:rsidRPr="00EB4529">
              <w:rPr>
                <w:rFonts w:ascii="標楷體" w:eastAsia="標楷體" w:hAnsi="標楷體" w:hint="eastAsia"/>
                <w:b/>
              </w:rPr>
              <w:t>2</w:t>
            </w:r>
            <w:r w:rsidRPr="00EB4529">
              <w:rPr>
                <w:rFonts w:ascii="標楷體" w:eastAsia="標楷體" w:hAnsi="標楷體"/>
                <w:b/>
              </w:rPr>
              <w:t>,197,001</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rPr>
            </w:pPr>
            <w:r w:rsidRPr="00EB4529">
              <w:rPr>
                <w:rFonts w:ascii="標楷體" w:eastAsia="標楷體" w:hAnsi="標楷體" w:hint="eastAsia"/>
              </w:rPr>
              <w:t xml:space="preserve">  1.韌性國家醫療整備計畫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rPr>
            </w:pPr>
            <w:r w:rsidRPr="00EB4529">
              <w:rPr>
                <w:rFonts w:ascii="標楷體" w:eastAsia="標楷體" w:hAnsi="標楷體" w:hint="eastAsia"/>
              </w:rPr>
              <w:t>1</w:t>
            </w:r>
            <w:r w:rsidRPr="00EB4529">
              <w:rPr>
                <w:rFonts w:ascii="標楷體" w:eastAsia="標楷體" w:hAnsi="標楷體"/>
              </w:rPr>
              <w:t>80,000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rPr>
            </w:pPr>
            <w:r w:rsidRPr="00EB4529">
              <w:rPr>
                <w:rFonts w:ascii="標楷體" w:eastAsia="標楷體" w:hAnsi="標楷體" w:hint="eastAsia"/>
              </w:rPr>
              <w:t xml:space="preserve">  </w:t>
            </w:r>
            <w:r w:rsidRPr="00EB4529">
              <w:rPr>
                <w:rFonts w:ascii="標楷體" w:eastAsia="標楷體" w:hAnsi="標楷體"/>
              </w:rPr>
              <w:t>2.</w:t>
            </w:r>
            <w:r w:rsidRPr="00EB4529">
              <w:rPr>
                <w:rFonts w:ascii="標楷體" w:eastAsia="標楷體" w:hAnsi="標楷體" w:hint="eastAsia"/>
              </w:rPr>
              <w:t>全民心理健康韌性計畫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rPr>
            </w:pPr>
            <w:r w:rsidRPr="00EB4529">
              <w:rPr>
                <w:rFonts w:ascii="標楷體" w:eastAsia="標楷體" w:hAnsi="標楷體" w:hint="eastAsia"/>
              </w:rPr>
              <w:t>1</w:t>
            </w:r>
            <w:r w:rsidRPr="00EB4529">
              <w:rPr>
                <w:rFonts w:ascii="標楷體" w:eastAsia="標楷體" w:hAnsi="標楷體"/>
              </w:rPr>
              <w:t>8,000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3</w:t>
            </w:r>
            <w:r w:rsidRPr="00EB4529">
              <w:rPr>
                <w:rFonts w:ascii="標楷體" w:eastAsia="標楷體" w:hAnsi="標楷體"/>
              </w:rPr>
              <w:t>.</w:t>
            </w:r>
            <w:r w:rsidRPr="00EB4529">
              <w:rPr>
                <w:rFonts w:ascii="標楷體" w:eastAsia="標楷體" w:hAnsi="標楷體" w:hint="eastAsia"/>
              </w:rPr>
              <w:t>強化社會安全網</w:t>
            </w:r>
            <w:r w:rsidR="00886ABF">
              <w:rPr>
                <w:rFonts w:ascii="標楷體" w:eastAsia="標楷體" w:hAnsi="標楷體" w:hint="eastAsia"/>
              </w:rPr>
              <w:t>2.0</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1</w:t>
            </w:r>
            <w:r w:rsidRPr="00EB4529">
              <w:rPr>
                <w:rFonts w:ascii="標楷體" w:eastAsia="標楷體" w:hAnsi="標楷體"/>
              </w:rPr>
              <w:t>,671,682</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w:t>
            </w:r>
            <w:r w:rsidRPr="00EB4529">
              <w:rPr>
                <w:rFonts w:ascii="標楷體" w:eastAsia="標楷體" w:hAnsi="標楷體"/>
              </w:rPr>
              <w:t>4</w:t>
            </w:r>
            <w:r w:rsidRPr="00EB4529">
              <w:rPr>
                <w:rFonts w:ascii="標楷體" w:eastAsia="標楷體" w:hAnsi="標楷體" w:hint="eastAsia"/>
              </w:rPr>
              <w:t>.身心障礙照顧服務資源布建計畫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2</w:t>
            </w:r>
            <w:r w:rsidRPr="00EB4529">
              <w:rPr>
                <w:rFonts w:ascii="標楷體" w:eastAsia="標楷體" w:hAnsi="標楷體"/>
              </w:rPr>
              <w:t>14,217</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5.國民口腔健康促進計畫第二期</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12</w:t>
            </w:r>
            <w:r w:rsidRPr="00EB4529">
              <w:rPr>
                <w:rFonts w:ascii="標楷體" w:eastAsia="標楷體" w:hAnsi="標楷體"/>
              </w:rPr>
              <w:t>,</w:t>
            </w:r>
            <w:r w:rsidRPr="00EB4529">
              <w:rPr>
                <w:rFonts w:ascii="標楷體" w:eastAsia="標楷體" w:hAnsi="標楷體" w:hint="eastAsia"/>
              </w:rPr>
              <w:t>800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6</w:t>
            </w:r>
            <w:r w:rsidRPr="00EB4529">
              <w:rPr>
                <w:rFonts w:ascii="標楷體" w:eastAsia="標楷體" w:hAnsi="標楷體"/>
              </w:rPr>
              <w:t>.</w:t>
            </w:r>
            <w:r w:rsidRPr="00EB4529">
              <w:rPr>
                <w:rFonts w:ascii="標楷體" w:eastAsia="標楷體" w:hAnsi="標楷體" w:hint="eastAsia"/>
              </w:rPr>
              <w:t>辦理原住民族及離島地區醫療照護服務等業務</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47</w:t>
            </w:r>
            <w:r w:rsidRPr="00EB4529">
              <w:rPr>
                <w:rFonts w:ascii="標楷體" w:eastAsia="標楷體" w:hAnsi="標楷體"/>
              </w:rPr>
              <w:t>,867</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w:t>
            </w:r>
            <w:r w:rsidRPr="00EB4529">
              <w:rPr>
                <w:rFonts w:ascii="標楷體" w:eastAsia="標楷體" w:hAnsi="標楷體"/>
              </w:rPr>
              <w:t>7.</w:t>
            </w:r>
            <w:r w:rsidRPr="00EB4529">
              <w:rPr>
                <w:rFonts w:ascii="標楷體" w:eastAsia="標楷體" w:hAnsi="標楷體" w:hint="eastAsia"/>
              </w:rPr>
              <w:t>加強原住民族及離島地區醫療保健服務</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rPr>
              <w:t>33,685</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w:t>
            </w:r>
            <w:r w:rsidRPr="00EB4529">
              <w:rPr>
                <w:rFonts w:ascii="標楷體" w:eastAsia="標楷體" w:hAnsi="標楷體"/>
              </w:rPr>
              <w:t>8</w:t>
            </w:r>
            <w:r w:rsidRPr="00EB4529">
              <w:rPr>
                <w:rFonts w:ascii="標楷體" w:eastAsia="標楷體" w:hAnsi="標楷體" w:hint="eastAsia"/>
              </w:rPr>
              <w:t>.第2期優化兒童醫療照護計畫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1</w:t>
            </w:r>
            <w:r w:rsidRPr="00EB4529">
              <w:rPr>
                <w:rFonts w:ascii="標楷體" w:eastAsia="標楷體" w:hAnsi="標楷體"/>
              </w:rPr>
              <w:t>1,</w:t>
            </w:r>
            <w:r w:rsidRPr="00EB4529">
              <w:rPr>
                <w:rFonts w:ascii="標楷體" w:eastAsia="標楷體" w:hAnsi="標楷體" w:hint="eastAsia"/>
              </w:rPr>
              <w:t>250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rPr>
                <w:rFonts w:ascii="標楷體" w:eastAsia="標楷體" w:hAnsi="標楷體" w:hint="eastAsia"/>
              </w:rPr>
            </w:pPr>
            <w:r w:rsidRPr="00EB4529">
              <w:rPr>
                <w:rFonts w:ascii="標楷體" w:eastAsia="標楷體" w:hAnsi="標楷體" w:hint="eastAsia"/>
              </w:rPr>
              <w:t xml:space="preserve">  9.打造永續共好地方創生計畫</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rPr>
            </w:pPr>
            <w:r w:rsidRPr="00EB4529">
              <w:rPr>
                <w:rFonts w:ascii="標楷體" w:eastAsia="標楷體" w:hAnsi="標楷體" w:hint="eastAsia"/>
              </w:rPr>
              <w:t>7</w:t>
            </w:r>
            <w:r w:rsidRPr="00EB4529">
              <w:rPr>
                <w:rFonts w:ascii="標楷體" w:eastAsia="標楷體" w:hAnsi="標楷體"/>
              </w:rPr>
              <w:t>,</w:t>
            </w:r>
            <w:r w:rsidRPr="00EB4529">
              <w:rPr>
                <w:rFonts w:ascii="標楷體" w:eastAsia="標楷體" w:hAnsi="標楷體" w:hint="eastAsia"/>
              </w:rPr>
              <w:t>500</w:t>
            </w:r>
          </w:p>
        </w:tc>
      </w:tr>
      <w:tr w:rsidR="00EB4529" w:rsidRPr="00EB4529" w:rsidTr="00707E21">
        <w:trPr>
          <w:trHeight w:val="340"/>
        </w:trPr>
        <w:tc>
          <w:tcPr>
            <w:tcW w:w="5954" w:type="dxa"/>
            <w:shd w:val="clear" w:color="auto" w:fill="auto"/>
            <w:vAlign w:val="center"/>
          </w:tcPr>
          <w:p w:rsidR="00EB4529" w:rsidRPr="00EB4529" w:rsidRDefault="00EB4529" w:rsidP="00EB4529">
            <w:pPr>
              <w:pStyle w:val="142"/>
              <w:jc w:val="center"/>
              <w:rPr>
                <w:rFonts w:ascii="標楷體" w:eastAsia="標楷體" w:hAnsi="標楷體" w:hint="eastAsia"/>
                <w:b/>
              </w:rPr>
            </w:pPr>
            <w:r w:rsidRPr="00EB4529">
              <w:rPr>
                <w:rFonts w:ascii="標楷體" w:eastAsia="標楷體" w:hAnsi="標楷體" w:hint="eastAsia"/>
                <w:b/>
              </w:rPr>
              <w:t>合計</w:t>
            </w:r>
            <w:r>
              <w:rPr>
                <w:rFonts w:ascii="標楷體" w:eastAsia="標楷體" w:hAnsi="標楷體" w:hint="eastAsia"/>
                <w:b/>
              </w:rPr>
              <w:t>(A+B)</w:t>
            </w:r>
          </w:p>
        </w:tc>
        <w:tc>
          <w:tcPr>
            <w:tcW w:w="2409" w:type="dxa"/>
            <w:shd w:val="clear" w:color="auto" w:fill="auto"/>
            <w:vAlign w:val="center"/>
          </w:tcPr>
          <w:p w:rsidR="00EB4529" w:rsidRPr="00EB4529" w:rsidRDefault="00EB4529" w:rsidP="00EB4529">
            <w:pPr>
              <w:pStyle w:val="142"/>
              <w:jc w:val="right"/>
              <w:rPr>
                <w:rFonts w:ascii="標楷體" w:eastAsia="標楷體" w:hAnsi="標楷體" w:hint="eastAsia"/>
                <w:b/>
              </w:rPr>
            </w:pPr>
            <w:r w:rsidRPr="00EB4529">
              <w:rPr>
                <w:rFonts w:ascii="標楷體" w:eastAsia="標楷體" w:hAnsi="標楷體" w:hint="eastAsia"/>
                <w:b/>
              </w:rPr>
              <w:t>2</w:t>
            </w:r>
            <w:r w:rsidRPr="00EB4529">
              <w:rPr>
                <w:rFonts w:ascii="標楷體" w:eastAsia="標楷體" w:hAnsi="標楷體"/>
                <w:b/>
              </w:rPr>
              <w:t>,</w:t>
            </w:r>
            <w:r w:rsidRPr="00EB4529">
              <w:rPr>
                <w:rFonts w:ascii="標楷體" w:eastAsia="標楷體" w:hAnsi="標楷體" w:hint="eastAsia"/>
                <w:b/>
              </w:rPr>
              <w:t>556</w:t>
            </w:r>
            <w:r w:rsidRPr="00EB4529">
              <w:rPr>
                <w:rFonts w:ascii="標楷體" w:eastAsia="標楷體" w:hAnsi="標楷體"/>
                <w:b/>
              </w:rPr>
              <w:t>,</w:t>
            </w:r>
            <w:r w:rsidRPr="00EB4529">
              <w:rPr>
                <w:rFonts w:ascii="標楷體" w:eastAsia="標楷體" w:hAnsi="標楷體" w:hint="eastAsia"/>
                <w:b/>
              </w:rPr>
              <w:t>817</w:t>
            </w:r>
          </w:p>
        </w:tc>
      </w:tr>
    </w:tbl>
    <w:p w:rsidR="00EB4529" w:rsidRPr="009C3D6E" w:rsidRDefault="00EB4529" w:rsidP="00EB4529">
      <w:pPr>
        <w:spacing w:line="280" w:lineRule="exact"/>
        <w:ind w:leftChars="0" w:left="0" w:firstLineChars="0" w:firstLine="0"/>
        <w:jc w:val="left"/>
        <w:rPr>
          <w:rFonts w:ascii="標楷體" w:eastAsia="標楷體" w:hAnsi="標楷體"/>
        </w:rPr>
      </w:pPr>
      <w:r w:rsidRPr="009C3D6E">
        <w:rPr>
          <w:rFonts w:ascii="標楷體" w:eastAsia="標楷體" w:hAnsi="標楷體" w:cs="細明體" w:hint="eastAsia"/>
          <w:snapToGrid/>
          <w:sz w:val="24"/>
          <w:szCs w:val="24"/>
        </w:rPr>
        <w:t xml:space="preserve"> 資料來源：</w:t>
      </w:r>
      <w:r>
        <w:rPr>
          <w:rFonts w:ascii="標楷體" w:eastAsia="標楷體" w:hAnsi="標楷體" w:cs="細明體" w:hint="eastAsia"/>
          <w:snapToGrid/>
          <w:sz w:val="24"/>
          <w:szCs w:val="24"/>
        </w:rPr>
        <w:t>整理自</w:t>
      </w:r>
      <w:r w:rsidRPr="009C3D6E">
        <w:rPr>
          <w:rFonts w:ascii="標楷體" w:eastAsia="標楷體" w:hAnsi="標楷體" w:cs="細明體" w:hint="eastAsia"/>
          <w:snapToGrid/>
          <w:sz w:val="24"/>
          <w:szCs w:val="24"/>
        </w:rPr>
        <w:t>衛福部</w:t>
      </w:r>
      <w:r>
        <w:rPr>
          <w:rFonts w:ascii="標楷體" w:eastAsia="標楷體" w:hAnsi="標楷體" w:cs="細明體" w:hint="eastAsia"/>
          <w:snapToGrid/>
          <w:sz w:val="24"/>
          <w:szCs w:val="24"/>
        </w:rPr>
        <w:t>115年度預算書</w:t>
      </w:r>
      <w:r w:rsidRPr="009C3D6E">
        <w:rPr>
          <w:rFonts w:ascii="標楷體" w:eastAsia="標楷體" w:hAnsi="標楷體" w:cs="細明體" w:hint="eastAsia"/>
          <w:snapToGrid/>
          <w:sz w:val="24"/>
          <w:szCs w:val="24"/>
        </w:rPr>
        <w:t>。</w:t>
      </w:r>
    </w:p>
    <w:p w:rsidR="00B23B7C" w:rsidRDefault="00163E80" w:rsidP="00FA177C">
      <w:pPr>
        <w:ind w:left="566" w:firstLine="566"/>
        <w:rPr>
          <w:rFonts w:ascii="標楷體" w:eastAsia="標楷體" w:hAnsi="標楷體"/>
          <w:color w:val="000000"/>
        </w:rPr>
      </w:pPr>
      <w:r>
        <w:rPr>
          <w:rFonts w:ascii="標楷體" w:eastAsia="標楷體" w:hAnsi="標楷體" w:hint="eastAsia"/>
          <w:color w:val="000000"/>
        </w:rPr>
        <w:t>中央政府</w:t>
      </w:r>
      <w:r w:rsidR="00183381" w:rsidRPr="00183381">
        <w:rPr>
          <w:rFonts w:ascii="標楷體" w:eastAsia="標楷體" w:hAnsi="標楷體" w:hint="eastAsia"/>
          <w:color w:val="000000"/>
        </w:rPr>
        <w:t>依財</w:t>
      </w:r>
      <w:r w:rsidR="00886ABF">
        <w:rPr>
          <w:rFonts w:ascii="標楷體" w:eastAsia="標楷體" w:hAnsi="標楷體" w:hint="eastAsia"/>
          <w:color w:val="000000"/>
        </w:rPr>
        <w:t>政收支劃分法</w:t>
      </w:r>
      <w:r w:rsidR="00524133">
        <w:rPr>
          <w:rFonts w:ascii="標楷體" w:eastAsia="標楷體" w:hAnsi="標楷體" w:hint="eastAsia"/>
          <w:color w:val="000000"/>
        </w:rPr>
        <w:t>(下稱財劃法)</w:t>
      </w:r>
      <w:r w:rsidR="00183381" w:rsidRPr="00183381">
        <w:rPr>
          <w:rFonts w:ascii="標楷體" w:eastAsia="標楷體" w:hAnsi="標楷體" w:hint="eastAsia"/>
          <w:color w:val="000000"/>
        </w:rPr>
        <w:t>及地方制度</w:t>
      </w:r>
      <w:r w:rsidRPr="00163E80">
        <w:rPr>
          <w:rFonts w:ascii="標楷體" w:eastAsia="標楷體" w:hAnsi="標楷體" w:hint="eastAsia"/>
          <w:lang w:eastAsia="zh-HK"/>
        </w:rPr>
        <w:t>法</w:t>
      </w:r>
      <w:r w:rsidRPr="00163E80">
        <w:rPr>
          <w:rStyle w:val="af4"/>
          <w:rFonts w:ascii="標楷體" w:eastAsia="標楷體" w:hAnsi="標楷體"/>
          <w:lang w:eastAsia="zh-HK"/>
        </w:rPr>
        <w:footnoteReference w:id="2"/>
      </w:r>
      <w:r w:rsidR="00183381" w:rsidRPr="00183381">
        <w:rPr>
          <w:rFonts w:ascii="標楷體" w:eastAsia="標楷體" w:hAnsi="標楷體" w:hint="eastAsia"/>
          <w:color w:val="000000"/>
        </w:rPr>
        <w:t>規定編列補助地方政府經費，並訂有中央對直轄市及縣(市)政府補助辦法(下稱補助辦法)，該辦法屬法規命令位階；據</w:t>
      </w:r>
      <w:r w:rsidR="00B23B7C" w:rsidRPr="008C4A01">
        <w:rPr>
          <w:rFonts w:ascii="標楷體" w:eastAsia="標楷體" w:hAnsi="標楷體" w:hint="eastAsia"/>
        </w:rPr>
        <w:t>114</w:t>
      </w:r>
      <w:r w:rsidR="00B23B7C" w:rsidRPr="008C4A01">
        <w:rPr>
          <w:rFonts w:ascii="標楷體" w:eastAsia="標楷體" w:hAnsi="標楷體" w:hint="eastAsia"/>
          <w:lang w:eastAsia="zh-HK"/>
        </w:rPr>
        <w:t>年</w:t>
      </w:r>
      <w:r w:rsidR="00B23B7C" w:rsidRPr="008C4A01">
        <w:rPr>
          <w:rFonts w:ascii="標楷體" w:eastAsia="標楷體" w:hAnsi="標楷體" w:hint="eastAsia"/>
        </w:rPr>
        <w:t>8</w:t>
      </w:r>
      <w:r w:rsidR="00B23B7C" w:rsidRPr="008C4A01">
        <w:rPr>
          <w:rFonts w:ascii="標楷體" w:eastAsia="標楷體" w:hAnsi="標楷體" w:hint="eastAsia"/>
          <w:lang w:eastAsia="zh-HK"/>
        </w:rPr>
        <w:t>月</w:t>
      </w:r>
      <w:r w:rsidR="00B23B7C" w:rsidRPr="008C4A01">
        <w:rPr>
          <w:rFonts w:ascii="標楷體" w:eastAsia="標楷體" w:hAnsi="標楷體" w:hint="eastAsia"/>
        </w:rPr>
        <w:t>29</w:t>
      </w:r>
      <w:r w:rsidR="00B23B7C" w:rsidRPr="008C4A01">
        <w:rPr>
          <w:rFonts w:ascii="標楷體" w:eastAsia="標楷體" w:hAnsi="標楷體" w:hint="eastAsia"/>
          <w:lang w:eastAsia="zh-HK"/>
        </w:rPr>
        <w:t>日</w:t>
      </w:r>
      <w:r w:rsidR="00183381" w:rsidRPr="00183381">
        <w:rPr>
          <w:rFonts w:ascii="標楷體" w:eastAsia="標楷體" w:hAnsi="標楷體" w:hint="eastAsia"/>
          <w:color w:val="000000"/>
        </w:rPr>
        <w:t>修正前</w:t>
      </w:r>
      <w:r w:rsidR="00444871">
        <w:rPr>
          <w:rFonts w:ascii="標楷體" w:eastAsia="標楷體" w:hAnsi="標楷體" w:hint="eastAsia"/>
          <w:color w:val="000000"/>
        </w:rPr>
        <w:t>之</w:t>
      </w:r>
      <w:r w:rsidR="00183381" w:rsidRPr="00183381">
        <w:rPr>
          <w:rFonts w:ascii="標楷體" w:eastAsia="標楷體" w:hAnsi="標楷體" w:hint="eastAsia"/>
          <w:color w:val="000000"/>
        </w:rPr>
        <w:t>補助辦</w:t>
      </w:r>
      <w:r w:rsidR="008C4A01" w:rsidRPr="008C4A01">
        <w:rPr>
          <w:rFonts w:ascii="標楷體" w:eastAsia="標楷體" w:hAnsi="標楷體" w:hint="eastAsia"/>
          <w:lang w:eastAsia="zh-HK"/>
        </w:rPr>
        <w:t>法</w:t>
      </w:r>
      <w:r w:rsidR="00183381" w:rsidRPr="00183381">
        <w:rPr>
          <w:rFonts w:ascii="標楷體" w:eastAsia="標楷體" w:hAnsi="標楷體" w:hint="eastAsia"/>
          <w:color w:val="000000"/>
        </w:rPr>
        <w:t>規定，補助地方政府經費分為一般性、計畫型及專案補助款，一般性補助款按基本財政收支差短與定額設算項目予以補助，其預算編列於</w:t>
      </w:r>
      <w:r w:rsidR="00C37B60">
        <w:rPr>
          <w:rFonts w:ascii="標楷體" w:eastAsia="標楷體" w:hAnsi="標楷體" w:hint="eastAsia"/>
          <w:color w:val="000000"/>
        </w:rPr>
        <w:t>總預算</w:t>
      </w:r>
      <w:r w:rsidR="000B5232">
        <w:rPr>
          <w:rFonts w:ascii="標楷體" w:eastAsia="標楷體" w:hAnsi="標楷體" w:hint="eastAsia"/>
          <w:color w:val="000000"/>
        </w:rPr>
        <w:t>之</w:t>
      </w:r>
      <w:r w:rsidR="00183381" w:rsidRPr="00183381">
        <w:rPr>
          <w:rFonts w:ascii="標楷體" w:eastAsia="標楷體" w:hAnsi="標楷體" w:hint="eastAsia"/>
          <w:color w:val="000000"/>
        </w:rPr>
        <w:t>「直轄市及縣市政府」科目，而</w:t>
      </w:r>
      <w:r w:rsidR="00444871">
        <w:rPr>
          <w:rFonts w:ascii="標楷體" w:eastAsia="標楷體" w:hAnsi="標楷體" w:hint="eastAsia"/>
          <w:color w:val="000000"/>
        </w:rPr>
        <w:t>後</w:t>
      </w:r>
      <w:r w:rsidR="00C0029D">
        <w:rPr>
          <w:rFonts w:ascii="標楷體" w:eastAsia="標楷體" w:hAnsi="標楷體" w:hint="eastAsia"/>
          <w:color w:val="000000"/>
        </w:rPr>
        <w:t>2</w:t>
      </w:r>
      <w:r w:rsidR="00444871">
        <w:rPr>
          <w:rFonts w:ascii="標楷體" w:eastAsia="標楷體" w:hAnsi="標楷體" w:hint="eastAsia"/>
          <w:color w:val="000000"/>
        </w:rPr>
        <w:t>項</w:t>
      </w:r>
      <w:r w:rsidR="00183381" w:rsidRPr="00183381">
        <w:rPr>
          <w:rFonts w:ascii="標楷體" w:eastAsia="標楷體" w:hAnsi="標楷體" w:hint="eastAsia"/>
          <w:color w:val="000000"/>
        </w:rPr>
        <w:t>編列於中央政府各機關歲出預算，由地方政府申請並經各機關審查後補助。</w:t>
      </w:r>
      <w:r w:rsidRPr="00163E80">
        <w:rPr>
          <w:rFonts w:ascii="標楷體" w:eastAsia="標楷體" w:hAnsi="標楷體" w:hint="eastAsia"/>
          <w:color w:val="000000"/>
        </w:rPr>
        <w:t>為因應新制財劃法實施，行政院修改</w:t>
      </w:r>
      <w:r w:rsidR="003B5951">
        <w:rPr>
          <w:rFonts w:ascii="標楷體" w:eastAsia="標楷體" w:hAnsi="標楷體" w:hint="eastAsia"/>
          <w:color w:val="000000"/>
        </w:rPr>
        <w:t>上</w:t>
      </w:r>
      <w:r w:rsidR="003B5951">
        <w:rPr>
          <w:rFonts w:ascii="標楷體" w:eastAsia="標楷體" w:hAnsi="標楷體" w:hint="eastAsia"/>
          <w:color w:val="000000"/>
        </w:rPr>
        <w:lastRenderedPageBreak/>
        <w:t>述</w:t>
      </w:r>
      <w:r w:rsidRPr="00163E80">
        <w:rPr>
          <w:rFonts w:ascii="標楷體" w:eastAsia="標楷體" w:hAnsi="標楷體" w:hint="eastAsia"/>
          <w:color w:val="000000"/>
        </w:rPr>
        <w:t>補助辦法，將原屬計畫型補助項目之具經常性、普及性等事項者，逕改編列一般性補助款</w:t>
      </w:r>
      <w:r w:rsidR="008C4A01">
        <w:rPr>
          <w:rFonts w:ascii="標楷體" w:eastAsia="標楷體" w:hAnsi="標楷體" w:hint="eastAsia"/>
          <w:color w:val="000000"/>
        </w:rPr>
        <w:t>，</w:t>
      </w:r>
      <w:r>
        <w:rPr>
          <w:rFonts w:ascii="標楷體" w:eastAsia="標楷體" w:hAnsi="標楷體" w:hint="eastAsia"/>
          <w:color w:val="000000"/>
        </w:rPr>
        <w:t>而改編列</w:t>
      </w:r>
      <w:r w:rsidRPr="00163E80">
        <w:rPr>
          <w:rFonts w:ascii="標楷體" w:eastAsia="標楷體" w:hAnsi="標楷體" w:hint="eastAsia"/>
          <w:color w:val="000000"/>
        </w:rPr>
        <w:t>一般性補助款之辦理事項</w:t>
      </w:r>
      <w:r>
        <w:rPr>
          <w:rFonts w:ascii="標楷體" w:eastAsia="標楷體" w:hAnsi="標楷體" w:hint="eastAsia"/>
          <w:color w:val="000000"/>
        </w:rPr>
        <w:t>則於</w:t>
      </w:r>
      <w:r w:rsidRPr="00163E80">
        <w:rPr>
          <w:rFonts w:ascii="標楷體" w:eastAsia="標楷體" w:hAnsi="標楷體" w:hint="eastAsia"/>
          <w:color w:val="000000"/>
        </w:rPr>
        <w:t>各單位預算書僅以附錄揭露</w:t>
      </w:r>
      <w:r w:rsidR="00617A73" w:rsidRPr="00163E80">
        <w:rPr>
          <w:rStyle w:val="af4"/>
          <w:rFonts w:ascii="標楷體" w:eastAsia="標楷體" w:hAnsi="標楷體"/>
          <w:lang w:eastAsia="zh-HK"/>
        </w:rPr>
        <w:footnoteReference w:id="3"/>
      </w:r>
      <w:r>
        <w:rPr>
          <w:rFonts w:ascii="標楷體" w:eastAsia="標楷體" w:hAnsi="標楷體" w:hint="eastAsia"/>
          <w:color w:val="000000"/>
        </w:rPr>
        <w:t>。</w:t>
      </w:r>
    </w:p>
    <w:p w:rsidR="006218B7" w:rsidRDefault="000A5FC7" w:rsidP="00FA177C">
      <w:pPr>
        <w:ind w:left="566" w:firstLine="566"/>
        <w:rPr>
          <w:rFonts w:ascii="標楷體" w:eastAsia="標楷體" w:hAnsi="標楷體"/>
          <w:color w:val="000000"/>
        </w:rPr>
      </w:pPr>
      <w:r w:rsidRPr="000A5FC7">
        <w:rPr>
          <w:rFonts w:ascii="標楷體" w:eastAsia="標楷體" w:hAnsi="標楷體" w:hint="eastAsia"/>
          <w:color w:val="000000"/>
        </w:rPr>
        <w:t>各主管機關應遵照行政院施政方針擬</w:t>
      </w:r>
      <w:r w:rsidR="001362D3">
        <w:rPr>
          <w:rFonts w:ascii="標楷體" w:eastAsia="標楷體" w:hAnsi="標楷體" w:hint="eastAsia"/>
          <w:color w:val="000000"/>
        </w:rPr>
        <w:t>訂</w:t>
      </w:r>
      <w:r w:rsidRPr="000A5FC7">
        <w:rPr>
          <w:rFonts w:ascii="標楷體" w:eastAsia="標楷體" w:hAnsi="標楷體" w:hint="eastAsia"/>
          <w:color w:val="000000"/>
        </w:rPr>
        <w:t>施政計畫及概算，而各機關單位預算歲出應按政事別、計畫或業務別與用途別科目編製之</w:t>
      </w:r>
      <w:r w:rsidR="001B471C">
        <w:rPr>
          <w:rFonts w:ascii="標楷體" w:eastAsia="標楷體" w:hAnsi="標楷體" w:hint="eastAsia"/>
          <w:color w:val="000000"/>
        </w:rPr>
        <w:t>，係預算法</w:t>
      </w:r>
      <w:r w:rsidR="001B471C" w:rsidRPr="000A5FC7">
        <w:rPr>
          <w:rFonts w:ascii="標楷體" w:eastAsia="標楷體" w:hAnsi="標楷體" w:hint="eastAsia"/>
          <w:color w:val="000000"/>
        </w:rPr>
        <w:t>第32及第37條</w:t>
      </w:r>
      <w:r w:rsidR="001B471C">
        <w:rPr>
          <w:rFonts w:ascii="標楷體" w:eastAsia="標楷體" w:hAnsi="標楷體" w:hint="eastAsia"/>
          <w:color w:val="000000"/>
        </w:rPr>
        <w:t>所明定</w:t>
      </w:r>
      <w:r w:rsidRPr="000A5FC7">
        <w:rPr>
          <w:rFonts w:ascii="標楷體" w:eastAsia="標楷體" w:hAnsi="標楷體" w:hint="eastAsia"/>
          <w:color w:val="000000"/>
        </w:rPr>
        <w:t>；惟115年度</w:t>
      </w:r>
      <w:r w:rsidR="006218B7">
        <w:rPr>
          <w:rFonts w:ascii="標楷體" w:eastAsia="標楷體" w:hAnsi="標楷體" w:hint="eastAsia"/>
          <w:color w:val="000000"/>
        </w:rPr>
        <w:t>預算案</w:t>
      </w:r>
      <w:r w:rsidR="00387B0C">
        <w:rPr>
          <w:rFonts w:ascii="標楷體" w:eastAsia="標楷體" w:hAnsi="標楷體" w:hint="eastAsia"/>
          <w:color w:val="000000"/>
        </w:rPr>
        <w:t>衛福部</w:t>
      </w:r>
      <w:r w:rsidRPr="000A5FC7">
        <w:rPr>
          <w:rFonts w:ascii="標楷體" w:eastAsia="標楷體" w:hAnsi="標楷體" w:hint="eastAsia"/>
          <w:color w:val="000000"/>
        </w:rPr>
        <w:t>將計畫型補助款改編列一般性補助款，單位預算書雖列有該施政計畫，卻未編列部分或全部歲出數，僅於附錄揭露，恐違預算法制。</w:t>
      </w:r>
    </w:p>
    <w:p w:rsidR="000A5FC7" w:rsidRDefault="000A5FC7" w:rsidP="00FA177C">
      <w:pPr>
        <w:ind w:left="566" w:firstLine="566"/>
        <w:rPr>
          <w:rFonts w:ascii="標楷體" w:eastAsia="標楷體" w:hAnsi="標楷體"/>
          <w:color w:val="000000"/>
        </w:rPr>
      </w:pPr>
      <w:r w:rsidRPr="000A5FC7">
        <w:rPr>
          <w:rFonts w:ascii="標楷體" w:eastAsia="標楷體" w:hAnsi="標楷體" w:hint="eastAsia"/>
          <w:color w:val="000000"/>
        </w:rPr>
        <w:t>復按預算法第49條規定略以，預算案之審議應注重預算規模、計畫績效及優先順序，審議時應就機關別、政事別及基金別決定之</w:t>
      </w:r>
      <w:r w:rsidR="001B471C" w:rsidRPr="00163E80">
        <w:rPr>
          <w:rStyle w:val="af4"/>
          <w:rFonts w:ascii="標楷體" w:eastAsia="標楷體" w:hAnsi="標楷體"/>
          <w:lang w:eastAsia="zh-HK"/>
        </w:rPr>
        <w:footnoteReference w:id="4"/>
      </w:r>
      <w:r w:rsidR="00387B0C">
        <w:rPr>
          <w:rFonts w:ascii="標楷體" w:eastAsia="標楷體" w:hAnsi="標楷體" w:hint="eastAsia"/>
          <w:color w:val="000000"/>
        </w:rPr>
        <w:t>。衛福部</w:t>
      </w:r>
      <w:r w:rsidR="006218B7" w:rsidRPr="000A5FC7">
        <w:rPr>
          <w:rFonts w:ascii="標楷體" w:eastAsia="標楷體" w:hAnsi="標楷體" w:hint="eastAsia"/>
          <w:color w:val="000000"/>
        </w:rPr>
        <w:t>115年度</w:t>
      </w:r>
      <w:r w:rsidRPr="000A5FC7">
        <w:rPr>
          <w:rFonts w:ascii="標楷體" w:eastAsia="標楷體" w:hAnsi="標楷體" w:hint="eastAsia"/>
          <w:color w:val="000000"/>
        </w:rPr>
        <w:t>預算案逕按屬法規命令位階之補助辦法，將原屬歲出之計畫型補助款改編列一般性補助款，致以機關別審議時未能審議決定</w:t>
      </w:r>
      <w:r w:rsidR="0024386D">
        <w:rPr>
          <w:rFonts w:ascii="標楷體" w:eastAsia="標楷體" w:hAnsi="標楷體" w:hint="eastAsia"/>
          <w:color w:val="000000"/>
        </w:rPr>
        <w:t>該</w:t>
      </w:r>
      <w:r w:rsidR="00C146D1">
        <w:rPr>
          <w:rFonts w:ascii="標楷體" w:eastAsia="標楷體" w:hAnsi="標楷體" w:hint="eastAsia"/>
          <w:color w:val="000000"/>
        </w:rPr>
        <w:t>部</w:t>
      </w:r>
      <w:r w:rsidRPr="000A5FC7">
        <w:rPr>
          <w:rFonts w:ascii="標楷體" w:eastAsia="標楷體" w:hAnsi="標楷體" w:hint="eastAsia"/>
          <w:color w:val="000000"/>
        </w:rPr>
        <w:t>全部預算，影響本院預算審議權行使且未先與本院溝通</w:t>
      </w:r>
      <w:r w:rsidR="00387B0C">
        <w:rPr>
          <w:rFonts w:ascii="標楷體" w:eastAsia="標楷體" w:hAnsi="標楷體" w:hint="eastAsia"/>
          <w:color w:val="000000"/>
        </w:rPr>
        <w:t>；</w:t>
      </w:r>
      <w:r w:rsidR="0024386D">
        <w:rPr>
          <w:rFonts w:ascii="標楷體" w:eastAsia="標楷體" w:hAnsi="標楷體" w:hint="eastAsia"/>
          <w:color w:val="000000"/>
        </w:rPr>
        <w:t>而</w:t>
      </w:r>
      <w:r w:rsidR="00387B0C" w:rsidRPr="00387B0C">
        <w:rPr>
          <w:rFonts w:ascii="標楷體" w:eastAsia="標楷體" w:hAnsi="標楷體" w:hint="eastAsia"/>
          <w:color w:val="000000"/>
        </w:rPr>
        <w:t>原列</w:t>
      </w:r>
      <w:r w:rsidR="00C146D1">
        <w:rPr>
          <w:rFonts w:ascii="標楷體" w:eastAsia="標楷體" w:hAnsi="標楷體" w:hint="eastAsia"/>
          <w:color w:val="000000"/>
        </w:rPr>
        <w:t>該</w:t>
      </w:r>
      <w:r w:rsidR="00387B0C">
        <w:rPr>
          <w:rFonts w:ascii="標楷體" w:eastAsia="標楷體" w:hAnsi="標楷體" w:hint="eastAsia"/>
          <w:color w:val="000000"/>
        </w:rPr>
        <w:t>部</w:t>
      </w:r>
      <w:r w:rsidR="00387B0C" w:rsidRPr="00387B0C">
        <w:rPr>
          <w:rFonts w:ascii="標楷體" w:eastAsia="標楷體" w:hAnsi="標楷體" w:hint="eastAsia"/>
          <w:color w:val="000000"/>
        </w:rPr>
        <w:t>之計畫型補助款改編列一般性補助款，需由地方政府申請並經中央機關評比，與以往機制迥異</w:t>
      </w:r>
      <w:r w:rsidRPr="000A5FC7">
        <w:rPr>
          <w:rFonts w:ascii="標楷體" w:eastAsia="標楷體" w:hAnsi="標楷體" w:hint="eastAsia"/>
          <w:color w:val="000000"/>
        </w:rPr>
        <w:t>，允有未洽。</w:t>
      </w:r>
    </w:p>
    <w:p w:rsidR="00E97F87" w:rsidRDefault="00F66A45" w:rsidP="007805F8">
      <w:pPr>
        <w:ind w:leftChars="207" w:left="586" w:firstLine="566"/>
        <w:rPr>
          <w:rFonts w:ascii="標楷體" w:eastAsia="標楷體" w:hAnsi="標楷體"/>
        </w:rPr>
      </w:pPr>
      <w:r w:rsidRPr="009C3D6E">
        <w:rPr>
          <w:rFonts w:ascii="標楷體" w:eastAsia="標楷體" w:hAnsi="標楷體" w:hint="eastAsia"/>
        </w:rPr>
        <w:t>綜上，</w:t>
      </w:r>
      <w:r w:rsidR="00470E33" w:rsidRPr="009C3D6E">
        <w:rPr>
          <w:rFonts w:ascii="標楷體" w:eastAsia="標楷體" w:hAnsi="標楷體" w:hint="eastAsia"/>
        </w:rPr>
        <w:t>衛福部11</w:t>
      </w:r>
      <w:r w:rsidR="00387B0C">
        <w:rPr>
          <w:rFonts w:ascii="標楷體" w:eastAsia="標楷體" w:hAnsi="標楷體" w:hint="eastAsia"/>
        </w:rPr>
        <w:t>5</w:t>
      </w:r>
      <w:r w:rsidR="00470E33" w:rsidRPr="009C3D6E">
        <w:rPr>
          <w:rFonts w:ascii="標楷體" w:eastAsia="標楷體" w:hAnsi="標楷體" w:hint="eastAsia"/>
        </w:rPr>
        <w:t>年度預算案</w:t>
      </w:r>
      <w:r w:rsidR="008C4A01" w:rsidRPr="008C4A01">
        <w:rPr>
          <w:rFonts w:ascii="標楷體" w:eastAsia="標楷體" w:hAnsi="標楷體" w:hint="eastAsia"/>
        </w:rPr>
        <w:t>將原屬歲出之計畫型補助款改編列一般性補助款</w:t>
      </w:r>
      <w:r w:rsidR="008C4A01">
        <w:rPr>
          <w:rFonts w:ascii="標楷體" w:eastAsia="標楷體" w:hAnsi="標楷體" w:hint="eastAsia"/>
        </w:rPr>
        <w:t>，</w:t>
      </w:r>
      <w:r w:rsidR="008C4A01" w:rsidRPr="008C4A01">
        <w:rPr>
          <w:rFonts w:ascii="標楷體" w:eastAsia="標楷體" w:hAnsi="標楷體" w:hint="eastAsia"/>
        </w:rPr>
        <w:t>致以機關別審議時並未能審議決定</w:t>
      </w:r>
      <w:r w:rsidR="0024386D">
        <w:rPr>
          <w:rFonts w:ascii="標楷體" w:eastAsia="標楷體" w:hAnsi="標楷體" w:hint="eastAsia"/>
        </w:rPr>
        <w:t>該</w:t>
      </w:r>
      <w:r w:rsidR="008C4A01">
        <w:rPr>
          <w:rFonts w:ascii="標楷體" w:eastAsia="標楷體" w:hAnsi="標楷體" w:hint="eastAsia"/>
        </w:rPr>
        <w:t>部</w:t>
      </w:r>
      <w:r w:rsidR="008C4A01" w:rsidRPr="008C4A01">
        <w:rPr>
          <w:rFonts w:ascii="標楷體" w:eastAsia="標楷體" w:hAnsi="標楷體" w:hint="eastAsia"/>
        </w:rPr>
        <w:t>全部預算，</w:t>
      </w:r>
      <w:r w:rsidR="008C4A01">
        <w:rPr>
          <w:rFonts w:ascii="標楷體" w:eastAsia="標楷體" w:hAnsi="標楷體" w:hint="eastAsia"/>
        </w:rPr>
        <w:t>允宜檢討改善，並加強溝通，以利預算審議。</w:t>
      </w:r>
    </w:p>
    <w:bookmarkEnd w:id="1"/>
    <w:bookmarkEnd w:id="2"/>
    <w:bookmarkEnd w:id="3"/>
    <w:bookmarkEnd w:id="4"/>
    <w:bookmarkEnd w:id="5"/>
    <w:bookmarkEnd w:id="6"/>
    <w:bookmarkEnd w:id="7"/>
    <w:bookmarkEnd w:id="8"/>
    <w:bookmarkEnd w:id="9"/>
    <w:sectPr w:rsidR="00E97F87"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67406B">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707E21" w:rsidRPr="00BC5F68" w:rsidRDefault="00707E21" w:rsidP="00D419F8">
      <w:pPr>
        <w:pStyle w:val="142"/>
        <w:ind w:left="139" w:hangingChars="57" w:hanging="139"/>
        <w:jc w:val="both"/>
        <w:rPr>
          <w:rFonts w:ascii="標楷體" w:eastAsia="標楷體" w:hAnsi="標楷體"/>
        </w:rPr>
      </w:pPr>
      <w:r w:rsidRPr="00BC5F68">
        <w:rPr>
          <w:rStyle w:val="af4"/>
          <w:rFonts w:ascii="標楷體" w:eastAsia="標楷體" w:hAnsi="標楷體"/>
        </w:rPr>
        <w:footnoteRef/>
      </w:r>
      <w:r w:rsidR="00FC71D6">
        <w:rPr>
          <w:rFonts w:ascii="標楷體" w:eastAsia="標楷體" w:hAnsi="標楷體"/>
        </w:rPr>
        <w:t>114</w:t>
      </w:r>
      <w:r>
        <w:rPr>
          <w:rFonts w:ascii="標楷體" w:eastAsia="標楷體" w:hAnsi="標楷體" w:hint="eastAsia"/>
        </w:rPr>
        <w:t>年度預算數</w:t>
      </w:r>
      <w:r w:rsidRPr="00D419F8">
        <w:rPr>
          <w:rFonts w:ascii="標楷體" w:eastAsia="標楷體" w:hAnsi="標楷體" w:hint="eastAsia"/>
        </w:rPr>
        <w:t>2,780億9,552萬5千元</w:t>
      </w:r>
      <w:r>
        <w:rPr>
          <w:rFonts w:ascii="標楷體" w:eastAsia="標楷體" w:hAnsi="標楷體" w:hint="eastAsia"/>
        </w:rPr>
        <w:t>加計追加預算數1</w:t>
      </w:r>
      <w:r w:rsidRPr="00D419F8">
        <w:rPr>
          <w:rFonts w:ascii="標楷體" w:eastAsia="標楷體" w:hAnsi="標楷體" w:hint="eastAsia"/>
        </w:rPr>
        <w:t>億</w:t>
      </w:r>
      <w:r>
        <w:rPr>
          <w:rFonts w:ascii="標楷體" w:eastAsia="標楷體" w:hAnsi="標楷體" w:hint="eastAsia"/>
        </w:rPr>
        <w:t>1</w:t>
      </w:r>
      <w:r w:rsidRPr="00D419F8">
        <w:rPr>
          <w:rFonts w:ascii="標楷體" w:eastAsia="標楷體" w:hAnsi="標楷體" w:hint="eastAsia"/>
        </w:rPr>
        <w:t>,</w:t>
      </w:r>
      <w:r>
        <w:rPr>
          <w:rFonts w:ascii="標楷體" w:eastAsia="標楷體" w:hAnsi="標楷體"/>
        </w:rPr>
        <w:t>231</w:t>
      </w:r>
      <w:r w:rsidRPr="00D419F8">
        <w:rPr>
          <w:rFonts w:ascii="標楷體" w:eastAsia="標楷體" w:hAnsi="標楷體" w:hint="eastAsia"/>
        </w:rPr>
        <w:t>萬</w:t>
      </w:r>
      <w:r>
        <w:rPr>
          <w:rFonts w:ascii="標楷體" w:eastAsia="標楷體" w:hAnsi="標楷體" w:hint="eastAsia"/>
        </w:rPr>
        <w:t>8</w:t>
      </w:r>
      <w:r w:rsidRPr="00D419F8">
        <w:rPr>
          <w:rFonts w:ascii="標楷體" w:eastAsia="標楷體" w:hAnsi="標楷體" w:hint="eastAsia"/>
        </w:rPr>
        <w:t>千元</w:t>
      </w:r>
      <w:r>
        <w:rPr>
          <w:rFonts w:ascii="標楷體" w:eastAsia="標楷體" w:hAnsi="標楷體" w:hint="eastAsia"/>
        </w:rPr>
        <w:t>。</w:t>
      </w:r>
    </w:p>
  </w:footnote>
  <w:footnote w:id="2">
    <w:p w:rsidR="00707E21" w:rsidRPr="00221286" w:rsidRDefault="00707E21" w:rsidP="0018318D">
      <w:pPr>
        <w:pStyle w:val="142"/>
        <w:ind w:leftChars="1" w:left="59" w:hangingChars="23" w:hanging="56"/>
        <w:jc w:val="both"/>
        <w:rPr>
          <w:rFonts w:ascii="標楷體" w:eastAsia="標楷體" w:hAnsi="標楷體"/>
        </w:rPr>
      </w:pPr>
      <w:r>
        <w:rPr>
          <w:rStyle w:val="af4"/>
        </w:rPr>
        <w:footnoteRef/>
      </w:r>
      <w:r w:rsidRPr="00221286">
        <w:rPr>
          <w:rFonts w:ascii="標楷體" w:eastAsia="標楷體" w:hAnsi="標楷體" w:hint="eastAsia"/>
        </w:rPr>
        <w:t>財</w:t>
      </w:r>
      <w:r w:rsidRPr="00E63AF0">
        <w:rPr>
          <w:rFonts w:ascii="標楷體" w:eastAsia="標楷體" w:hAnsi="標楷體" w:hint="eastAsia"/>
        </w:rPr>
        <w:t>劃法</w:t>
      </w:r>
      <w:r w:rsidRPr="00221286">
        <w:rPr>
          <w:rFonts w:ascii="標楷體" w:eastAsia="標楷體" w:hAnsi="標楷體" w:hint="eastAsia"/>
        </w:rPr>
        <w:t>第30條</w:t>
      </w:r>
      <w:r w:rsidRPr="00221286">
        <w:rPr>
          <w:rFonts w:ascii="標楷體" w:eastAsia="標楷體" w:hAnsi="標楷體" w:hint="eastAsia"/>
          <w:lang w:eastAsia="zh-HK"/>
        </w:rPr>
        <w:t>規定</w:t>
      </w:r>
      <w:r w:rsidRPr="00221286">
        <w:rPr>
          <w:rFonts w:ascii="標楷體" w:eastAsia="標楷體" w:hAnsi="標楷體" w:hint="eastAsia"/>
        </w:rPr>
        <w:t>：「中央為謀全國之經濟平衡發展，得酌予補助地方政府。但以下列事項為限：一、計畫效益涵蓋面廣，且具整體性之計畫項目。</w:t>
      </w:r>
      <w:r>
        <w:rPr>
          <w:rFonts w:ascii="標楷體" w:eastAsia="標楷體" w:hAnsi="標楷體" w:hint="eastAsia"/>
        </w:rPr>
        <w:t>…</w:t>
      </w:r>
      <w:r w:rsidRPr="00221286">
        <w:rPr>
          <w:rFonts w:ascii="標楷體" w:eastAsia="標楷體" w:hAnsi="標楷體" w:hint="eastAsia"/>
        </w:rPr>
        <w:t>。前項各款補助之辦法，由行政院另定之。中央政府給予地方政府之一般性補助款項金額，不得少於修正施行前一年度預算編列數。」</w:t>
      </w:r>
      <w:r w:rsidRPr="00183381">
        <w:rPr>
          <w:rFonts w:ascii="標楷體" w:eastAsia="標楷體" w:hAnsi="標楷體" w:hint="eastAsia"/>
          <w:color w:val="000000"/>
        </w:rPr>
        <w:t>地方制度</w:t>
      </w:r>
      <w:r w:rsidRPr="00221286">
        <w:rPr>
          <w:rFonts w:ascii="標楷體" w:eastAsia="標楷體" w:hAnsi="標楷體" w:hint="eastAsia"/>
          <w:lang w:eastAsia="zh-HK"/>
        </w:rPr>
        <w:t>法第</w:t>
      </w:r>
      <w:r w:rsidRPr="00221286">
        <w:rPr>
          <w:rFonts w:ascii="標楷體" w:eastAsia="標楷體" w:hAnsi="標楷體" w:hint="eastAsia"/>
        </w:rPr>
        <w:t>69</w:t>
      </w:r>
      <w:r w:rsidRPr="00221286">
        <w:rPr>
          <w:rFonts w:ascii="標楷體" w:eastAsia="標楷體" w:hAnsi="標楷體" w:hint="eastAsia"/>
          <w:lang w:eastAsia="zh-HK"/>
        </w:rPr>
        <w:t>條規定</w:t>
      </w:r>
      <w:r w:rsidRPr="00221286">
        <w:rPr>
          <w:rFonts w:ascii="標楷體" w:eastAsia="標楷體" w:hAnsi="標楷體" w:hint="eastAsia"/>
        </w:rPr>
        <w:t>：「各上級政府為謀地方均衡發展，對於財力較差之地方政府應酌予補助；對財力較優之地方政府，得取得協助金。…第1項補助須明定補助項目、補助對象、補助比率及處理原則；其補助辦法，分別由行政院或縣定之。」</w:t>
      </w:r>
    </w:p>
  </w:footnote>
  <w:footnote w:id="3">
    <w:p w:rsidR="00707E21" w:rsidRPr="00221286" w:rsidRDefault="00707E21" w:rsidP="00617A73">
      <w:pPr>
        <w:pStyle w:val="142"/>
        <w:ind w:leftChars="1" w:left="59" w:hangingChars="23" w:hanging="56"/>
        <w:jc w:val="both"/>
        <w:rPr>
          <w:rFonts w:ascii="標楷體" w:eastAsia="標楷體" w:hAnsi="標楷體"/>
        </w:rPr>
      </w:pPr>
      <w:r>
        <w:rPr>
          <w:rStyle w:val="af4"/>
        </w:rPr>
        <w:footnoteRef/>
      </w:r>
      <w:r>
        <w:rPr>
          <w:rFonts w:ascii="標楷體" w:eastAsia="標楷體" w:hAnsi="標楷體" w:hint="eastAsia"/>
        </w:rPr>
        <w:t>參考本中心115年度中央政府總預算案整體評估報告第41題。</w:t>
      </w:r>
    </w:p>
  </w:footnote>
  <w:footnote w:id="4">
    <w:p w:rsidR="00707E21" w:rsidRPr="00221286" w:rsidRDefault="00707E21" w:rsidP="001B471C">
      <w:pPr>
        <w:pStyle w:val="142"/>
        <w:ind w:leftChars="1" w:left="59" w:hangingChars="23" w:hanging="56"/>
        <w:jc w:val="both"/>
        <w:rPr>
          <w:rFonts w:ascii="標楷體" w:eastAsia="標楷體" w:hAnsi="標楷體"/>
        </w:rPr>
      </w:pPr>
      <w:r>
        <w:rPr>
          <w:rStyle w:val="af4"/>
        </w:rPr>
        <w:footnoteRef/>
      </w:r>
      <w:r>
        <w:rPr>
          <w:rFonts w:ascii="標楷體" w:eastAsia="標楷體" w:hAnsi="標楷體" w:hint="eastAsia"/>
        </w:rPr>
        <w:t>同註</w:t>
      </w:r>
      <w:r w:rsidR="00823C4F">
        <w:rPr>
          <w:rFonts w:ascii="標楷體" w:eastAsia="標楷體" w:hAnsi="標楷體" w:hint="eastAsia"/>
        </w:rPr>
        <w:t>3</w:t>
      </w:r>
      <w:r>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6B"/>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B8063BC-6777-4A30-BA65-9862E79C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3A75D-58B9-42C6-94C5-1B5EF2EA3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