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042CE4" w:rsidRPr="009C3D6E" w:rsidRDefault="00042CE4" w:rsidP="004C1220">
      <w:pPr>
        <w:pStyle w:val="14"/>
        <w:ind w:left="567" w:hanging="567"/>
        <w:rPr>
          <w:rFonts w:ascii="標楷體" w:eastAsia="標楷體" w:hAnsi="標楷體"/>
        </w:rPr>
      </w:pPr>
      <w:bookmarkStart w:id="1" w:name="_Toc86671678"/>
      <w:bookmarkStart w:id="2" w:name="_Toc115158823"/>
      <w:bookmarkStart w:id="3" w:name="_Toc495509787"/>
      <w:bookmarkStart w:id="4" w:name="_Toc495757758"/>
      <w:bookmarkStart w:id="5" w:name="_Toc495761130"/>
      <w:bookmarkStart w:id="6" w:name="_Toc324491460"/>
      <w:bookmarkStart w:id="7" w:name="_Toc431890370"/>
      <w:bookmarkStart w:id="8" w:name="_Toc495757760"/>
      <w:bookmarkStart w:id="9" w:name="_Toc495761132"/>
      <w:bookmarkStart w:id="10" w:name="_Toc213832737"/>
      <w:r w:rsidRPr="009C3D6E">
        <w:rPr>
          <w:rFonts w:ascii="標楷體" w:eastAsia="標楷體" w:hAnsi="標楷體" w:hint="eastAsia"/>
        </w:rPr>
        <w:t>一</w:t>
      </w:r>
      <w:r w:rsidR="00EC272A" w:rsidRPr="009C3D6E">
        <w:rPr>
          <w:rFonts w:ascii="標楷體" w:eastAsia="標楷體" w:hAnsi="標楷體" w:hint="eastAsia"/>
        </w:rPr>
        <w:t>一</w:t>
      </w:r>
      <w:r w:rsidRPr="009C3D6E">
        <w:rPr>
          <w:rFonts w:ascii="標楷體" w:eastAsia="標楷體" w:hAnsi="標楷體" w:hint="eastAsia"/>
        </w:rPr>
        <w:t>、</w:t>
      </w:r>
      <w:r w:rsidR="006A158B" w:rsidRPr="006A158B">
        <w:rPr>
          <w:rFonts w:ascii="標楷體" w:eastAsia="標楷體" w:hAnsi="標楷體" w:hint="eastAsia"/>
        </w:rPr>
        <w:t>部分市縣毒防中心個案管理人員進用人數未符預期，</w:t>
      </w:r>
      <w:r w:rsidR="006A158B">
        <w:rPr>
          <w:rFonts w:ascii="標楷體" w:eastAsia="標楷體" w:hAnsi="標楷體" w:hint="eastAsia"/>
        </w:rPr>
        <w:t>留任比率</w:t>
      </w:r>
      <w:r w:rsidR="00E9130B">
        <w:rPr>
          <w:rFonts w:ascii="標楷體" w:eastAsia="標楷體" w:hAnsi="標楷體" w:hint="eastAsia"/>
        </w:rPr>
        <w:t>亦</w:t>
      </w:r>
      <w:r w:rsidR="006A158B">
        <w:rPr>
          <w:rFonts w:ascii="標楷體" w:eastAsia="標楷體" w:hAnsi="標楷體" w:hint="eastAsia"/>
        </w:rPr>
        <w:t>偏低，允宜檢討改善，以</w:t>
      </w:r>
      <w:r w:rsidR="006A158B" w:rsidRPr="006A158B">
        <w:rPr>
          <w:rFonts w:ascii="標楷體" w:eastAsia="標楷體" w:hAnsi="標楷體" w:hint="eastAsia"/>
        </w:rPr>
        <w:t>利藥癮個案管理服務</w:t>
      </w:r>
      <w:bookmarkEnd w:id="10"/>
    </w:p>
    <w:p w:rsidR="002C0DB0" w:rsidRDefault="002C0DB0" w:rsidP="00042CE4">
      <w:pPr>
        <w:ind w:left="566" w:firstLine="566"/>
        <w:rPr>
          <w:rFonts w:ascii="標楷體" w:eastAsia="標楷體" w:hAnsi="標楷體"/>
          <w:snapToGrid/>
          <w:kern w:val="28"/>
          <w:szCs w:val="24"/>
        </w:rPr>
      </w:pPr>
      <w:r w:rsidRPr="002C0DB0">
        <w:rPr>
          <w:rFonts w:ascii="標楷體" w:eastAsia="標楷體" w:hAnsi="標楷體" w:hint="eastAsia"/>
          <w:snapToGrid/>
          <w:kern w:val="28"/>
          <w:szCs w:val="24"/>
        </w:rPr>
        <w:t>衛福部11</w:t>
      </w:r>
      <w:r>
        <w:rPr>
          <w:rFonts w:ascii="標楷體" w:eastAsia="標楷體" w:hAnsi="標楷體" w:hint="eastAsia"/>
          <w:snapToGrid/>
          <w:kern w:val="28"/>
          <w:szCs w:val="24"/>
        </w:rPr>
        <w:t>5</w:t>
      </w:r>
      <w:r w:rsidRPr="002C0DB0">
        <w:rPr>
          <w:rFonts w:ascii="標楷體" w:eastAsia="標楷體" w:hAnsi="標楷體" w:hint="eastAsia"/>
          <w:snapToGrid/>
          <w:kern w:val="28"/>
          <w:szCs w:val="24"/>
        </w:rPr>
        <w:t>年度預算案於「心理及口腔健康業務」下編列「強化藥癮治療服務」3億</w:t>
      </w:r>
      <w:r>
        <w:rPr>
          <w:rFonts w:ascii="標楷體" w:eastAsia="標楷體" w:hAnsi="標楷體" w:hint="eastAsia"/>
          <w:snapToGrid/>
          <w:kern w:val="28"/>
          <w:szCs w:val="24"/>
        </w:rPr>
        <w:t>6</w:t>
      </w:r>
      <w:r w:rsidRPr="002C0DB0">
        <w:rPr>
          <w:rFonts w:ascii="標楷體" w:eastAsia="標楷體" w:hAnsi="標楷體" w:hint="eastAsia"/>
          <w:snapToGrid/>
          <w:kern w:val="28"/>
          <w:szCs w:val="24"/>
        </w:rPr>
        <w:t>,</w:t>
      </w:r>
      <w:r>
        <w:rPr>
          <w:rFonts w:ascii="標楷體" w:eastAsia="標楷體" w:hAnsi="標楷體" w:hint="eastAsia"/>
          <w:snapToGrid/>
          <w:kern w:val="28"/>
          <w:szCs w:val="24"/>
        </w:rPr>
        <w:t>158</w:t>
      </w:r>
      <w:r w:rsidRPr="002C0DB0">
        <w:rPr>
          <w:rFonts w:ascii="標楷體" w:eastAsia="標楷體" w:hAnsi="標楷體" w:hint="eastAsia"/>
          <w:snapToGrid/>
          <w:kern w:val="28"/>
          <w:szCs w:val="24"/>
        </w:rPr>
        <w:t>萬</w:t>
      </w:r>
      <w:r>
        <w:rPr>
          <w:rFonts w:ascii="標楷體" w:eastAsia="標楷體" w:hAnsi="標楷體" w:hint="eastAsia"/>
          <w:snapToGrid/>
          <w:kern w:val="28"/>
          <w:szCs w:val="24"/>
        </w:rPr>
        <w:t>1</w:t>
      </w:r>
      <w:r w:rsidRPr="002C0DB0">
        <w:rPr>
          <w:rFonts w:ascii="標楷體" w:eastAsia="標楷體" w:hAnsi="標楷體" w:hint="eastAsia"/>
          <w:snapToGrid/>
          <w:kern w:val="28"/>
          <w:szCs w:val="24"/>
        </w:rPr>
        <w:t>千元，係配合</w:t>
      </w:r>
      <w:r w:rsidR="008650EF">
        <w:rPr>
          <w:rFonts w:ascii="標楷體" w:eastAsia="標楷體" w:hAnsi="標楷體" w:hint="eastAsia"/>
          <w:snapToGrid/>
          <w:kern w:val="28"/>
          <w:szCs w:val="24"/>
        </w:rPr>
        <w:t>法務部之</w:t>
      </w:r>
      <w:r w:rsidR="00192CC6">
        <w:rPr>
          <w:rFonts w:ascii="標楷體" w:eastAsia="標楷體" w:hAnsi="標楷體" w:hint="eastAsia"/>
          <w:snapToGrid/>
          <w:kern w:val="28"/>
          <w:szCs w:val="24"/>
        </w:rPr>
        <w:t>「</w:t>
      </w:r>
      <w:r w:rsidRPr="002C0DB0">
        <w:rPr>
          <w:rFonts w:ascii="標楷體" w:eastAsia="標楷體" w:hAnsi="標楷體" w:hint="eastAsia"/>
          <w:snapToGrid/>
          <w:kern w:val="28"/>
          <w:szCs w:val="24"/>
        </w:rPr>
        <w:t>新世代反毒策略行動綱領第3期計畫(114-117年)</w:t>
      </w:r>
      <w:r w:rsidR="00192CC6">
        <w:rPr>
          <w:rFonts w:ascii="標楷體" w:eastAsia="標楷體" w:hAnsi="標楷體" w:hint="eastAsia"/>
          <w:snapToGrid/>
          <w:kern w:val="28"/>
          <w:szCs w:val="24"/>
        </w:rPr>
        <w:t>」</w:t>
      </w:r>
      <w:r w:rsidR="008650EF">
        <w:rPr>
          <w:rFonts w:ascii="標楷體" w:eastAsia="標楷體" w:hAnsi="標楷體" w:hint="eastAsia"/>
          <w:snapToGrid/>
          <w:kern w:val="28"/>
          <w:szCs w:val="24"/>
        </w:rPr>
        <w:t>，</w:t>
      </w:r>
      <w:r w:rsidRPr="002C0DB0">
        <w:rPr>
          <w:rFonts w:ascii="標楷體" w:eastAsia="標楷體" w:hAnsi="標楷體" w:hint="eastAsia"/>
          <w:snapToGrid/>
          <w:kern w:val="28"/>
          <w:szCs w:val="24"/>
        </w:rPr>
        <w:t>辦理毒品防制相關工作，如</w:t>
      </w:r>
      <w:r w:rsidR="00192CC6" w:rsidRPr="00192CC6">
        <w:rPr>
          <w:rFonts w:ascii="標楷體" w:eastAsia="標楷體" w:hAnsi="標楷體" w:hint="eastAsia"/>
          <w:snapToGrid/>
          <w:kern w:val="28"/>
          <w:szCs w:val="24"/>
        </w:rPr>
        <w:t>：</w:t>
      </w:r>
      <w:r w:rsidRPr="002C0DB0">
        <w:rPr>
          <w:rFonts w:ascii="標楷體" w:eastAsia="標楷體" w:hAnsi="標楷體" w:hint="eastAsia"/>
          <w:snapToGrid/>
          <w:kern w:val="28"/>
          <w:szCs w:val="24"/>
        </w:rPr>
        <w:t>維護及增修成癮醫療個案管理及毒品危害防制中心</w:t>
      </w:r>
      <w:r w:rsidR="001F5146" w:rsidRPr="008650EF">
        <w:rPr>
          <w:rFonts w:ascii="標楷體" w:eastAsia="標楷體" w:hAnsi="標楷體" w:hint="eastAsia"/>
          <w:snapToGrid/>
          <w:kern w:val="28"/>
          <w:szCs w:val="24"/>
        </w:rPr>
        <w:t>(下稱毒防中心)</w:t>
      </w:r>
      <w:r w:rsidRPr="002C0DB0">
        <w:rPr>
          <w:rFonts w:ascii="標楷體" w:eastAsia="標楷體" w:hAnsi="標楷體" w:hint="eastAsia"/>
          <w:snapToGrid/>
          <w:kern w:val="28"/>
          <w:szCs w:val="24"/>
        </w:rPr>
        <w:t>資訊系統、辦理成癮防治人才培訓等</w:t>
      </w:r>
      <w:r>
        <w:rPr>
          <w:rFonts w:ascii="標楷體" w:eastAsia="標楷體" w:hAnsi="標楷體" w:hint="eastAsia"/>
          <w:snapToGrid/>
          <w:kern w:val="28"/>
          <w:szCs w:val="24"/>
        </w:rPr>
        <w:t>。</w:t>
      </w:r>
    </w:p>
    <w:p w:rsidR="00850D66" w:rsidRDefault="008650EF" w:rsidP="00042CE4">
      <w:pPr>
        <w:ind w:left="566" w:firstLine="566"/>
        <w:rPr>
          <w:rFonts w:ascii="標楷體" w:eastAsia="標楷體" w:hAnsi="標楷體"/>
          <w:snapToGrid/>
          <w:kern w:val="28"/>
          <w:szCs w:val="24"/>
        </w:rPr>
      </w:pPr>
      <w:r w:rsidRPr="008650EF">
        <w:rPr>
          <w:rFonts w:ascii="標楷體" w:eastAsia="標楷體" w:hAnsi="標楷體" w:hint="eastAsia"/>
          <w:snapToGrid/>
          <w:kern w:val="28"/>
          <w:szCs w:val="24"/>
        </w:rPr>
        <w:lastRenderedPageBreak/>
        <w:t>衛福部為充實毒防中心個案管理能力，113年度個案管理人員(下稱個管人員)案量</w:t>
      </w:r>
      <w:r>
        <w:rPr>
          <w:rFonts w:ascii="標楷體" w:eastAsia="標楷體" w:hAnsi="標楷體" w:hint="eastAsia"/>
          <w:snapToGrid/>
          <w:kern w:val="28"/>
          <w:szCs w:val="24"/>
        </w:rPr>
        <w:t>比目標為</w:t>
      </w:r>
      <w:r w:rsidRPr="008650EF">
        <w:rPr>
          <w:rFonts w:ascii="標楷體" w:eastAsia="標楷體" w:hAnsi="標楷體" w:hint="eastAsia"/>
          <w:snapToGrid/>
          <w:kern w:val="28"/>
          <w:szCs w:val="24"/>
        </w:rPr>
        <w:t>1：30</w:t>
      </w:r>
      <w:r w:rsidR="00DE2376">
        <w:rPr>
          <w:rFonts w:ascii="標楷體" w:eastAsia="標楷體" w:hAnsi="標楷體" w:hint="eastAsia"/>
          <w:snapToGrid/>
          <w:kern w:val="28"/>
          <w:szCs w:val="24"/>
        </w:rPr>
        <w:t>，</w:t>
      </w:r>
      <w:r>
        <w:rPr>
          <w:rFonts w:ascii="標楷體" w:eastAsia="標楷體" w:hAnsi="標楷體" w:hint="eastAsia"/>
          <w:snapToGrid/>
          <w:kern w:val="28"/>
          <w:szCs w:val="24"/>
        </w:rPr>
        <w:t>執行結果，</w:t>
      </w:r>
      <w:r w:rsidRPr="008650EF">
        <w:rPr>
          <w:rFonts w:ascii="標楷體" w:eastAsia="標楷體" w:hAnsi="標楷體" w:hint="eastAsia"/>
          <w:snapToGrid/>
          <w:kern w:val="28"/>
          <w:szCs w:val="24"/>
        </w:rPr>
        <w:t>11</w:t>
      </w:r>
      <w:r>
        <w:rPr>
          <w:rFonts w:ascii="標楷體" w:eastAsia="標楷體" w:hAnsi="標楷體" w:hint="eastAsia"/>
          <w:snapToGrid/>
          <w:kern w:val="28"/>
          <w:szCs w:val="24"/>
        </w:rPr>
        <w:t>3</w:t>
      </w:r>
      <w:r w:rsidRPr="008650EF">
        <w:rPr>
          <w:rFonts w:ascii="標楷體" w:eastAsia="標楷體" w:hAnsi="標楷體" w:hint="eastAsia"/>
          <w:snapToGrid/>
          <w:kern w:val="28"/>
          <w:szCs w:val="24"/>
        </w:rPr>
        <w:t>年度</w:t>
      </w:r>
      <w:r>
        <w:rPr>
          <w:rFonts w:ascii="標楷體" w:eastAsia="標楷體" w:hAnsi="標楷體" w:hint="eastAsia"/>
          <w:snapToGrid/>
          <w:kern w:val="28"/>
          <w:szCs w:val="24"/>
        </w:rPr>
        <w:t>全國22個市縣計有12個市縣</w:t>
      </w:r>
      <w:r w:rsidR="00D54E51" w:rsidRPr="009C3D6E">
        <w:rPr>
          <w:rStyle w:val="af4"/>
          <w:rFonts w:ascii="標楷體" w:eastAsia="標楷體" w:hAnsi="標楷體"/>
        </w:rPr>
        <w:footnoteReference w:id="1"/>
      </w:r>
      <w:r>
        <w:rPr>
          <w:rFonts w:ascii="標楷體" w:eastAsia="標楷體" w:hAnsi="標楷體" w:hint="eastAsia"/>
          <w:snapToGrid/>
          <w:kern w:val="28"/>
          <w:szCs w:val="24"/>
        </w:rPr>
        <w:t>未達目標</w:t>
      </w:r>
      <w:r w:rsidR="003262E9">
        <w:rPr>
          <w:rFonts w:ascii="標楷體" w:eastAsia="標楷體" w:hAnsi="標楷體" w:hint="eastAsia"/>
          <w:snapToGrid/>
          <w:kern w:val="28"/>
          <w:szCs w:val="24"/>
        </w:rPr>
        <w:t>(詳表1)</w:t>
      </w:r>
      <w:r>
        <w:rPr>
          <w:rFonts w:ascii="標楷體" w:eastAsia="標楷體" w:hAnsi="標楷體" w:hint="eastAsia"/>
          <w:snapToGrid/>
          <w:kern w:val="28"/>
          <w:szCs w:val="24"/>
        </w:rPr>
        <w:t>，</w:t>
      </w:r>
      <w:r w:rsidR="003262E9">
        <w:rPr>
          <w:rFonts w:ascii="標楷體" w:eastAsia="標楷體" w:hAnsi="標楷體" w:hint="eastAsia"/>
          <w:snapToGrid/>
          <w:kern w:val="28"/>
          <w:szCs w:val="24"/>
        </w:rPr>
        <w:t>案量比最高之</w:t>
      </w:r>
      <w:r w:rsidR="003858CD">
        <w:rPr>
          <w:rFonts w:ascii="標楷體" w:eastAsia="標楷體" w:hAnsi="標楷體" w:hint="eastAsia"/>
          <w:snapToGrid/>
          <w:kern w:val="28"/>
          <w:szCs w:val="24"/>
        </w:rPr>
        <w:t>3</w:t>
      </w:r>
      <w:r w:rsidR="003262E9">
        <w:rPr>
          <w:rFonts w:ascii="標楷體" w:eastAsia="標楷體" w:hAnsi="標楷體" w:hint="eastAsia"/>
          <w:snapToGrid/>
          <w:kern w:val="28"/>
          <w:szCs w:val="24"/>
        </w:rPr>
        <w:t>個</w:t>
      </w:r>
      <w:r w:rsidR="001E3FD3">
        <w:rPr>
          <w:rFonts w:ascii="標楷體" w:eastAsia="標楷體" w:hAnsi="標楷體" w:hint="eastAsia"/>
          <w:snapToGrid/>
          <w:kern w:val="28"/>
          <w:szCs w:val="24"/>
        </w:rPr>
        <w:t>縣</w:t>
      </w:r>
      <w:r w:rsidR="003858CD">
        <w:rPr>
          <w:rFonts w:ascii="標楷體" w:eastAsia="標楷體" w:hAnsi="標楷體" w:hint="eastAsia"/>
          <w:snapToGrid/>
          <w:kern w:val="28"/>
          <w:szCs w:val="24"/>
        </w:rPr>
        <w:t>市</w:t>
      </w:r>
      <w:r w:rsidR="003262E9">
        <w:rPr>
          <w:rFonts w:ascii="標楷體" w:eastAsia="標楷體" w:hAnsi="標楷體" w:hint="eastAsia"/>
          <w:snapToGrid/>
          <w:kern w:val="28"/>
          <w:szCs w:val="24"/>
        </w:rPr>
        <w:t>為澎湖縣、彰化縣及花蓮縣</w:t>
      </w:r>
      <w:r w:rsidRPr="008650EF">
        <w:rPr>
          <w:rFonts w:ascii="標楷體" w:eastAsia="標楷體" w:hAnsi="標楷體" w:hint="eastAsia"/>
          <w:snapToGrid/>
          <w:kern w:val="28"/>
          <w:szCs w:val="24"/>
        </w:rPr>
        <w:t>，進用人數未符預期，恐不利</w:t>
      </w:r>
      <w:r w:rsidR="003858CD">
        <w:rPr>
          <w:rFonts w:ascii="標楷體" w:eastAsia="標楷體" w:hAnsi="標楷體" w:hint="eastAsia"/>
          <w:snapToGrid/>
          <w:kern w:val="28"/>
          <w:szCs w:val="24"/>
        </w:rPr>
        <w:t>提升</w:t>
      </w:r>
      <w:r w:rsidRPr="008650EF">
        <w:rPr>
          <w:rFonts w:ascii="標楷體" w:eastAsia="標楷體" w:hAnsi="標楷體" w:hint="eastAsia"/>
          <w:snapToGrid/>
          <w:kern w:val="28"/>
          <w:szCs w:val="24"/>
        </w:rPr>
        <w:t>個案管理服務</w:t>
      </w:r>
      <w:r w:rsidR="003858CD">
        <w:rPr>
          <w:rFonts w:ascii="標楷體" w:eastAsia="標楷體" w:hAnsi="標楷體" w:hint="eastAsia"/>
          <w:snapToGrid/>
          <w:kern w:val="28"/>
          <w:szCs w:val="24"/>
        </w:rPr>
        <w:t>品質</w:t>
      </w:r>
      <w:r w:rsidR="00C17CCB">
        <w:rPr>
          <w:rFonts w:ascii="標楷體" w:eastAsia="標楷體" w:hAnsi="標楷體" w:hint="eastAsia"/>
          <w:snapToGrid/>
          <w:kern w:val="28"/>
          <w:szCs w:val="24"/>
        </w:rPr>
        <w:t>。</w:t>
      </w:r>
    </w:p>
    <w:p w:rsidR="00850D66" w:rsidRPr="00850D66" w:rsidRDefault="00850D66" w:rsidP="00850D66">
      <w:pPr>
        <w:widowControl/>
        <w:spacing w:beforeLines="20" w:before="102" w:line="400" w:lineRule="exact"/>
        <w:ind w:leftChars="0" w:left="1142" w:hangingChars="403" w:hanging="1142"/>
        <w:jc w:val="left"/>
        <w:rPr>
          <w:rFonts w:ascii="標楷體" w:eastAsia="標楷體" w:hAnsi="標楷體"/>
          <w:b/>
          <w:color w:val="000000"/>
        </w:rPr>
      </w:pPr>
      <w:r w:rsidRPr="00850D66">
        <w:rPr>
          <w:rFonts w:ascii="標楷體" w:eastAsia="標楷體" w:hAnsi="標楷體" w:hint="eastAsia"/>
          <w:b/>
          <w:color w:val="000000"/>
        </w:rPr>
        <w:t xml:space="preserve">表1  </w:t>
      </w:r>
      <w:r w:rsidR="004E2AA7">
        <w:rPr>
          <w:rFonts w:ascii="標楷體" w:eastAsia="標楷體" w:hAnsi="標楷體" w:hint="eastAsia"/>
          <w:b/>
          <w:color w:val="000000"/>
        </w:rPr>
        <w:t>113年度</w:t>
      </w:r>
      <w:r w:rsidRPr="00850D66">
        <w:rPr>
          <w:rFonts w:ascii="標楷體" w:eastAsia="標楷體" w:hAnsi="標楷體" w:hint="eastAsia"/>
          <w:b/>
          <w:color w:val="000000"/>
        </w:rPr>
        <w:t>各市縣毒防中心平均每日在案量及個管人員人力表</w:t>
      </w:r>
    </w:p>
    <w:p w:rsidR="00D37FC3" w:rsidRDefault="00850D66" w:rsidP="00850D66">
      <w:pPr>
        <w:widowControl/>
        <w:spacing w:line="280" w:lineRule="exact"/>
        <w:ind w:leftChars="0" w:left="1142" w:hangingChars="403" w:hanging="1142"/>
        <w:jc w:val="left"/>
        <w:rPr>
          <w:rFonts w:ascii="標楷體" w:eastAsia="標楷體" w:hAnsi="標楷體"/>
          <w:color w:val="000000"/>
          <w:sz w:val="24"/>
          <w:szCs w:val="24"/>
        </w:rPr>
      </w:pPr>
      <w:r w:rsidRPr="00850D66">
        <w:rPr>
          <w:rFonts w:ascii="標楷體" w:eastAsia="標楷體" w:hAnsi="標楷體" w:hint="eastAsia"/>
          <w:b/>
          <w:color w:val="000000"/>
        </w:rPr>
        <w:t xml:space="preserve">                                              </w:t>
      </w:r>
      <w:r w:rsidRPr="00850D66">
        <w:rPr>
          <w:rFonts w:ascii="標楷體" w:eastAsia="標楷體" w:hAnsi="標楷體" w:hint="eastAsia"/>
          <w:color w:val="000000"/>
        </w:rPr>
        <w:t xml:space="preserve"> </w:t>
      </w:r>
      <w:r w:rsidRPr="00850D66">
        <w:rPr>
          <w:rFonts w:ascii="標楷體" w:eastAsia="標楷體" w:hAnsi="標楷體" w:hint="eastAsia"/>
          <w:color w:val="000000"/>
          <w:sz w:val="24"/>
          <w:szCs w:val="24"/>
        </w:rPr>
        <w:t>單位：</w:t>
      </w:r>
      <w:r w:rsidR="003858CD">
        <w:rPr>
          <w:rFonts w:ascii="標楷體" w:eastAsia="標楷體" w:hAnsi="標楷體" w:hint="eastAsia"/>
          <w:color w:val="000000"/>
          <w:sz w:val="24"/>
          <w:szCs w:val="24"/>
        </w:rPr>
        <w:t>案；</w:t>
      </w:r>
      <w:r w:rsidRPr="00850D66">
        <w:rPr>
          <w:rFonts w:ascii="標楷體" w:eastAsia="標楷體" w:hAnsi="標楷體" w:hint="eastAsia"/>
          <w:color w:val="000000"/>
          <w:sz w:val="24"/>
          <w:szCs w:val="24"/>
        </w:rPr>
        <w:t>人；年</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275"/>
        <w:gridCol w:w="1134"/>
        <w:gridCol w:w="1418"/>
        <w:gridCol w:w="1134"/>
        <w:gridCol w:w="1417"/>
        <w:gridCol w:w="1134"/>
      </w:tblGrid>
      <w:tr w:rsidR="00D37FC3" w:rsidRPr="00D37FC3" w:rsidTr="003858CD">
        <w:trPr>
          <w:trHeight w:val="283"/>
          <w:tblHeader/>
        </w:trPr>
        <w:tc>
          <w:tcPr>
            <w:tcW w:w="993" w:type="dxa"/>
            <w:vMerge w:val="restart"/>
            <w:vAlign w:val="center"/>
          </w:tcPr>
          <w:p w:rsidR="00D37FC3" w:rsidRPr="00D37FC3" w:rsidRDefault="003858CD" w:rsidP="003858CD">
            <w:pPr>
              <w:pStyle w:val="142"/>
              <w:jc w:val="center"/>
              <w:rPr>
                <w:rFonts w:ascii="標楷體" w:eastAsia="標楷體" w:hAnsi="標楷體"/>
              </w:rPr>
            </w:pPr>
            <w:r>
              <w:rPr>
                <w:rFonts w:ascii="標楷體" w:eastAsia="標楷體" w:hAnsi="標楷體" w:hint="eastAsia"/>
              </w:rPr>
              <w:t>市縣別</w:t>
            </w:r>
          </w:p>
        </w:tc>
        <w:tc>
          <w:tcPr>
            <w:tcW w:w="1275" w:type="dxa"/>
            <w:vMerge w:val="restart"/>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111至113年平均每日在案量(A)</w:t>
            </w:r>
          </w:p>
        </w:tc>
        <w:tc>
          <w:tcPr>
            <w:tcW w:w="2552" w:type="dxa"/>
            <w:gridSpan w:val="2"/>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衛福部113年度核定個管人員員額</w:t>
            </w:r>
          </w:p>
        </w:tc>
        <w:tc>
          <w:tcPr>
            <w:tcW w:w="3685" w:type="dxa"/>
            <w:gridSpan w:val="3"/>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113年底實際進用個管人員人數</w:t>
            </w:r>
          </w:p>
        </w:tc>
      </w:tr>
      <w:tr w:rsidR="00D37FC3" w:rsidRPr="00D37FC3" w:rsidTr="003858CD">
        <w:trPr>
          <w:trHeight w:val="255"/>
          <w:tblHeader/>
        </w:trPr>
        <w:tc>
          <w:tcPr>
            <w:tcW w:w="993" w:type="dxa"/>
            <w:vMerge/>
            <w:tcBorders>
              <w:bottom w:val="single" w:sz="4" w:space="0" w:color="auto"/>
            </w:tcBorders>
            <w:vAlign w:val="center"/>
          </w:tcPr>
          <w:p w:rsidR="00D37FC3" w:rsidRPr="00D37FC3" w:rsidRDefault="00D37FC3" w:rsidP="003858CD">
            <w:pPr>
              <w:pStyle w:val="142"/>
              <w:jc w:val="center"/>
              <w:rPr>
                <w:rFonts w:ascii="標楷體" w:eastAsia="標楷體" w:hAnsi="標楷體"/>
              </w:rPr>
            </w:pPr>
          </w:p>
        </w:tc>
        <w:tc>
          <w:tcPr>
            <w:tcW w:w="1275" w:type="dxa"/>
            <w:vMerge/>
            <w:tcBorders>
              <w:bottom w:val="single" w:sz="4" w:space="0" w:color="auto"/>
            </w:tcBorders>
            <w:vAlign w:val="center"/>
          </w:tcPr>
          <w:p w:rsidR="00D37FC3" w:rsidRPr="00D37FC3" w:rsidRDefault="00D37FC3" w:rsidP="002D33D1">
            <w:pPr>
              <w:pStyle w:val="142"/>
              <w:jc w:val="center"/>
              <w:rPr>
                <w:rFonts w:ascii="標楷體" w:eastAsia="標楷體" w:hAnsi="標楷體"/>
              </w:rPr>
            </w:pPr>
          </w:p>
        </w:tc>
        <w:tc>
          <w:tcPr>
            <w:tcW w:w="1134" w:type="dxa"/>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人數(B)</w:t>
            </w:r>
          </w:p>
        </w:tc>
        <w:tc>
          <w:tcPr>
            <w:tcW w:w="1418" w:type="dxa"/>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案量比(A/B)</w:t>
            </w:r>
          </w:p>
        </w:tc>
        <w:tc>
          <w:tcPr>
            <w:tcW w:w="1134" w:type="dxa"/>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人數(C)</w:t>
            </w:r>
          </w:p>
        </w:tc>
        <w:tc>
          <w:tcPr>
            <w:tcW w:w="1417" w:type="dxa"/>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rPr>
              <w:t>與核定人數差額(</w:t>
            </w:r>
            <w:r w:rsidRPr="00D37FC3">
              <w:rPr>
                <w:rFonts w:ascii="標楷體" w:eastAsia="標楷體" w:hAnsi="標楷體" w:hint="eastAsia"/>
              </w:rPr>
              <w:t>C-B)</w:t>
            </w:r>
          </w:p>
        </w:tc>
        <w:tc>
          <w:tcPr>
            <w:tcW w:w="1134" w:type="dxa"/>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案量比(A/C)</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臺北市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1,686</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64</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55</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-9</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31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新北市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3,499</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149</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23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143</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24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桃園市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2,956</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85</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35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79</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37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臺中市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2,253</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67</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34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37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臺南市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2,083</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64</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33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58</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36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高雄市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2,576</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85</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30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85</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30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基隆市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597</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22</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27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28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宜蘭縣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437</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18</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24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17</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新竹縣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628</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19</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33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19</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33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新竹市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289</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10</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29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10</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29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苗栗縣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599</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19</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32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18</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33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彰化縣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701</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14</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50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14</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50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南投縣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395</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15</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15</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雲林縣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707</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26</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27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23</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-3</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31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嘉義縣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739</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31</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24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35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嘉義市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250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9</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28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9</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28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屏東縣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880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34</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34</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花蓮縣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458</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11</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42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42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臺東縣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325</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9</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36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9</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36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澎湖縣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67</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67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67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金門縣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48</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24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24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連江縣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3</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 </w:t>
            </w:r>
          </w:p>
        </w:tc>
      </w:tr>
      <w:tr w:rsidR="00D37FC3" w:rsidRPr="00D37FC3" w:rsidTr="00D37FC3">
        <w:tc>
          <w:tcPr>
            <w:tcW w:w="993" w:type="dxa"/>
            <w:tcBorders>
              <w:top w:val="single" w:sz="4" w:space="0" w:color="auto"/>
              <w:bottom w:val="single" w:sz="12"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總計</w:t>
            </w:r>
          </w:p>
        </w:tc>
        <w:tc>
          <w:tcPr>
            <w:tcW w:w="1275"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22,174</w:t>
            </w:r>
          </w:p>
        </w:tc>
        <w:tc>
          <w:tcPr>
            <w:tcW w:w="1134"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755</w:t>
            </w:r>
          </w:p>
        </w:tc>
        <w:tc>
          <w:tcPr>
            <w:tcW w:w="1418"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29.4 </w:t>
            </w:r>
          </w:p>
        </w:tc>
        <w:tc>
          <w:tcPr>
            <w:tcW w:w="1134"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706</w:t>
            </w:r>
          </w:p>
        </w:tc>
        <w:tc>
          <w:tcPr>
            <w:tcW w:w="1417"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-49</w:t>
            </w:r>
          </w:p>
        </w:tc>
        <w:tc>
          <w:tcPr>
            <w:tcW w:w="1134"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31.4 </w:t>
            </w:r>
          </w:p>
        </w:tc>
      </w:tr>
    </w:tbl>
    <w:p w:rsidR="00C17CCB" w:rsidRPr="00707E21" w:rsidRDefault="00C17CCB" w:rsidP="00C17CCB">
      <w:pPr>
        <w:widowControl/>
        <w:spacing w:line="320" w:lineRule="exact"/>
        <w:ind w:leftChars="0" w:left="0" w:firstLineChars="0" w:firstLine="0"/>
        <w:rPr>
          <w:rFonts w:ascii="標楷體" w:eastAsia="標楷體" w:hAnsi="標楷體"/>
          <w:snapToGrid/>
          <w:color w:val="000000"/>
          <w:spacing w:val="-5"/>
          <w:kern w:val="0"/>
          <w:sz w:val="24"/>
          <w:szCs w:val="24"/>
        </w:rPr>
      </w:pPr>
      <w:r w:rsidRPr="00707E21">
        <w:rPr>
          <w:rFonts w:ascii="標楷體" w:eastAsia="標楷體" w:hAnsi="標楷體" w:hint="eastAsia"/>
          <w:snapToGrid/>
          <w:color w:val="000000"/>
          <w:spacing w:val="-5"/>
          <w:kern w:val="0"/>
          <w:sz w:val="24"/>
          <w:szCs w:val="24"/>
        </w:rPr>
        <w:t>說    明：個管人力包含個案管理師及督導。</w:t>
      </w:r>
    </w:p>
    <w:p w:rsidR="001F5146" w:rsidRPr="001F5146" w:rsidRDefault="00C17CCB" w:rsidP="00C17CCB">
      <w:pPr>
        <w:spacing w:line="320" w:lineRule="exact"/>
        <w:ind w:leftChars="0" w:left="1632" w:rightChars="50" w:right="142" w:hangingChars="700" w:hanging="1632"/>
        <w:rPr>
          <w:rFonts w:ascii="標楷體" w:eastAsia="標楷體" w:hAnsi="標楷體" w:hint="eastAsia"/>
          <w:sz w:val="24"/>
        </w:rPr>
      </w:pPr>
      <w:r w:rsidRPr="00707E21">
        <w:rPr>
          <w:rFonts w:ascii="標楷體" w:eastAsia="標楷體" w:hAnsi="標楷體" w:hint="eastAsia"/>
          <w:color w:val="000000"/>
          <w:spacing w:val="-5"/>
          <w:sz w:val="24"/>
        </w:rPr>
        <w:t>資料來源</w:t>
      </w:r>
      <w:r w:rsidRPr="00707E21">
        <w:rPr>
          <w:rFonts w:ascii="標楷體" w:eastAsia="標楷體" w:hAnsi="標楷體" w:cs="標楷體" w:hint="eastAsia"/>
          <w:spacing w:val="-5"/>
          <w:sz w:val="24"/>
        </w:rPr>
        <w:t>：衛福部提供。</w:t>
      </w:r>
    </w:p>
    <w:p w:rsidR="008650EF" w:rsidRDefault="00C17CCB" w:rsidP="00042CE4">
      <w:pPr>
        <w:ind w:left="566" w:firstLine="566"/>
        <w:rPr>
          <w:rFonts w:ascii="標楷體" w:eastAsia="標楷體" w:hAnsi="標楷體"/>
          <w:snapToGrid/>
          <w:kern w:val="28"/>
          <w:szCs w:val="24"/>
        </w:rPr>
      </w:pPr>
      <w:r w:rsidRPr="00C17CCB">
        <w:rPr>
          <w:rFonts w:ascii="標楷體" w:eastAsia="標楷體" w:hAnsi="標楷體" w:hint="eastAsia"/>
          <w:snapToGrid/>
          <w:kern w:val="28"/>
          <w:szCs w:val="24"/>
        </w:rPr>
        <w:t>復檢視</w:t>
      </w:r>
      <w:r>
        <w:rPr>
          <w:rFonts w:ascii="標楷體" w:eastAsia="標楷體" w:hAnsi="標楷體" w:hint="eastAsia"/>
          <w:snapToGrid/>
          <w:kern w:val="28"/>
          <w:szCs w:val="24"/>
        </w:rPr>
        <w:t>113年</w:t>
      </w:r>
      <w:r w:rsidRPr="00C17CCB">
        <w:rPr>
          <w:rFonts w:ascii="標楷體" w:eastAsia="標楷體" w:hAnsi="標楷體" w:hint="eastAsia"/>
          <w:snapToGrid/>
          <w:kern w:val="28"/>
          <w:szCs w:val="24"/>
        </w:rPr>
        <w:t>各市縣毒防中心個管人</w:t>
      </w:r>
      <w:r w:rsidR="0056757B">
        <w:rPr>
          <w:rFonts w:ascii="標楷體" w:eastAsia="標楷體" w:hAnsi="標楷體" w:hint="eastAsia"/>
          <w:snapToGrid/>
          <w:kern w:val="28"/>
          <w:szCs w:val="24"/>
        </w:rPr>
        <w:t>員</w:t>
      </w:r>
      <w:r>
        <w:rPr>
          <w:rFonts w:ascii="標楷體" w:eastAsia="標楷體" w:hAnsi="標楷體" w:hint="eastAsia"/>
          <w:snapToGrid/>
          <w:kern w:val="28"/>
          <w:szCs w:val="24"/>
        </w:rPr>
        <w:t>年資滿12個月及18個月之留任率，分別有嘉義</w:t>
      </w:r>
      <w:r w:rsidR="008A4BF3">
        <w:rPr>
          <w:rFonts w:ascii="標楷體" w:eastAsia="標楷體" w:hAnsi="標楷體" w:hint="eastAsia"/>
          <w:snapToGrid/>
          <w:kern w:val="28"/>
          <w:szCs w:val="24"/>
        </w:rPr>
        <w:t>市</w:t>
      </w:r>
      <w:r>
        <w:rPr>
          <w:rFonts w:ascii="標楷體" w:eastAsia="標楷體" w:hAnsi="標楷體" w:hint="eastAsia"/>
          <w:snapToGrid/>
          <w:kern w:val="28"/>
          <w:szCs w:val="24"/>
        </w:rPr>
        <w:t>等12個及金門縣等10個市縣</w:t>
      </w:r>
      <w:r w:rsidR="00DB11E2">
        <w:rPr>
          <w:rFonts w:ascii="標楷體" w:eastAsia="標楷體" w:hAnsi="標楷體" w:hint="eastAsia"/>
          <w:snapToGrid/>
          <w:kern w:val="28"/>
          <w:szCs w:val="24"/>
        </w:rPr>
        <w:t>未</w:t>
      </w:r>
      <w:r>
        <w:rPr>
          <w:rFonts w:ascii="標楷體" w:eastAsia="標楷體" w:hAnsi="標楷體" w:hint="eastAsia"/>
          <w:snapToGrid/>
          <w:kern w:val="28"/>
          <w:szCs w:val="24"/>
        </w:rPr>
        <w:t>達</w:t>
      </w:r>
      <w:r>
        <w:rPr>
          <w:rFonts w:ascii="標楷體" w:eastAsia="標楷體" w:hAnsi="標楷體" w:hint="eastAsia"/>
          <w:snapToGrid/>
          <w:kern w:val="28"/>
          <w:szCs w:val="24"/>
        </w:rPr>
        <w:lastRenderedPageBreak/>
        <w:t>80%及70%之目標值(詳表2)</w:t>
      </w:r>
      <w:r w:rsidRPr="00C17CCB">
        <w:rPr>
          <w:rFonts w:ascii="標楷體" w:eastAsia="標楷體" w:hAnsi="標楷體" w:hint="eastAsia"/>
          <w:snapToGrid/>
          <w:kern w:val="28"/>
          <w:szCs w:val="24"/>
        </w:rPr>
        <w:t>。</w:t>
      </w:r>
      <w:r w:rsidR="002D33D1">
        <w:rPr>
          <w:rFonts w:ascii="標楷體" w:eastAsia="標楷體" w:hAnsi="標楷體" w:hint="eastAsia"/>
          <w:snapToGrid/>
          <w:kern w:val="28"/>
          <w:szCs w:val="24"/>
        </w:rPr>
        <w:t>鑒於</w:t>
      </w:r>
      <w:r w:rsidRPr="00C17CCB">
        <w:rPr>
          <w:rFonts w:ascii="標楷體" w:eastAsia="標楷體" w:hAnsi="標楷體" w:hint="eastAsia"/>
          <w:snapToGrid/>
          <w:kern w:val="28"/>
          <w:szCs w:val="24"/>
        </w:rPr>
        <w:t>個管人員更換頻繁，恐難與個案建立信任關係而影響服務效能，允宜檢討改善</w:t>
      </w:r>
      <w:r w:rsidR="008650EF">
        <w:rPr>
          <w:rFonts w:ascii="標楷體" w:eastAsia="標楷體" w:hAnsi="標楷體" w:hint="eastAsia"/>
          <w:snapToGrid/>
          <w:kern w:val="28"/>
          <w:szCs w:val="24"/>
        </w:rPr>
        <w:t>。</w:t>
      </w:r>
    </w:p>
    <w:p w:rsidR="009C3DEB" w:rsidRDefault="00811247" w:rsidP="008804EB">
      <w:pPr>
        <w:widowControl/>
        <w:spacing w:beforeLines="20" w:before="102" w:line="440" w:lineRule="exact"/>
        <w:ind w:leftChars="0" w:left="1142" w:hangingChars="403" w:hanging="1142"/>
        <w:jc w:val="left"/>
        <w:rPr>
          <w:rFonts w:ascii="標楷體" w:eastAsia="標楷體" w:hAnsi="標楷體"/>
          <w:color w:val="000000"/>
          <w:sz w:val="24"/>
          <w:szCs w:val="24"/>
        </w:rPr>
      </w:pPr>
      <w:r>
        <w:rPr>
          <w:rFonts w:ascii="標楷體" w:eastAsia="標楷體" w:hAnsi="標楷體" w:hint="eastAsia"/>
          <w:b/>
          <w:color w:val="000000"/>
        </w:rPr>
        <w:t xml:space="preserve"> </w:t>
      </w:r>
      <w:r w:rsidR="009C3DEB" w:rsidRPr="00850D66">
        <w:rPr>
          <w:rFonts w:ascii="標楷體" w:eastAsia="標楷體" w:hAnsi="標楷體" w:hint="eastAsia"/>
          <w:b/>
          <w:color w:val="000000"/>
        </w:rPr>
        <w:t>表</w:t>
      </w:r>
      <w:r w:rsidR="009C3DEB">
        <w:rPr>
          <w:rFonts w:ascii="標楷體" w:eastAsia="標楷體" w:hAnsi="標楷體" w:hint="eastAsia"/>
          <w:b/>
          <w:color w:val="000000"/>
        </w:rPr>
        <w:t>2</w:t>
      </w:r>
      <w:r w:rsidR="009C3DEB" w:rsidRPr="00850D66">
        <w:rPr>
          <w:rFonts w:ascii="標楷體" w:eastAsia="標楷體" w:hAnsi="標楷體" w:hint="eastAsia"/>
          <w:b/>
          <w:color w:val="000000"/>
        </w:rPr>
        <w:t xml:space="preserve">  </w:t>
      </w:r>
      <w:r w:rsidR="009C3DEB">
        <w:rPr>
          <w:rFonts w:ascii="標楷體" w:eastAsia="標楷體" w:hAnsi="標楷體" w:hint="eastAsia"/>
          <w:b/>
          <w:color w:val="000000"/>
        </w:rPr>
        <w:t>113年度</w:t>
      </w:r>
      <w:r w:rsidR="009C3DEB" w:rsidRPr="00850D66">
        <w:rPr>
          <w:rFonts w:ascii="標楷體" w:eastAsia="標楷體" w:hAnsi="標楷體" w:hint="eastAsia"/>
          <w:b/>
          <w:color w:val="000000"/>
        </w:rPr>
        <w:t>各市縣毒防中心</w:t>
      </w:r>
      <w:r w:rsidR="009C3DEB">
        <w:rPr>
          <w:rFonts w:ascii="標楷體" w:eastAsia="標楷體" w:hAnsi="標楷體" w:hint="eastAsia"/>
          <w:b/>
          <w:color w:val="000000"/>
        </w:rPr>
        <w:t>個案管理人員留任率</w:t>
      </w:r>
      <w:r w:rsidR="009C3DEB" w:rsidRPr="00850D66">
        <w:rPr>
          <w:rFonts w:ascii="標楷體" w:eastAsia="標楷體" w:hAnsi="標楷體" w:hint="eastAsia"/>
          <w:b/>
          <w:color w:val="000000"/>
        </w:rPr>
        <w:t xml:space="preserve">   </w:t>
      </w:r>
      <w:r>
        <w:rPr>
          <w:rFonts w:ascii="標楷體" w:eastAsia="標楷體" w:hAnsi="標楷體" w:hint="eastAsia"/>
          <w:b/>
          <w:color w:val="000000"/>
        </w:rPr>
        <w:t xml:space="preserve">    </w:t>
      </w:r>
      <w:r w:rsidR="009C3DEB" w:rsidRPr="00850D66">
        <w:rPr>
          <w:rFonts w:ascii="標楷體" w:eastAsia="標楷體" w:hAnsi="標楷體" w:hint="eastAsia"/>
          <w:color w:val="000000"/>
          <w:sz w:val="24"/>
          <w:szCs w:val="24"/>
        </w:rPr>
        <w:t>單位：</w:t>
      </w:r>
      <w:r w:rsidR="009C3DEB">
        <w:rPr>
          <w:rFonts w:ascii="標楷體" w:eastAsia="標楷體" w:hAnsi="標楷體" w:hint="eastAsia"/>
          <w:color w:val="000000"/>
          <w:sz w:val="24"/>
          <w:szCs w:val="24"/>
        </w:rPr>
        <w:t>%</w:t>
      </w:r>
    </w:p>
    <w:tbl>
      <w:tblPr>
        <w:tblW w:w="840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005"/>
        <w:gridCol w:w="2552"/>
        <w:gridCol w:w="2850"/>
      </w:tblGrid>
      <w:tr w:rsidR="009C3DEB" w:rsidRPr="009C3DEB" w:rsidTr="000438E3">
        <w:trPr>
          <w:trHeight w:val="375"/>
          <w:tblHeader/>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hint="eastAsia"/>
              </w:rPr>
              <w:t>市縣別</w:t>
            </w:r>
          </w:p>
        </w:tc>
        <w:tc>
          <w:tcPr>
            <w:tcW w:w="2552" w:type="dxa"/>
            <w:vAlign w:val="center"/>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12個月留任率</w:t>
            </w:r>
          </w:p>
        </w:tc>
        <w:tc>
          <w:tcPr>
            <w:tcW w:w="2850" w:type="dxa"/>
            <w:vAlign w:val="center"/>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18個月留任率</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臺北市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73</w:t>
            </w:r>
          </w:p>
        </w:tc>
        <w:tc>
          <w:tcPr>
            <w:tcW w:w="2850" w:type="dxa"/>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65</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新北市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79</w:t>
            </w:r>
          </w:p>
        </w:tc>
        <w:tc>
          <w:tcPr>
            <w:tcW w:w="2850" w:type="dxa"/>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71</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桃園市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78</w:t>
            </w:r>
          </w:p>
        </w:tc>
        <w:tc>
          <w:tcPr>
            <w:tcW w:w="2850" w:type="dxa"/>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70</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臺中市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75</w:t>
            </w:r>
          </w:p>
        </w:tc>
        <w:tc>
          <w:tcPr>
            <w:tcW w:w="2850" w:type="dxa"/>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64</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臺南市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77</w:t>
            </w:r>
          </w:p>
        </w:tc>
        <w:tc>
          <w:tcPr>
            <w:tcW w:w="2850" w:type="dxa"/>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63</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高雄市</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82</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76</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新竹縣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72</w:t>
            </w:r>
          </w:p>
        </w:tc>
        <w:tc>
          <w:tcPr>
            <w:tcW w:w="2850" w:type="dxa"/>
            <w:noWrap/>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56</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新竹市</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100</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90</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嘉義市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44</w:t>
            </w:r>
          </w:p>
        </w:tc>
        <w:tc>
          <w:tcPr>
            <w:tcW w:w="2850" w:type="dxa"/>
            <w:noWrap/>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22</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金門縣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50</w:t>
            </w:r>
          </w:p>
        </w:tc>
        <w:tc>
          <w:tcPr>
            <w:tcW w:w="2850" w:type="dxa"/>
            <w:noWrap/>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0</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宜蘭縣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76</w:t>
            </w:r>
          </w:p>
        </w:tc>
        <w:tc>
          <w:tcPr>
            <w:tcW w:w="2850" w:type="dxa"/>
            <w:noWrap/>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65</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彰化縣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64</w:t>
            </w:r>
          </w:p>
        </w:tc>
        <w:tc>
          <w:tcPr>
            <w:tcW w:w="2850"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57</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南投縣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87</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80</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雲林縣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83</w:t>
            </w:r>
          </w:p>
        </w:tc>
        <w:tc>
          <w:tcPr>
            <w:tcW w:w="2850" w:type="dxa"/>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83</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基隆市</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90</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71</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苗栗縣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89</w:t>
            </w:r>
          </w:p>
        </w:tc>
        <w:tc>
          <w:tcPr>
            <w:tcW w:w="2850"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56</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嘉義縣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90</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81</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屏東縣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76</w:t>
            </w:r>
          </w:p>
        </w:tc>
        <w:tc>
          <w:tcPr>
            <w:tcW w:w="2850"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68</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臺東縣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78</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78</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花蓮縣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82</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73</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澎湖縣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100</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100</w:t>
            </w:r>
          </w:p>
        </w:tc>
      </w:tr>
      <w:tr w:rsidR="009C3DEB" w:rsidRPr="009C3DEB" w:rsidTr="000438E3">
        <w:trPr>
          <w:trHeight w:val="286"/>
          <w:jc w:val="center"/>
        </w:trPr>
        <w:tc>
          <w:tcPr>
            <w:tcW w:w="3005" w:type="dxa"/>
            <w:tcBorders>
              <w:bottom w:val="double" w:sz="4" w:space="0" w:color="auto"/>
            </w:tcBorders>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連江縣</w:t>
            </w:r>
          </w:p>
        </w:tc>
        <w:tc>
          <w:tcPr>
            <w:tcW w:w="2552" w:type="dxa"/>
            <w:tcBorders>
              <w:bottom w:val="double" w:sz="4" w:space="0" w:color="auto"/>
            </w:tcBorders>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100</w:t>
            </w:r>
          </w:p>
        </w:tc>
        <w:tc>
          <w:tcPr>
            <w:tcW w:w="2850" w:type="dxa"/>
            <w:tcBorders>
              <w:bottom w:val="double" w:sz="4" w:space="0" w:color="auto"/>
            </w:tcBorders>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100</w:t>
            </w:r>
          </w:p>
        </w:tc>
      </w:tr>
      <w:tr w:rsidR="009C3DEB" w:rsidRPr="009C3DEB" w:rsidTr="000438E3">
        <w:trPr>
          <w:trHeight w:val="286"/>
          <w:jc w:val="center"/>
        </w:trPr>
        <w:tc>
          <w:tcPr>
            <w:tcW w:w="3005" w:type="dxa"/>
            <w:tcBorders>
              <w:top w:val="double" w:sz="4" w:space="0" w:color="auto"/>
              <w:bottom w:val="single" w:sz="12" w:space="0" w:color="auto"/>
              <w:right w:val="single" w:sz="4" w:space="0" w:color="auto"/>
            </w:tcBorders>
            <w:noWrap/>
            <w:vAlign w:val="center"/>
          </w:tcPr>
          <w:p w:rsidR="009C3DEB" w:rsidRPr="009C3DEB" w:rsidRDefault="009C3DEB" w:rsidP="009C3DEB">
            <w:pPr>
              <w:pStyle w:val="142"/>
              <w:jc w:val="center"/>
              <w:rPr>
                <w:rFonts w:ascii="標楷體" w:eastAsia="標楷體" w:hAnsi="標楷體"/>
              </w:rPr>
            </w:pPr>
            <w:r w:rsidRPr="009C3DEB">
              <w:rPr>
                <w:rFonts w:ascii="標楷體" w:eastAsia="標楷體" w:hAnsi="標楷體" w:hint="eastAsia"/>
              </w:rPr>
              <w:t>目標值</w:t>
            </w:r>
          </w:p>
        </w:tc>
        <w:tc>
          <w:tcPr>
            <w:tcW w:w="2552" w:type="dxa"/>
            <w:tcBorders>
              <w:top w:val="double" w:sz="4" w:space="0" w:color="auto"/>
              <w:left w:val="single" w:sz="4" w:space="0" w:color="auto"/>
              <w:bottom w:val="single" w:sz="12" w:space="0" w:color="auto"/>
            </w:tcBorders>
            <w:noWrap/>
          </w:tcPr>
          <w:p w:rsidR="009C3DEB" w:rsidRPr="009C3DEB" w:rsidRDefault="009C3DEB" w:rsidP="009C3DEB">
            <w:pPr>
              <w:pStyle w:val="142"/>
              <w:jc w:val="right"/>
              <w:rPr>
                <w:rFonts w:ascii="標楷體" w:eastAsia="標楷體" w:hAnsi="標楷體"/>
              </w:rPr>
            </w:pPr>
            <w:r w:rsidRPr="009C3DEB">
              <w:rPr>
                <w:rFonts w:ascii="標楷體" w:eastAsia="標楷體" w:hAnsi="標楷體" w:hint="eastAsia"/>
              </w:rPr>
              <w:t>80</w:t>
            </w:r>
          </w:p>
        </w:tc>
        <w:tc>
          <w:tcPr>
            <w:tcW w:w="2850" w:type="dxa"/>
            <w:tcBorders>
              <w:top w:val="double" w:sz="4" w:space="0" w:color="auto"/>
              <w:bottom w:val="single" w:sz="12" w:space="0" w:color="auto"/>
            </w:tcBorders>
            <w:noWrap/>
          </w:tcPr>
          <w:p w:rsidR="009C3DEB" w:rsidRPr="009C3DEB" w:rsidRDefault="009C3DEB" w:rsidP="009C3DEB">
            <w:pPr>
              <w:pStyle w:val="142"/>
              <w:jc w:val="right"/>
              <w:rPr>
                <w:rFonts w:ascii="標楷體" w:eastAsia="標楷體" w:hAnsi="標楷體"/>
              </w:rPr>
            </w:pPr>
            <w:r w:rsidRPr="009C3DEB">
              <w:rPr>
                <w:rFonts w:ascii="標楷體" w:eastAsia="標楷體" w:hAnsi="標楷體" w:hint="eastAsia"/>
              </w:rPr>
              <w:t>70</w:t>
            </w:r>
          </w:p>
        </w:tc>
      </w:tr>
    </w:tbl>
    <w:p w:rsidR="009C3DEB" w:rsidRPr="009C3DEB" w:rsidRDefault="009C3DEB" w:rsidP="009C3DEB">
      <w:pPr>
        <w:spacing w:line="320" w:lineRule="exact"/>
        <w:ind w:leftChars="0" w:left="1632" w:rightChars="50" w:right="142" w:hangingChars="700" w:hanging="1632"/>
        <w:rPr>
          <w:rFonts w:ascii="標楷體" w:eastAsia="標楷體" w:hAnsi="標楷體" w:hint="eastAsia"/>
          <w:snapToGrid/>
          <w:kern w:val="28"/>
          <w:szCs w:val="24"/>
        </w:rPr>
      </w:pPr>
      <w:r>
        <w:rPr>
          <w:rFonts w:ascii="標楷體" w:eastAsia="標楷體" w:hAnsi="標楷體" w:hint="eastAsia"/>
          <w:color w:val="000000"/>
          <w:spacing w:val="-5"/>
          <w:sz w:val="24"/>
        </w:rPr>
        <w:t xml:space="preserve">    </w:t>
      </w:r>
      <w:r w:rsidRPr="00707E21">
        <w:rPr>
          <w:rFonts w:ascii="標楷體" w:eastAsia="標楷體" w:hAnsi="標楷體" w:hint="eastAsia"/>
          <w:color w:val="000000"/>
          <w:spacing w:val="-5"/>
          <w:sz w:val="24"/>
        </w:rPr>
        <w:t>資料來源</w:t>
      </w:r>
      <w:r w:rsidRPr="00707E21">
        <w:rPr>
          <w:rFonts w:ascii="標楷體" w:eastAsia="標楷體" w:hAnsi="標楷體" w:cs="標楷體" w:hint="eastAsia"/>
          <w:spacing w:val="-5"/>
          <w:sz w:val="24"/>
        </w:rPr>
        <w:t>：衛福部提供。</w:t>
      </w:r>
    </w:p>
    <w:p w:rsidR="00042CE4" w:rsidRPr="009C3D6E" w:rsidRDefault="00E9130B" w:rsidP="009C3DEB">
      <w:pPr>
        <w:ind w:left="566" w:firstLine="566"/>
        <w:rPr>
          <w:rFonts w:ascii="標楷體" w:eastAsia="標楷體" w:hAnsi="標楷體"/>
        </w:rPr>
      </w:pPr>
      <w:r w:rsidRPr="00E9130B">
        <w:rPr>
          <w:rFonts w:ascii="標楷體" w:eastAsia="標楷體" w:hAnsi="標楷體" w:hint="eastAsia"/>
          <w:snapToGrid/>
          <w:kern w:val="28"/>
          <w:szCs w:val="24"/>
        </w:rPr>
        <w:t>綜上，11</w:t>
      </w:r>
      <w:r>
        <w:rPr>
          <w:rFonts w:ascii="標楷體" w:eastAsia="標楷體" w:hAnsi="標楷體" w:hint="eastAsia"/>
          <w:snapToGrid/>
          <w:kern w:val="28"/>
          <w:szCs w:val="24"/>
        </w:rPr>
        <w:t>3</w:t>
      </w:r>
      <w:r w:rsidRPr="00E9130B">
        <w:rPr>
          <w:rFonts w:ascii="標楷體" w:eastAsia="標楷體" w:hAnsi="標楷體" w:hint="eastAsia"/>
          <w:snapToGrid/>
          <w:kern w:val="28"/>
          <w:szCs w:val="24"/>
        </w:rPr>
        <w:t>年度部分市縣毒防中心個案管理人員進用人數或留任時間</w:t>
      </w:r>
      <w:r>
        <w:rPr>
          <w:rFonts w:ascii="標楷體" w:eastAsia="標楷體" w:hAnsi="標楷體" w:hint="eastAsia"/>
          <w:snapToGrid/>
          <w:kern w:val="28"/>
          <w:szCs w:val="24"/>
        </w:rPr>
        <w:t>低於目標</w:t>
      </w:r>
      <w:r w:rsidRPr="00E9130B">
        <w:rPr>
          <w:rFonts w:ascii="標楷體" w:eastAsia="標楷體" w:hAnsi="標楷體" w:hint="eastAsia"/>
          <w:snapToGrid/>
          <w:kern w:val="28"/>
          <w:szCs w:val="24"/>
        </w:rPr>
        <w:t>，恐不利藥癮個案管理服務，允宜檢討改善，俾提升計畫實施成效</w:t>
      </w:r>
      <w:r w:rsidR="006C0A5D">
        <w:rPr>
          <w:rFonts w:ascii="標楷體" w:eastAsia="標楷體" w:hAnsi="標楷體" w:hint="eastAsia"/>
          <w:snapToGrid/>
          <w:kern w:val="28"/>
          <w:szCs w:val="24"/>
        </w:rPr>
        <w:t>。</w:t>
      </w:r>
    </w:p>
    <w:bookmarkEnd w:id="1"/>
    <w:bookmarkEnd w:id="2"/>
    <w:bookmarkEnd w:id="3"/>
    <w:bookmarkEnd w:id="4"/>
    <w:bookmarkEnd w:id="5"/>
    <w:bookmarkEnd w:id="6"/>
    <w:bookmarkEnd w:id="7"/>
    <w:bookmarkEnd w:id="8"/>
    <w:bookmarkEnd w:id="9"/>
    <w:sectPr w:rsidR="00042CE4"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EC78FB">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D54E51" w:rsidRPr="00A939D5" w:rsidRDefault="00D54E51" w:rsidP="00D54E51">
      <w:pPr>
        <w:pStyle w:val="142"/>
        <w:wordWrap w:val="0"/>
        <w:ind w:left="97" w:hangingChars="40" w:hanging="97"/>
        <w:jc w:val="both"/>
        <w:rPr>
          <w:rFonts w:ascii="標楷體" w:eastAsia="標楷體" w:hAnsi="標楷體"/>
        </w:rPr>
      </w:pPr>
      <w:r w:rsidRPr="00A939D5">
        <w:rPr>
          <w:rStyle w:val="af4"/>
          <w:rFonts w:ascii="標楷體" w:eastAsia="標楷體" w:hAnsi="標楷體"/>
        </w:rPr>
        <w:footnoteRef/>
      </w:r>
      <w:r w:rsidRPr="00D54E51">
        <w:rPr>
          <w:rFonts w:ascii="標楷體" w:eastAsia="標楷體" w:hAnsi="標楷體" w:hint="eastAsia"/>
        </w:rPr>
        <w:t>12個市縣</w:t>
      </w:r>
      <w:r>
        <w:rPr>
          <w:rFonts w:ascii="標楷體" w:eastAsia="標楷體" w:hAnsi="標楷體" w:hint="eastAsia"/>
        </w:rPr>
        <w:t>包括</w:t>
      </w:r>
      <w:r w:rsidR="003858CD" w:rsidRPr="003858CD">
        <w:rPr>
          <w:rFonts w:ascii="標楷體" w:eastAsia="標楷體" w:hAnsi="標楷體" w:hint="eastAsia"/>
        </w:rPr>
        <w:t>臺北市</w:t>
      </w:r>
      <w:r w:rsidR="003858CD">
        <w:rPr>
          <w:rFonts w:ascii="標楷體" w:eastAsia="標楷體" w:hAnsi="標楷體" w:hint="eastAsia"/>
        </w:rPr>
        <w:t>、</w:t>
      </w:r>
      <w:r w:rsidR="003858CD" w:rsidRPr="003858CD">
        <w:rPr>
          <w:rFonts w:ascii="標楷體" w:eastAsia="標楷體" w:hAnsi="標楷體" w:hint="eastAsia"/>
        </w:rPr>
        <w:t>桃園市</w:t>
      </w:r>
      <w:r w:rsidR="003858CD">
        <w:rPr>
          <w:rFonts w:ascii="標楷體" w:eastAsia="標楷體" w:hAnsi="標楷體" w:hint="eastAsia"/>
        </w:rPr>
        <w:t>、</w:t>
      </w:r>
      <w:r w:rsidR="003858CD" w:rsidRPr="003858CD">
        <w:rPr>
          <w:rFonts w:ascii="標楷體" w:eastAsia="標楷體" w:hAnsi="標楷體" w:hint="eastAsia"/>
        </w:rPr>
        <w:t>臺中市</w:t>
      </w:r>
      <w:r w:rsidR="003858CD">
        <w:rPr>
          <w:rFonts w:ascii="標楷體" w:eastAsia="標楷體" w:hAnsi="標楷體" w:hint="eastAsia"/>
        </w:rPr>
        <w:t>、</w:t>
      </w:r>
      <w:r w:rsidR="003858CD" w:rsidRPr="003858CD">
        <w:rPr>
          <w:rFonts w:ascii="標楷體" w:eastAsia="標楷體" w:hAnsi="標楷體" w:hint="eastAsia"/>
        </w:rPr>
        <w:t>臺南市</w:t>
      </w:r>
      <w:r w:rsidR="003858CD">
        <w:rPr>
          <w:rFonts w:ascii="標楷體" w:eastAsia="標楷體" w:hAnsi="標楷體" w:hint="eastAsia"/>
        </w:rPr>
        <w:t>、</w:t>
      </w:r>
      <w:r w:rsidR="003858CD" w:rsidRPr="003858CD">
        <w:rPr>
          <w:rFonts w:ascii="標楷體" w:eastAsia="標楷體" w:hAnsi="標楷體" w:hint="eastAsia"/>
        </w:rPr>
        <w:t>新竹縣</w:t>
      </w:r>
      <w:r w:rsidR="003858CD">
        <w:rPr>
          <w:rFonts w:ascii="標楷體" w:eastAsia="標楷體" w:hAnsi="標楷體" w:hint="eastAsia"/>
        </w:rPr>
        <w:t>、</w:t>
      </w:r>
      <w:r w:rsidR="003858CD" w:rsidRPr="003858CD">
        <w:rPr>
          <w:rFonts w:ascii="標楷體" w:eastAsia="標楷體" w:hAnsi="標楷體" w:hint="eastAsia"/>
        </w:rPr>
        <w:t>苗栗縣</w:t>
      </w:r>
      <w:r w:rsidR="003858CD">
        <w:rPr>
          <w:rFonts w:ascii="標楷體" w:eastAsia="標楷體" w:hAnsi="標楷體" w:hint="eastAsia"/>
        </w:rPr>
        <w:t>、</w:t>
      </w:r>
      <w:r w:rsidR="003858CD" w:rsidRPr="003858CD">
        <w:rPr>
          <w:rFonts w:ascii="標楷體" w:eastAsia="標楷體" w:hAnsi="標楷體" w:hint="eastAsia"/>
        </w:rPr>
        <w:t>彰化縣</w:t>
      </w:r>
      <w:r w:rsidR="003858CD">
        <w:rPr>
          <w:rFonts w:ascii="標楷體" w:eastAsia="標楷體" w:hAnsi="標楷體" w:hint="eastAsia"/>
        </w:rPr>
        <w:t>、</w:t>
      </w:r>
      <w:r w:rsidR="003858CD" w:rsidRPr="003858CD">
        <w:rPr>
          <w:rFonts w:ascii="標楷體" w:eastAsia="標楷體" w:hAnsi="標楷體" w:hint="eastAsia"/>
        </w:rPr>
        <w:t>雲林縣</w:t>
      </w:r>
      <w:r w:rsidR="003858CD">
        <w:rPr>
          <w:rFonts w:ascii="標楷體" w:eastAsia="標楷體" w:hAnsi="標楷體" w:hint="eastAsia"/>
        </w:rPr>
        <w:t>、</w:t>
      </w:r>
      <w:r w:rsidR="003858CD" w:rsidRPr="003858CD">
        <w:rPr>
          <w:rFonts w:ascii="標楷體" w:eastAsia="標楷體" w:hAnsi="標楷體" w:hint="eastAsia"/>
        </w:rPr>
        <w:t>嘉義縣</w:t>
      </w:r>
      <w:r w:rsidR="003858CD">
        <w:rPr>
          <w:rFonts w:ascii="標楷體" w:eastAsia="標楷體" w:hAnsi="標楷體" w:hint="eastAsia"/>
        </w:rPr>
        <w:t>、</w:t>
      </w:r>
      <w:r w:rsidR="003858CD" w:rsidRPr="003858CD">
        <w:rPr>
          <w:rFonts w:ascii="標楷體" w:eastAsia="標楷體" w:hAnsi="標楷體" w:hint="eastAsia"/>
        </w:rPr>
        <w:t>花蓮縣</w:t>
      </w:r>
      <w:r w:rsidR="003858CD">
        <w:rPr>
          <w:rFonts w:ascii="標楷體" w:eastAsia="標楷體" w:hAnsi="標楷體" w:hint="eastAsia"/>
        </w:rPr>
        <w:t>、</w:t>
      </w:r>
      <w:r w:rsidR="003858CD" w:rsidRPr="003858CD">
        <w:rPr>
          <w:rFonts w:ascii="標楷體" w:eastAsia="標楷體" w:hAnsi="標楷體" w:hint="eastAsia"/>
        </w:rPr>
        <w:t>臺東縣</w:t>
      </w:r>
      <w:r w:rsidR="003858CD">
        <w:rPr>
          <w:rFonts w:ascii="標楷體" w:eastAsia="標楷體" w:hAnsi="標楷體" w:hint="eastAsia"/>
        </w:rPr>
        <w:t>及</w:t>
      </w:r>
      <w:r w:rsidR="003858CD" w:rsidRPr="003858CD">
        <w:rPr>
          <w:rFonts w:ascii="標楷體" w:eastAsia="標楷體" w:hAnsi="標楷體" w:hint="eastAsia"/>
        </w:rPr>
        <w:t>澎湖縣</w:t>
      </w:r>
      <w:r w:rsidRPr="00A939D5">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B"/>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5CD5210-953C-4B0C-A1E5-2403721C2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0A890-C405-4808-BF02-8E307B432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357</Words>
  <Characters>2037</Characters>
  <Application>Microsoft Office Word</Application>
  <DocSecurity>0</DocSecurity>
  <Lines>16</Lines>
  <Paragraphs>4</Paragraphs>
  <ScaleCrop>false</ScaleCrop>
  <Company/>
  <LinksUpToDate>false</LinksUpToDate>
  <CharactersWithSpaces>2390</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