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B9083B" w:rsidRPr="003610E1" w:rsidRDefault="00767C95" w:rsidP="00B9083B">
      <w:pPr>
        <w:pStyle w:val="14"/>
        <w:ind w:left="567" w:hanging="567"/>
        <w:rPr>
          <w:color w:val="000000"/>
        </w:rPr>
      </w:pPr>
      <w:bookmarkStart w:id="1" w:name="_Toc174949816"/>
      <w:bookmarkStart w:id="2" w:name="_Toc213851934"/>
      <w:r>
        <w:rPr>
          <w:rFonts w:hint="eastAsia"/>
          <w:color w:val="000000"/>
        </w:rPr>
        <w:t>一</w:t>
      </w:r>
      <w:r w:rsidR="00ED3774">
        <w:rPr>
          <w:rFonts w:hint="eastAsia"/>
          <w:color w:val="000000"/>
        </w:rPr>
        <w:t>四</w:t>
      </w:r>
      <w:r w:rsidR="00B9083B" w:rsidRPr="003610E1">
        <w:rPr>
          <w:rFonts w:hint="eastAsia"/>
          <w:color w:val="000000"/>
        </w:rPr>
        <w:t>、</w:t>
      </w:r>
      <w:r w:rsidR="00ED3774" w:rsidRPr="00ED3774">
        <w:rPr>
          <w:rFonts w:hint="eastAsia"/>
          <w:color w:val="000000"/>
        </w:rPr>
        <w:t>辦理「建構高效智慧化農糧產品安全管理體系計畫」</w:t>
      </w:r>
      <w:r w:rsidR="00ED3774">
        <w:rPr>
          <w:rFonts w:hAnsi="標楷體" w:hint="eastAsia"/>
          <w:color w:val="000000"/>
        </w:rPr>
        <w:t>，惟</w:t>
      </w:r>
      <w:r w:rsidR="00ED3774" w:rsidRPr="00ED3774">
        <w:rPr>
          <w:rFonts w:hAnsi="標楷體" w:hint="eastAsia"/>
          <w:color w:val="000000"/>
        </w:rPr>
        <w:t>近年</w:t>
      </w:r>
      <w:bookmarkEnd w:id="1"/>
      <w:r w:rsidR="00D33055" w:rsidRPr="00D33055">
        <w:rPr>
          <w:rFonts w:hAnsi="標楷體" w:hint="eastAsia"/>
          <w:color w:val="000000"/>
        </w:rPr>
        <w:t>蔬果殘留農藥含量超過安全容許標準之農藥違規案件逐年攀升</w:t>
      </w:r>
      <w:r w:rsidR="002D48EC" w:rsidRPr="002D48EC">
        <w:rPr>
          <w:rFonts w:hint="eastAsia"/>
          <w:color w:val="000000"/>
        </w:rPr>
        <w:t>，</w:t>
      </w:r>
      <w:r w:rsidR="00D33055" w:rsidRPr="00D33055">
        <w:rPr>
          <w:rFonts w:hint="eastAsia"/>
          <w:color w:val="000000"/>
        </w:rPr>
        <w:t>允宜</w:t>
      </w:r>
      <w:r w:rsidR="00707B81" w:rsidRPr="00707B81">
        <w:rPr>
          <w:rFonts w:hint="eastAsia"/>
          <w:color w:val="000000"/>
        </w:rPr>
        <w:t>加強宣導農民安全使用農藥</w:t>
      </w:r>
      <w:r w:rsidR="00707B81">
        <w:rPr>
          <w:rFonts w:hAnsi="標楷體" w:hint="eastAsia"/>
          <w:color w:val="000000"/>
        </w:rPr>
        <w:t>，</w:t>
      </w:r>
      <w:r w:rsidR="00707B81">
        <w:rPr>
          <w:rFonts w:hint="eastAsia"/>
          <w:color w:val="000000"/>
        </w:rPr>
        <w:t>並</w:t>
      </w:r>
      <w:r w:rsidR="00D33055" w:rsidRPr="00D33055">
        <w:rPr>
          <w:rFonts w:hint="eastAsia"/>
          <w:color w:val="000000"/>
        </w:rPr>
        <w:t>落實高風險蔬果農藥殘留抽驗作業，以維糧食安全</w:t>
      </w:r>
      <w:bookmarkEnd w:id="2"/>
    </w:p>
    <w:p w:rsidR="00A069DA" w:rsidRDefault="00A069DA" w:rsidP="007A7F53">
      <w:pPr>
        <w:ind w:left="566" w:firstLine="566"/>
        <w:rPr>
          <w:color w:val="000000"/>
        </w:rPr>
      </w:pPr>
      <w:r w:rsidRPr="00A069DA">
        <w:rPr>
          <w:rFonts w:hint="eastAsia"/>
          <w:color w:val="000000"/>
        </w:rPr>
        <w:t>農糧署11</w:t>
      </w:r>
      <w:r w:rsidR="00304FA7">
        <w:rPr>
          <w:rFonts w:hint="eastAsia"/>
          <w:color w:val="000000"/>
        </w:rPr>
        <w:t>5</w:t>
      </w:r>
      <w:r w:rsidRPr="00A069DA">
        <w:rPr>
          <w:rFonts w:hint="eastAsia"/>
          <w:color w:val="000000"/>
        </w:rPr>
        <w:t>年度預算案於「農糧管理-農業資源管理」工作計畫項下辦理「建構高效智慧化農糧產品安全管理體系計畫」編列</w:t>
      </w:r>
      <w:r w:rsidR="000E3D5C">
        <w:rPr>
          <w:rFonts w:hint="eastAsia"/>
          <w:color w:val="000000"/>
        </w:rPr>
        <w:t>2</w:t>
      </w:r>
      <w:r w:rsidRPr="00A069DA">
        <w:rPr>
          <w:rFonts w:hint="eastAsia"/>
          <w:color w:val="000000"/>
        </w:rPr>
        <w:t>億</w:t>
      </w:r>
      <w:r w:rsidR="000E3D5C">
        <w:rPr>
          <w:rFonts w:hint="eastAsia"/>
          <w:color w:val="000000"/>
        </w:rPr>
        <w:t>970</w:t>
      </w:r>
      <w:r w:rsidRPr="00A069DA">
        <w:rPr>
          <w:rFonts w:hint="eastAsia"/>
          <w:color w:val="000000"/>
        </w:rPr>
        <w:t>萬元，</w:t>
      </w:r>
      <w:r w:rsidR="000E3D5C" w:rsidRPr="000E3D5C">
        <w:rPr>
          <w:rFonts w:hint="eastAsia"/>
          <w:color w:val="000000"/>
        </w:rPr>
        <w:t>另於「直轄市及縣市政府-一般性補助款」編列</w:t>
      </w:r>
      <w:r w:rsidR="009E4A8B">
        <w:rPr>
          <w:rFonts w:hint="eastAsia"/>
          <w:color w:val="000000"/>
        </w:rPr>
        <w:t>570</w:t>
      </w:r>
      <w:r w:rsidR="009E4A8B" w:rsidRPr="009E4A8B">
        <w:rPr>
          <w:rFonts w:hint="eastAsia"/>
          <w:color w:val="000000"/>
        </w:rPr>
        <w:t>萬</w:t>
      </w:r>
      <w:r w:rsidR="009E4A8B">
        <w:rPr>
          <w:rFonts w:hint="eastAsia"/>
          <w:color w:val="000000"/>
        </w:rPr>
        <w:t>2</w:t>
      </w:r>
      <w:r w:rsidR="009E4A8B" w:rsidRPr="009E4A8B">
        <w:rPr>
          <w:rFonts w:hint="eastAsia"/>
          <w:color w:val="000000"/>
        </w:rPr>
        <w:t>千元</w:t>
      </w:r>
      <w:r w:rsidRPr="00A069DA">
        <w:rPr>
          <w:rFonts w:hint="eastAsia"/>
          <w:color w:val="000000"/>
        </w:rPr>
        <w:t>，</w:t>
      </w:r>
      <w:r>
        <w:rPr>
          <w:rFonts w:hint="eastAsia"/>
          <w:color w:val="000000"/>
        </w:rPr>
        <w:t>以</w:t>
      </w:r>
      <w:r w:rsidRPr="00A069DA">
        <w:rPr>
          <w:rFonts w:hint="eastAsia"/>
          <w:color w:val="000000"/>
        </w:rPr>
        <w:t>加強高風險農畜水產品用藥安全之監測與抽驗。經查：</w:t>
      </w:r>
    </w:p>
    <w:p w:rsidR="00F06C87" w:rsidRPr="000C1E07" w:rsidRDefault="00F06C87" w:rsidP="000C1E07">
      <w:pPr>
        <w:pStyle w:val="a4"/>
        <w:ind w:left="849" w:hanging="283"/>
        <w:rPr>
          <w:b/>
        </w:rPr>
      </w:pPr>
      <w:r w:rsidRPr="000C1E07">
        <w:rPr>
          <w:rFonts w:hint="eastAsia"/>
          <w:b/>
        </w:rPr>
        <w:t>(一)</w:t>
      </w:r>
      <w:r w:rsidR="00ED3774" w:rsidRPr="00ED3774">
        <w:rPr>
          <w:rFonts w:hint="eastAsia"/>
          <w:b/>
        </w:rPr>
        <w:t>「建構高效智慧化農糧產品安全管理體系計畫」</w:t>
      </w:r>
      <w:r w:rsidR="003B4D8C">
        <w:rPr>
          <w:rFonts w:hint="eastAsia"/>
          <w:b/>
        </w:rPr>
        <w:t>預算執行情形</w:t>
      </w:r>
      <w:r w:rsidR="003B4D8C" w:rsidRPr="000C1E07">
        <w:rPr>
          <w:b/>
        </w:rPr>
        <w:t xml:space="preserve"> </w:t>
      </w:r>
    </w:p>
    <w:p w:rsidR="00F06C87" w:rsidRDefault="000E3D5C" w:rsidP="000C1E07">
      <w:pPr>
        <w:pStyle w:val="21"/>
        <w:ind w:left="850" w:firstLine="566"/>
      </w:pPr>
      <w:r>
        <w:rPr>
          <w:rFonts w:hAnsi="標楷體" w:hint="eastAsia"/>
        </w:rPr>
        <w:t>農糧</w:t>
      </w:r>
      <w:r w:rsidRPr="000E3D5C">
        <w:rPr>
          <w:rFonts w:hAnsi="標楷體" w:hint="eastAsia"/>
        </w:rPr>
        <w:t>署辦理「建構高效智慧化農糧產品安全管理體系計畫」，經行政院113年</w:t>
      </w:r>
      <w:r>
        <w:rPr>
          <w:rFonts w:hAnsi="標楷體" w:hint="eastAsia"/>
        </w:rPr>
        <w:t>2</w:t>
      </w:r>
      <w:r w:rsidRPr="000E3D5C">
        <w:rPr>
          <w:rFonts w:hAnsi="標楷體" w:hint="eastAsia"/>
        </w:rPr>
        <w:t>月</w:t>
      </w:r>
      <w:r>
        <w:rPr>
          <w:rFonts w:hAnsi="標楷體" w:hint="eastAsia"/>
        </w:rPr>
        <w:t>3</w:t>
      </w:r>
      <w:r w:rsidRPr="000E3D5C">
        <w:rPr>
          <w:rFonts w:hAnsi="標楷體" w:hint="eastAsia"/>
        </w:rPr>
        <w:t>日院臺</w:t>
      </w:r>
      <w:r>
        <w:rPr>
          <w:rFonts w:hAnsi="標楷體" w:hint="eastAsia"/>
        </w:rPr>
        <w:t>食安</w:t>
      </w:r>
      <w:r w:rsidRPr="000E3D5C">
        <w:rPr>
          <w:rFonts w:hAnsi="標楷體" w:hint="eastAsia"/>
        </w:rPr>
        <w:t>字第11</w:t>
      </w:r>
      <w:r>
        <w:rPr>
          <w:rFonts w:hAnsi="標楷體" w:hint="eastAsia"/>
        </w:rPr>
        <w:t>10039850</w:t>
      </w:r>
      <w:r w:rsidRPr="000E3D5C">
        <w:rPr>
          <w:rFonts w:hAnsi="標楷體" w:hint="eastAsia"/>
        </w:rPr>
        <w:t>號函核定，計畫期程為11</w:t>
      </w:r>
      <w:r>
        <w:rPr>
          <w:rFonts w:hAnsi="標楷體" w:hint="eastAsia"/>
        </w:rPr>
        <w:t>2</w:t>
      </w:r>
      <w:r w:rsidRPr="000E3D5C">
        <w:rPr>
          <w:rFonts w:hAnsi="標楷體" w:hint="eastAsia"/>
        </w:rPr>
        <w:t>至11</w:t>
      </w:r>
      <w:r>
        <w:rPr>
          <w:rFonts w:hAnsi="標楷體" w:hint="eastAsia"/>
        </w:rPr>
        <w:t>5</w:t>
      </w:r>
      <w:r w:rsidRPr="000E3D5C">
        <w:rPr>
          <w:rFonts w:hAnsi="標楷體" w:hint="eastAsia"/>
        </w:rPr>
        <w:t>年，總計畫經費</w:t>
      </w:r>
      <w:r>
        <w:rPr>
          <w:rFonts w:hAnsi="標楷體" w:hint="eastAsia"/>
        </w:rPr>
        <w:t>18</w:t>
      </w:r>
      <w:r w:rsidRPr="000E3D5C">
        <w:rPr>
          <w:rFonts w:hAnsi="標楷體" w:hint="eastAsia"/>
        </w:rPr>
        <w:t>.</w:t>
      </w:r>
      <w:r>
        <w:rPr>
          <w:rFonts w:hAnsi="標楷體" w:hint="eastAsia"/>
        </w:rPr>
        <w:t>21</w:t>
      </w:r>
      <w:r w:rsidR="00C51383">
        <w:rPr>
          <w:rFonts w:hAnsi="標楷體" w:hint="eastAsia"/>
        </w:rPr>
        <w:t>億元</w:t>
      </w:r>
      <w:r w:rsidRPr="000E3D5C">
        <w:rPr>
          <w:rFonts w:hAnsi="標楷體" w:hint="eastAsia"/>
        </w:rPr>
        <w:t>(</w:t>
      </w:r>
      <w:r w:rsidR="00C51383">
        <w:rPr>
          <w:rFonts w:hAnsi="標楷體" w:hint="eastAsia"/>
        </w:rPr>
        <w:t>包括</w:t>
      </w:r>
      <w:r>
        <w:rPr>
          <w:rFonts w:hAnsi="標楷體" w:hint="eastAsia"/>
        </w:rPr>
        <w:t>農糧</w:t>
      </w:r>
      <w:r w:rsidRPr="000E3D5C">
        <w:rPr>
          <w:rFonts w:hAnsi="標楷體" w:hint="eastAsia"/>
        </w:rPr>
        <w:t>署</w:t>
      </w:r>
      <w:r>
        <w:rPr>
          <w:rFonts w:hAnsi="標楷體" w:hint="eastAsia"/>
        </w:rPr>
        <w:t>8.39</w:t>
      </w:r>
      <w:r w:rsidRPr="000E3D5C">
        <w:rPr>
          <w:rFonts w:hAnsi="標楷體" w:hint="eastAsia"/>
        </w:rPr>
        <w:t>億元、一般性補助款－</w:t>
      </w:r>
      <w:r>
        <w:rPr>
          <w:rFonts w:hAnsi="標楷體" w:hint="eastAsia"/>
        </w:rPr>
        <w:t>農糧</w:t>
      </w:r>
      <w:r w:rsidRPr="000E3D5C">
        <w:rPr>
          <w:rFonts w:hAnsi="標楷體" w:hint="eastAsia"/>
        </w:rPr>
        <w:t>署及所屬</w:t>
      </w:r>
      <w:r>
        <w:rPr>
          <w:rFonts w:hAnsi="標楷體" w:hint="eastAsia"/>
        </w:rPr>
        <w:t>0.06</w:t>
      </w:r>
      <w:r w:rsidRPr="000E3D5C">
        <w:rPr>
          <w:rFonts w:hAnsi="標楷體" w:hint="eastAsia"/>
        </w:rPr>
        <w:t>億元、</w:t>
      </w:r>
      <w:r>
        <w:rPr>
          <w:rFonts w:hAnsi="標楷體" w:hint="eastAsia"/>
        </w:rPr>
        <w:t>農藥</w:t>
      </w:r>
      <w:r w:rsidRPr="000E3D5C">
        <w:rPr>
          <w:rFonts w:hAnsi="標楷體" w:hint="eastAsia"/>
        </w:rPr>
        <w:t>所</w:t>
      </w:r>
      <w:r>
        <w:rPr>
          <w:rFonts w:hAnsi="標楷體" w:hint="eastAsia"/>
        </w:rPr>
        <w:t>9.76</w:t>
      </w:r>
      <w:r w:rsidRPr="000E3D5C">
        <w:rPr>
          <w:rFonts w:hAnsi="標楷體" w:hint="eastAsia"/>
        </w:rPr>
        <w:t>億元)</w:t>
      </w:r>
      <w:r>
        <w:rPr>
          <w:rFonts w:hAnsi="標楷體" w:hint="eastAsia"/>
        </w:rPr>
        <w:t>，主要</w:t>
      </w:r>
      <w:r w:rsidR="00A069DA">
        <w:rPr>
          <w:rFonts w:hint="eastAsia"/>
        </w:rPr>
        <w:t>係為食品安全管理，加強農產品源頭管理，強化國產農產品可追溯性，完善農藥及動物用藥管理，</w:t>
      </w:r>
      <w:r w:rsidR="00C51383">
        <w:rPr>
          <w:rFonts w:hint="eastAsia"/>
        </w:rPr>
        <w:lastRenderedPageBreak/>
        <w:t>農糧署</w:t>
      </w:r>
      <w:r w:rsidR="00A069DA" w:rsidRPr="00A069DA">
        <w:rPr>
          <w:rFonts w:hint="eastAsia"/>
        </w:rPr>
        <w:t>截至11</w:t>
      </w:r>
      <w:r w:rsidR="00304FA7">
        <w:rPr>
          <w:rFonts w:hint="eastAsia"/>
        </w:rPr>
        <w:t>4</w:t>
      </w:r>
      <w:r w:rsidR="00A069DA" w:rsidRPr="00A069DA">
        <w:rPr>
          <w:rFonts w:hint="eastAsia"/>
        </w:rPr>
        <w:t>年度已編預算數</w:t>
      </w:r>
      <w:r w:rsidR="00304FA7">
        <w:rPr>
          <w:rFonts w:hint="eastAsia"/>
        </w:rPr>
        <w:t>12</w:t>
      </w:r>
      <w:r w:rsidR="00A069DA" w:rsidRPr="00A069DA">
        <w:rPr>
          <w:rFonts w:hint="eastAsia"/>
        </w:rPr>
        <w:t>億</w:t>
      </w:r>
      <w:r w:rsidR="00304FA7">
        <w:rPr>
          <w:rFonts w:hint="eastAsia"/>
        </w:rPr>
        <w:t>702</w:t>
      </w:r>
      <w:r w:rsidR="00A069DA" w:rsidRPr="00A069DA">
        <w:rPr>
          <w:rFonts w:hint="eastAsia"/>
        </w:rPr>
        <w:t>萬</w:t>
      </w:r>
      <w:r w:rsidR="00304FA7">
        <w:rPr>
          <w:rFonts w:hint="eastAsia"/>
        </w:rPr>
        <w:t>3</w:t>
      </w:r>
      <w:r w:rsidR="00A069DA" w:rsidRPr="00A069DA">
        <w:rPr>
          <w:rFonts w:hint="eastAsia"/>
        </w:rPr>
        <w:t>千元，11</w:t>
      </w:r>
      <w:r w:rsidR="00304FA7">
        <w:rPr>
          <w:rFonts w:hint="eastAsia"/>
        </w:rPr>
        <w:t>4</w:t>
      </w:r>
      <w:r w:rsidR="00A069DA" w:rsidRPr="00A069DA">
        <w:rPr>
          <w:rFonts w:hint="eastAsia"/>
        </w:rPr>
        <w:t>年度預算數2億</w:t>
      </w:r>
      <w:r w:rsidR="00B71E8D">
        <w:rPr>
          <w:rFonts w:hint="eastAsia"/>
        </w:rPr>
        <w:t>2</w:t>
      </w:r>
      <w:r w:rsidR="00A069DA" w:rsidRPr="00A069DA">
        <w:rPr>
          <w:rFonts w:hint="eastAsia"/>
        </w:rPr>
        <w:t>,</w:t>
      </w:r>
      <w:r w:rsidR="00304FA7">
        <w:rPr>
          <w:rFonts w:hint="eastAsia"/>
        </w:rPr>
        <w:t>257</w:t>
      </w:r>
      <w:r w:rsidR="00A069DA" w:rsidRPr="00A069DA">
        <w:rPr>
          <w:rFonts w:hint="eastAsia"/>
        </w:rPr>
        <w:t>萬</w:t>
      </w:r>
      <w:r w:rsidR="00304FA7">
        <w:rPr>
          <w:rFonts w:hint="eastAsia"/>
        </w:rPr>
        <w:t>5</w:t>
      </w:r>
      <w:r w:rsidR="00A069DA" w:rsidRPr="00A069DA">
        <w:rPr>
          <w:rFonts w:hint="eastAsia"/>
        </w:rPr>
        <w:t>千元，截至8月底執行數</w:t>
      </w:r>
      <w:r w:rsidR="00A069DA">
        <w:rPr>
          <w:rFonts w:hint="eastAsia"/>
        </w:rPr>
        <w:t>1</w:t>
      </w:r>
      <w:r w:rsidR="00A069DA" w:rsidRPr="00A069DA">
        <w:rPr>
          <w:rFonts w:hint="eastAsia"/>
        </w:rPr>
        <w:t>億</w:t>
      </w:r>
      <w:r w:rsidR="00304FA7">
        <w:rPr>
          <w:rFonts w:hint="eastAsia"/>
        </w:rPr>
        <w:t>3</w:t>
      </w:r>
      <w:r w:rsidR="00A069DA" w:rsidRPr="00A069DA">
        <w:rPr>
          <w:rFonts w:hint="eastAsia"/>
        </w:rPr>
        <w:t>,</w:t>
      </w:r>
      <w:r w:rsidR="00304FA7">
        <w:rPr>
          <w:rFonts w:hint="eastAsia"/>
        </w:rPr>
        <w:t>962</w:t>
      </w:r>
      <w:r w:rsidR="00A069DA" w:rsidRPr="00A069DA">
        <w:rPr>
          <w:rFonts w:hint="eastAsia"/>
        </w:rPr>
        <w:t>萬</w:t>
      </w:r>
      <w:r w:rsidR="00304FA7">
        <w:rPr>
          <w:rFonts w:hint="eastAsia"/>
        </w:rPr>
        <w:t>8</w:t>
      </w:r>
      <w:r w:rsidR="00A069DA" w:rsidRPr="00A069DA">
        <w:rPr>
          <w:rFonts w:hint="eastAsia"/>
        </w:rPr>
        <w:t>千元</w:t>
      </w:r>
      <w:r w:rsidR="00304FA7">
        <w:rPr>
          <w:rFonts w:hAnsi="標楷體" w:hint="eastAsia"/>
        </w:rPr>
        <w:t>，占</w:t>
      </w:r>
      <w:r w:rsidR="00A069DA" w:rsidRPr="00A069DA">
        <w:rPr>
          <w:rFonts w:hint="eastAsia"/>
        </w:rPr>
        <w:t>分配預算數</w:t>
      </w:r>
      <w:r w:rsidR="00304FA7" w:rsidRPr="00304FA7">
        <w:rPr>
          <w:rFonts w:hint="eastAsia"/>
        </w:rPr>
        <w:t>1億</w:t>
      </w:r>
      <w:r w:rsidR="00304FA7">
        <w:rPr>
          <w:rFonts w:hint="eastAsia"/>
        </w:rPr>
        <w:t>4</w:t>
      </w:r>
      <w:r w:rsidR="00304FA7" w:rsidRPr="00304FA7">
        <w:rPr>
          <w:rFonts w:hint="eastAsia"/>
        </w:rPr>
        <w:t>,</w:t>
      </w:r>
      <w:r w:rsidR="00304FA7">
        <w:rPr>
          <w:rFonts w:hint="eastAsia"/>
        </w:rPr>
        <w:t>000</w:t>
      </w:r>
      <w:r w:rsidR="00304FA7" w:rsidRPr="00304FA7">
        <w:rPr>
          <w:rFonts w:hint="eastAsia"/>
        </w:rPr>
        <w:t>萬元</w:t>
      </w:r>
      <w:r w:rsidR="00304FA7">
        <w:rPr>
          <w:rFonts w:hint="eastAsia"/>
        </w:rPr>
        <w:t>之比率為99.73%</w:t>
      </w:r>
      <w:r w:rsidR="00A069DA" w:rsidRPr="00A069DA">
        <w:rPr>
          <w:rFonts w:hint="eastAsia"/>
        </w:rPr>
        <w:t>(詳表1)</w:t>
      </w:r>
      <w:r w:rsidR="003B4D8C">
        <w:rPr>
          <w:rFonts w:hAnsi="標楷體" w:hint="eastAsia"/>
        </w:rPr>
        <w:t>。</w:t>
      </w:r>
    </w:p>
    <w:p w:rsidR="00A069DA" w:rsidRDefault="00A069DA" w:rsidP="003B4D8C">
      <w:pPr>
        <w:pStyle w:val="142"/>
        <w:spacing w:line="400" w:lineRule="exact"/>
        <w:ind w:left="646" w:rightChars="-150" w:right="-425" w:hanging="799"/>
        <w:jc w:val="right"/>
        <w:rPr>
          <w:szCs w:val="24"/>
        </w:rPr>
      </w:pPr>
      <w:r w:rsidRPr="00A069DA">
        <w:rPr>
          <w:rFonts w:hint="eastAsia"/>
          <w:b/>
          <w:sz w:val="28"/>
        </w:rPr>
        <w:t>表1</w:t>
      </w:r>
      <w:r w:rsidRPr="00A069DA">
        <w:rPr>
          <w:b/>
          <w:sz w:val="28"/>
        </w:rPr>
        <w:t xml:space="preserve">  </w:t>
      </w:r>
      <w:r w:rsidRPr="00A069DA">
        <w:rPr>
          <w:rFonts w:hint="eastAsia"/>
          <w:b/>
          <w:sz w:val="28"/>
        </w:rPr>
        <w:t>農糧署辦理「建構高效智慧化農糧產品安全管理體系計畫」迄1</w:t>
      </w:r>
      <w:r w:rsidRPr="00A069DA">
        <w:rPr>
          <w:b/>
          <w:sz w:val="28"/>
        </w:rPr>
        <w:t>1</w:t>
      </w:r>
      <w:r w:rsidR="00BE3148">
        <w:rPr>
          <w:rFonts w:hint="eastAsia"/>
          <w:b/>
          <w:sz w:val="28"/>
        </w:rPr>
        <w:t>4</w:t>
      </w:r>
      <w:r w:rsidRPr="00A069DA">
        <w:rPr>
          <w:rFonts w:hint="eastAsia"/>
          <w:b/>
          <w:sz w:val="28"/>
        </w:rPr>
        <w:t>年8月執行概況表</w:t>
      </w:r>
      <w:r w:rsidRPr="00A069DA">
        <w:rPr>
          <w:rFonts w:hint="eastAsia"/>
          <w:sz w:val="28"/>
        </w:rPr>
        <w:t xml:space="preserve"> </w:t>
      </w:r>
      <w:r w:rsidRPr="00A069DA">
        <w:rPr>
          <w:sz w:val="28"/>
        </w:rPr>
        <w:t xml:space="preserve">  </w:t>
      </w:r>
      <w:r>
        <w:t xml:space="preserve"> </w:t>
      </w:r>
      <w:r>
        <w:rPr>
          <w:rFonts w:hint="eastAsia"/>
        </w:rPr>
        <w:t xml:space="preserve">        </w:t>
      </w:r>
      <w:r w:rsidR="00DF2ECF">
        <w:rPr>
          <w:rFonts w:hint="eastAsia"/>
        </w:rPr>
        <w:t xml:space="preserve">      </w:t>
      </w:r>
      <w:r>
        <w:rPr>
          <w:rFonts w:hint="eastAsia"/>
        </w:rPr>
        <w:t xml:space="preserve">              </w:t>
      </w:r>
      <w:r w:rsidR="00C93C16">
        <w:rPr>
          <w:rFonts w:hint="eastAsia"/>
        </w:rPr>
        <w:t xml:space="preserve"> </w:t>
      </w:r>
      <w:r>
        <w:t xml:space="preserve"> </w:t>
      </w:r>
      <w:r w:rsidRPr="0027544B">
        <w:rPr>
          <w:rFonts w:hint="eastAsia"/>
          <w:szCs w:val="24"/>
        </w:rPr>
        <w:t>單位：新臺幣千元；%</w:t>
      </w:r>
    </w:p>
    <w:tbl>
      <w:tblPr>
        <w:tblW w:w="9073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121"/>
        <w:gridCol w:w="1134"/>
        <w:gridCol w:w="1005"/>
        <w:gridCol w:w="800"/>
        <w:gridCol w:w="924"/>
        <w:gridCol w:w="873"/>
        <w:gridCol w:w="947"/>
      </w:tblGrid>
      <w:tr w:rsidR="00CD4036" w:rsidRPr="00D12262" w:rsidTr="00CD4036">
        <w:trPr>
          <w:tblHeader/>
        </w:trPr>
        <w:tc>
          <w:tcPr>
            <w:tcW w:w="1135" w:type="dxa"/>
            <w:vMerge w:val="restart"/>
            <w:shd w:val="clear" w:color="auto" w:fill="auto"/>
            <w:vAlign w:val="center"/>
          </w:tcPr>
          <w:p w:rsidR="00CD4036" w:rsidRPr="00D12262" w:rsidRDefault="00CD4036" w:rsidP="001775A3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計畫總金額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D4036" w:rsidRPr="00D12262" w:rsidRDefault="00CD4036" w:rsidP="001775A3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截至11</w:t>
            </w:r>
            <w:r w:rsidR="00304FA7">
              <w:rPr>
                <w:rFonts w:hAnsi="標楷體" w:hint="eastAsia"/>
                <w:b/>
                <w:spacing w:val="-20"/>
              </w:rPr>
              <w:t>4</w:t>
            </w:r>
            <w:r w:rsidRPr="00D12262">
              <w:rPr>
                <w:rFonts w:hAnsi="標楷體"/>
                <w:b/>
                <w:spacing w:val="-20"/>
              </w:rPr>
              <w:t>年度已編預算數</w:t>
            </w:r>
          </w:p>
        </w:tc>
        <w:tc>
          <w:tcPr>
            <w:tcW w:w="1121" w:type="dxa"/>
            <w:vMerge w:val="restart"/>
            <w:shd w:val="clear" w:color="auto" w:fill="auto"/>
            <w:vAlign w:val="center"/>
          </w:tcPr>
          <w:p w:rsidR="00CD4036" w:rsidRPr="00D12262" w:rsidRDefault="00CD4036" w:rsidP="001775A3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11</w:t>
            </w:r>
            <w:r w:rsidR="00304FA7">
              <w:rPr>
                <w:rFonts w:hAnsi="標楷體" w:hint="eastAsia"/>
                <w:b/>
                <w:spacing w:val="-20"/>
              </w:rPr>
              <w:t>4</w:t>
            </w:r>
            <w:r w:rsidRPr="00D12262">
              <w:rPr>
                <w:rFonts w:hAnsi="標楷體"/>
                <w:b/>
                <w:spacing w:val="-20"/>
              </w:rPr>
              <w:t>年度預算數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D4036" w:rsidRPr="00D12262" w:rsidRDefault="00CD4036" w:rsidP="007F4AA3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截至8月底分配數</w:t>
            </w:r>
          </w:p>
        </w:tc>
        <w:tc>
          <w:tcPr>
            <w:tcW w:w="2729" w:type="dxa"/>
            <w:gridSpan w:val="3"/>
            <w:shd w:val="clear" w:color="auto" w:fill="auto"/>
            <w:vAlign w:val="center"/>
          </w:tcPr>
          <w:p w:rsidR="00CD4036" w:rsidRPr="00D12262" w:rsidRDefault="00CD4036" w:rsidP="007F4AA3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截至8月底執行數</w:t>
            </w:r>
          </w:p>
        </w:tc>
        <w:tc>
          <w:tcPr>
            <w:tcW w:w="873" w:type="dxa"/>
            <w:vMerge w:val="restart"/>
            <w:shd w:val="clear" w:color="auto" w:fill="auto"/>
            <w:vAlign w:val="center"/>
          </w:tcPr>
          <w:p w:rsidR="00CD4036" w:rsidRPr="00D12262" w:rsidRDefault="00CD4036" w:rsidP="00C066E7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執行數占分配數比率</w:t>
            </w:r>
          </w:p>
        </w:tc>
        <w:tc>
          <w:tcPr>
            <w:tcW w:w="947" w:type="dxa"/>
            <w:vMerge w:val="restart"/>
            <w:shd w:val="clear" w:color="auto" w:fill="auto"/>
            <w:vAlign w:val="center"/>
          </w:tcPr>
          <w:p w:rsidR="00CD4036" w:rsidRPr="00D12262" w:rsidRDefault="00CD4036" w:rsidP="001775A3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執行數占預算</w:t>
            </w:r>
            <w:r>
              <w:rPr>
                <w:rFonts w:hAnsi="標楷體" w:hint="eastAsia"/>
                <w:b/>
                <w:spacing w:val="-20"/>
              </w:rPr>
              <w:t>數</w:t>
            </w:r>
            <w:r w:rsidRPr="00D12262">
              <w:rPr>
                <w:rFonts w:hAnsi="標楷體"/>
                <w:b/>
                <w:spacing w:val="-20"/>
              </w:rPr>
              <w:t>比率</w:t>
            </w:r>
          </w:p>
        </w:tc>
      </w:tr>
      <w:tr w:rsidR="00CD4036" w:rsidRPr="0082616B" w:rsidTr="00CD4036">
        <w:trPr>
          <w:tblHeader/>
        </w:trPr>
        <w:tc>
          <w:tcPr>
            <w:tcW w:w="1135" w:type="dxa"/>
            <w:vMerge/>
            <w:shd w:val="clear" w:color="auto" w:fill="auto"/>
            <w:vAlign w:val="center"/>
          </w:tcPr>
          <w:p w:rsidR="00CD4036" w:rsidRPr="0082616B" w:rsidRDefault="00CD4036" w:rsidP="001775A3">
            <w:pPr>
              <w:pStyle w:val="142"/>
              <w:snapToGrid w:val="0"/>
              <w:spacing w:line="240" w:lineRule="auto"/>
              <w:rPr>
                <w:rFonts w:hAnsi="標楷體"/>
                <w:spacing w:val="-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D4036" w:rsidRPr="0082616B" w:rsidRDefault="00CD4036" w:rsidP="001775A3">
            <w:pPr>
              <w:pStyle w:val="142"/>
              <w:snapToGrid w:val="0"/>
              <w:spacing w:line="240" w:lineRule="auto"/>
              <w:rPr>
                <w:rFonts w:hAnsi="標楷體"/>
                <w:spacing w:val="-20"/>
              </w:rPr>
            </w:pPr>
          </w:p>
        </w:tc>
        <w:tc>
          <w:tcPr>
            <w:tcW w:w="1121" w:type="dxa"/>
            <w:vMerge/>
            <w:shd w:val="clear" w:color="auto" w:fill="auto"/>
            <w:vAlign w:val="center"/>
          </w:tcPr>
          <w:p w:rsidR="00CD4036" w:rsidRPr="0082616B" w:rsidRDefault="00CD4036" w:rsidP="001775A3">
            <w:pPr>
              <w:pStyle w:val="142"/>
              <w:snapToGrid w:val="0"/>
              <w:spacing w:line="240" w:lineRule="auto"/>
              <w:rPr>
                <w:rFonts w:hAnsi="標楷體"/>
                <w:spacing w:val="-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D4036" w:rsidRPr="0082616B" w:rsidRDefault="00CD4036" w:rsidP="001775A3">
            <w:pPr>
              <w:pStyle w:val="142"/>
              <w:snapToGrid w:val="0"/>
              <w:spacing w:line="240" w:lineRule="auto"/>
              <w:rPr>
                <w:rFonts w:hAnsi="標楷體"/>
                <w:spacing w:val="-20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D4036" w:rsidRPr="00D12262" w:rsidRDefault="00CD4036" w:rsidP="001775A3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實現數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CD4036" w:rsidRPr="00D12262" w:rsidRDefault="00CD4036" w:rsidP="001775A3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預付數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CD4036" w:rsidRPr="00D12262" w:rsidRDefault="00CD4036" w:rsidP="001775A3">
            <w:pPr>
              <w:pStyle w:val="142"/>
              <w:snapToGrid w:val="0"/>
              <w:spacing w:line="240" w:lineRule="auto"/>
              <w:jc w:val="center"/>
              <w:rPr>
                <w:rFonts w:hAnsi="標楷體"/>
                <w:b/>
                <w:spacing w:val="-20"/>
              </w:rPr>
            </w:pPr>
            <w:r w:rsidRPr="00D12262">
              <w:rPr>
                <w:rFonts w:hAnsi="標楷體"/>
                <w:b/>
                <w:spacing w:val="-20"/>
              </w:rPr>
              <w:t>合計</w:t>
            </w:r>
          </w:p>
        </w:tc>
        <w:tc>
          <w:tcPr>
            <w:tcW w:w="873" w:type="dxa"/>
            <w:vMerge/>
            <w:shd w:val="clear" w:color="auto" w:fill="auto"/>
            <w:vAlign w:val="center"/>
          </w:tcPr>
          <w:p w:rsidR="00CD4036" w:rsidRPr="0082616B" w:rsidRDefault="00CD4036" w:rsidP="001775A3">
            <w:pPr>
              <w:pStyle w:val="142"/>
              <w:snapToGrid w:val="0"/>
              <w:spacing w:line="240" w:lineRule="auto"/>
              <w:rPr>
                <w:rFonts w:hAnsi="標楷體"/>
                <w:spacing w:val="-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:rsidR="00CD4036" w:rsidRPr="0082616B" w:rsidRDefault="00CD4036" w:rsidP="001775A3">
            <w:pPr>
              <w:pStyle w:val="142"/>
              <w:snapToGrid w:val="0"/>
              <w:spacing w:line="240" w:lineRule="auto"/>
              <w:rPr>
                <w:rFonts w:hAnsi="標楷體"/>
                <w:spacing w:val="-20"/>
              </w:rPr>
            </w:pPr>
          </w:p>
        </w:tc>
      </w:tr>
      <w:tr w:rsidR="00CD4036" w:rsidRPr="00EB3329" w:rsidTr="00CD4036">
        <w:trPr>
          <w:trHeight w:val="344"/>
        </w:trPr>
        <w:tc>
          <w:tcPr>
            <w:tcW w:w="1135" w:type="dxa"/>
            <w:shd w:val="clear" w:color="auto" w:fill="auto"/>
            <w:vAlign w:val="center"/>
          </w:tcPr>
          <w:p w:rsidR="00CD4036" w:rsidRPr="00CD4036" w:rsidRDefault="00CD4036" w:rsidP="00CD4036">
            <w:pPr>
              <w:pStyle w:val="142"/>
              <w:snapToGrid w:val="0"/>
              <w:spacing w:line="240" w:lineRule="auto"/>
              <w:jc w:val="right"/>
              <w:rPr>
                <w:rFonts w:hAnsi="標楷體"/>
                <w:color w:val="000000"/>
                <w:spacing w:val="-20"/>
                <w:szCs w:val="24"/>
              </w:rPr>
            </w:pPr>
            <w:r w:rsidRPr="00CD4036">
              <w:rPr>
                <w:rFonts w:hAnsi="標楷體"/>
                <w:color w:val="000000"/>
                <w:spacing w:val="-20"/>
                <w:szCs w:val="24"/>
              </w:rPr>
              <w:t>1,240,000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4036" w:rsidRPr="00CD4036" w:rsidRDefault="00304FA7" w:rsidP="001775A3">
            <w:pPr>
              <w:pStyle w:val="142"/>
              <w:snapToGrid w:val="0"/>
              <w:spacing w:line="240" w:lineRule="auto"/>
              <w:jc w:val="right"/>
              <w:rPr>
                <w:rFonts w:hAnsi="標楷體"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  <w:spacing w:val="-20"/>
                <w:szCs w:val="24"/>
              </w:rPr>
              <w:t>631</w:t>
            </w:r>
            <w:r>
              <w:rPr>
                <w:rFonts w:hAnsi="標楷體"/>
                <w:color w:val="000000"/>
                <w:spacing w:val="-20"/>
                <w:szCs w:val="24"/>
              </w:rPr>
              <w:t>,</w:t>
            </w:r>
            <w:r>
              <w:rPr>
                <w:rFonts w:hAnsi="標楷體" w:hint="eastAsia"/>
                <w:color w:val="000000"/>
                <w:spacing w:val="-20"/>
                <w:szCs w:val="24"/>
              </w:rPr>
              <w:t>270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D4036" w:rsidRPr="00CD4036" w:rsidRDefault="00CD4036" w:rsidP="001775A3">
            <w:pPr>
              <w:pStyle w:val="142"/>
              <w:snapToGrid w:val="0"/>
              <w:spacing w:line="240" w:lineRule="auto"/>
              <w:jc w:val="right"/>
              <w:rPr>
                <w:rFonts w:hAnsi="標楷體"/>
                <w:color w:val="000000"/>
                <w:spacing w:val="-20"/>
                <w:szCs w:val="24"/>
              </w:rPr>
            </w:pPr>
            <w:r w:rsidRPr="00CD4036">
              <w:rPr>
                <w:rFonts w:hAnsi="標楷體"/>
                <w:color w:val="000000"/>
                <w:spacing w:val="-20"/>
                <w:szCs w:val="24"/>
              </w:rPr>
              <w:t>22</w:t>
            </w:r>
            <w:r w:rsidR="00304FA7">
              <w:rPr>
                <w:rFonts w:hAnsi="標楷體" w:hint="eastAsia"/>
                <w:color w:val="000000"/>
                <w:spacing w:val="-20"/>
                <w:szCs w:val="24"/>
              </w:rPr>
              <w:t>2</w:t>
            </w:r>
            <w:r w:rsidR="00304FA7">
              <w:rPr>
                <w:rFonts w:hAnsi="標楷體"/>
                <w:color w:val="000000"/>
                <w:spacing w:val="-20"/>
                <w:szCs w:val="24"/>
              </w:rPr>
              <w:t>,</w:t>
            </w:r>
            <w:r w:rsidR="00304FA7">
              <w:rPr>
                <w:rFonts w:hAnsi="標楷體" w:hint="eastAsia"/>
                <w:color w:val="000000"/>
                <w:spacing w:val="-20"/>
                <w:szCs w:val="24"/>
              </w:rPr>
              <w:t>575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4036" w:rsidRPr="00CD4036" w:rsidRDefault="00CD4036" w:rsidP="00CD4036">
            <w:pPr>
              <w:pStyle w:val="142"/>
              <w:snapToGrid w:val="0"/>
              <w:spacing w:line="240" w:lineRule="auto"/>
              <w:jc w:val="right"/>
              <w:rPr>
                <w:rFonts w:hAnsi="標楷體"/>
                <w:color w:val="000000"/>
                <w:spacing w:val="-20"/>
                <w:szCs w:val="24"/>
              </w:rPr>
            </w:pPr>
            <w:r w:rsidRPr="00CD4036">
              <w:rPr>
                <w:rFonts w:hAnsi="標楷體"/>
                <w:color w:val="000000"/>
                <w:spacing w:val="-20"/>
                <w:szCs w:val="24"/>
              </w:rPr>
              <w:t>1</w:t>
            </w:r>
            <w:r w:rsidR="00304FA7">
              <w:rPr>
                <w:rFonts w:hAnsi="標楷體" w:hint="eastAsia"/>
                <w:color w:val="000000"/>
                <w:spacing w:val="-20"/>
                <w:szCs w:val="24"/>
              </w:rPr>
              <w:t>40</w:t>
            </w:r>
            <w:r w:rsidR="00304FA7">
              <w:rPr>
                <w:rFonts w:hAnsi="標楷體"/>
                <w:color w:val="000000"/>
                <w:spacing w:val="-20"/>
                <w:szCs w:val="24"/>
              </w:rPr>
              <w:t>,</w:t>
            </w:r>
            <w:r w:rsidR="00304FA7">
              <w:rPr>
                <w:rFonts w:hAnsi="標楷體" w:hint="eastAsia"/>
                <w:color w:val="000000"/>
                <w:spacing w:val="-20"/>
                <w:szCs w:val="24"/>
              </w:rPr>
              <w:t>000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D4036" w:rsidRPr="00CD4036" w:rsidRDefault="00CD4036" w:rsidP="001775A3">
            <w:pPr>
              <w:pStyle w:val="142"/>
              <w:snapToGrid w:val="0"/>
              <w:spacing w:line="240" w:lineRule="auto"/>
              <w:jc w:val="right"/>
              <w:rPr>
                <w:rFonts w:hAnsi="標楷體"/>
                <w:color w:val="000000"/>
                <w:spacing w:val="-20"/>
                <w:szCs w:val="24"/>
              </w:rPr>
            </w:pPr>
            <w:r w:rsidRPr="00CD4036">
              <w:rPr>
                <w:rFonts w:hAnsi="標楷體"/>
                <w:color w:val="000000"/>
                <w:spacing w:val="-20"/>
                <w:szCs w:val="24"/>
              </w:rPr>
              <w:t>1</w:t>
            </w:r>
            <w:r w:rsidR="00304FA7">
              <w:rPr>
                <w:rFonts w:hAnsi="標楷體" w:hint="eastAsia"/>
                <w:color w:val="000000"/>
                <w:spacing w:val="-20"/>
                <w:szCs w:val="24"/>
              </w:rPr>
              <w:t>39</w:t>
            </w:r>
            <w:r w:rsidR="00304FA7">
              <w:rPr>
                <w:rFonts w:hAnsi="標楷體"/>
                <w:color w:val="000000"/>
                <w:spacing w:val="-20"/>
                <w:szCs w:val="24"/>
              </w:rPr>
              <w:t>,</w:t>
            </w:r>
            <w:r w:rsidR="00304FA7">
              <w:rPr>
                <w:rFonts w:hAnsi="標楷體" w:hint="eastAsia"/>
                <w:color w:val="000000"/>
                <w:spacing w:val="-20"/>
                <w:szCs w:val="24"/>
              </w:rPr>
              <w:t>628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CD4036" w:rsidRPr="00CD4036" w:rsidRDefault="00CD4036" w:rsidP="001775A3">
            <w:pPr>
              <w:pStyle w:val="142"/>
              <w:snapToGrid w:val="0"/>
              <w:spacing w:line="240" w:lineRule="auto"/>
              <w:jc w:val="right"/>
              <w:rPr>
                <w:rFonts w:hAnsi="標楷體"/>
                <w:color w:val="000000"/>
                <w:spacing w:val="-20"/>
                <w:szCs w:val="24"/>
              </w:rPr>
            </w:pPr>
            <w:r w:rsidRPr="00CD4036">
              <w:rPr>
                <w:rFonts w:hAnsi="標楷體"/>
                <w:color w:val="000000"/>
                <w:spacing w:val="-20"/>
                <w:szCs w:val="24"/>
              </w:rPr>
              <w:t>0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CD4036" w:rsidRPr="00CD4036" w:rsidRDefault="00CD4036" w:rsidP="001775A3">
            <w:pPr>
              <w:pStyle w:val="142"/>
              <w:snapToGrid w:val="0"/>
              <w:spacing w:line="240" w:lineRule="auto"/>
              <w:ind w:leftChars="-71" w:left="23" w:hangingChars="110" w:hanging="224"/>
              <w:jc w:val="right"/>
              <w:rPr>
                <w:rFonts w:hAnsi="標楷體"/>
                <w:color w:val="000000"/>
                <w:spacing w:val="-20"/>
                <w:szCs w:val="24"/>
              </w:rPr>
            </w:pPr>
            <w:r w:rsidRPr="00CD4036">
              <w:rPr>
                <w:rFonts w:hAnsi="標楷體"/>
                <w:color w:val="000000"/>
                <w:spacing w:val="-20"/>
                <w:szCs w:val="24"/>
              </w:rPr>
              <w:t>1</w:t>
            </w:r>
            <w:r w:rsidR="00304FA7">
              <w:rPr>
                <w:rFonts w:hAnsi="標楷體" w:hint="eastAsia"/>
                <w:color w:val="000000"/>
                <w:spacing w:val="-20"/>
                <w:szCs w:val="24"/>
              </w:rPr>
              <w:t>39</w:t>
            </w:r>
            <w:r w:rsidR="00304FA7">
              <w:rPr>
                <w:rFonts w:hAnsi="標楷體"/>
                <w:color w:val="000000"/>
                <w:spacing w:val="-20"/>
                <w:szCs w:val="24"/>
              </w:rPr>
              <w:t>,</w:t>
            </w:r>
            <w:r w:rsidR="00304FA7">
              <w:rPr>
                <w:rFonts w:hAnsi="標楷體" w:hint="eastAsia"/>
                <w:color w:val="000000"/>
                <w:spacing w:val="-20"/>
                <w:szCs w:val="24"/>
              </w:rPr>
              <w:t>628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CD4036" w:rsidRPr="00CD4036" w:rsidRDefault="00304FA7" w:rsidP="001775A3">
            <w:pPr>
              <w:pStyle w:val="142"/>
              <w:snapToGrid w:val="0"/>
              <w:spacing w:line="240" w:lineRule="auto"/>
              <w:jc w:val="right"/>
              <w:rPr>
                <w:rFonts w:hAnsi="標楷體"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  <w:spacing w:val="-20"/>
                <w:szCs w:val="24"/>
              </w:rPr>
              <w:t>99.73</w:t>
            </w:r>
          </w:p>
        </w:tc>
        <w:tc>
          <w:tcPr>
            <w:tcW w:w="947" w:type="dxa"/>
            <w:shd w:val="clear" w:color="auto" w:fill="auto"/>
            <w:vAlign w:val="center"/>
          </w:tcPr>
          <w:p w:rsidR="00CD4036" w:rsidRPr="00CD4036" w:rsidRDefault="00304FA7" w:rsidP="001775A3">
            <w:pPr>
              <w:pStyle w:val="142"/>
              <w:snapToGrid w:val="0"/>
              <w:spacing w:line="240" w:lineRule="auto"/>
              <w:jc w:val="right"/>
              <w:rPr>
                <w:rFonts w:hAnsi="標楷體"/>
                <w:color w:val="000000"/>
                <w:spacing w:val="-20"/>
                <w:szCs w:val="24"/>
              </w:rPr>
            </w:pPr>
            <w:r>
              <w:rPr>
                <w:rFonts w:hAnsi="標楷體" w:hint="eastAsia"/>
                <w:color w:val="000000"/>
                <w:spacing w:val="-20"/>
                <w:szCs w:val="24"/>
              </w:rPr>
              <w:t>62</w:t>
            </w:r>
            <w:r w:rsidR="00CD4036" w:rsidRPr="00CD4036">
              <w:rPr>
                <w:rFonts w:hAnsi="標楷體"/>
                <w:color w:val="000000"/>
                <w:spacing w:val="-20"/>
                <w:szCs w:val="24"/>
              </w:rPr>
              <w:t>.</w:t>
            </w:r>
            <w:r>
              <w:rPr>
                <w:rFonts w:hAnsi="標楷體" w:hint="eastAsia"/>
                <w:color w:val="000000"/>
                <w:spacing w:val="-20"/>
                <w:szCs w:val="24"/>
              </w:rPr>
              <w:t>73</w:t>
            </w:r>
          </w:p>
        </w:tc>
      </w:tr>
    </w:tbl>
    <w:p w:rsidR="0091293A" w:rsidRDefault="0091293A" w:rsidP="00E125D6">
      <w:pPr>
        <w:pStyle w:val="142"/>
        <w:ind w:leftChars="-64" w:left="-1" w:hangingChars="74" w:hanging="180"/>
        <w:rPr>
          <w:rFonts w:hAnsi="標楷體"/>
        </w:rPr>
      </w:pPr>
      <w:r>
        <w:rPr>
          <w:rFonts w:hint="eastAsia"/>
        </w:rPr>
        <w:t>資料來源</w:t>
      </w:r>
      <w:r>
        <w:rPr>
          <w:rFonts w:hAnsi="標楷體" w:hint="eastAsia"/>
        </w:rPr>
        <w:t>：</w:t>
      </w:r>
      <w:r>
        <w:rPr>
          <w:rFonts w:hint="eastAsia"/>
        </w:rPr>
        <w:t>農糧署提供</w:t>
      </w:r>
      <w:r>
        <w:rPr>
          <w:rFonts w:hAnsi="標楷體" w:hint="eastAsia"/>
        </w:rPr>
        <w:t>。</w:t>
      </w:r>
      <w:r w:rsidR="00025425">
        <w:rPr>
          <w:rFonts w:hAnsi="標楷體" w:hint="eastAsia"/>
        </w:rPr>
        <w:t xml:space="preserve"> </w:t>
      </w:r>
      <w:r w:rsidR="00025425">
        <w:rPr>
          <w:rFonts w:hAnsi="標楷體"/>
        </w:rPr>
        <w:t xml:space="preserve"> </w:t>
      </w:r>
    </w:p>
    <w:p w:rsidR="007F4AA3" w:rsidRPr="00C70CB0" w:rsidRDefault="007F4AA3" w:rsidP="007F4AA3">
      <w:pPr>
        <w:pStyle w:val="a4"/>
        <w:ind w:left="849" w:hanging="283"/>
        <w:rPr>
          <w:b/>
        </w:rPr>
      </w:pPr>
      <w:r w:rsidRPr="00C70CB0">
        <w:rPr>
          <w:rFonts w:hint="eastAsia"/>
          <w:b/>
        </w:rPr>
        <w:t>(二)</w:t>
      </w:r>
      <w:r w:rsidRPr="00ED3774">
        <w:rPr>
          <w:rFonts w:hint="eastAsia"/>
          <w:b/>
        </w:rPr>
        <w:t>蔬果殘留農藥含量超過安全容許標準之農藥違規案件逐年攀升</w:t>
      </w:r>
    </w:p>
    <w:p w:rsidR="007F4AA3" w:rsidRPr="00DF1EFE" w:rsidRDefault="007F4AA3" w:rsidP="007F4AA3">
      <w:pPr>
        <w:pStyle w:val="21"/>
        <w:ind w:left="850" w:firstLine="566"/>
      </w:pPr>
      <w:r w:rsidRPr="00DF1EFE">
        <w:rPr>
          <w:rFonts w:hint="eastAsia"/>
        </w:rPr>
        <w:t>農糧署</w:t>
      </w:r>
      <w:r>
        <w:rPr>
          <w:rFonts w:hint="eastAsia"/>
        </w:rPr>
        <w:t>110</w:t>
      </w:r>
      <w:r w:rsidRPr="00DF1EFE">
        <w:rPr>
          <w:rFonts w:hint="eastAsia"/>
        </w:rPr>
        <w:t>至11</w:t>
      </w:r>
      <w:r>
        <w:rPr>
          <w:rFonts w:hint="eastAsia"/>
        </w:rPr>
        <w:t>3</w:t>
      </w:r>
      <w:r w:rsidRPr="00DF1EFE">
        <w:rPr>
          <w:rFonts w:hint="eastAsia"/>
        </w:rPr>
        <w:t>年度抽驗蔬果農藥殘留</w:t>
      </w:r>
      <w:r>
        <w:rPr>
          <w:rFonts w:hint="eastAsia"/>
        </w:rPr>
        <w:t>件數介於</w:t>
      </w:r>
      <w:r w:rsidRPr="00CC11F4">
        <w:rPr>
          <w:rFonts w:hint="eastAsia"/>
        </w:rPr>
        <w:t>1萬4,075件</w:t>
      </w:r>
      <w:r>
        <w:rPr>
          <w:rFonts w:hint="eastAsia"/>
        </w:rPr>
        <w:t>至</w:t>
      </w:r>
      <w:r w:rsidRPr="00DF1EFE">
        <w:rPr>
          <w:rFonts w:hint="eastAsia"/>
        </w:rPr>
        <w:t>1萬4,22</w:t>
      </w:r>
      <w:r>
        <w:rPr>
          <w:rFonts w:hint="eastAsia"/>
        </w:rPr>
        <w:t>6</w:t>
      </w:r>
      <w:r w:rsidRPr="00DF1EFE">
        <w:rPr>
          <w:rFonts w:hint="eastAsia"/>
        </w:rPr>
        <w:t>件</w:t>
      </w:r>
      <w:r>
        <w:rPr>
          <w:rFonts w:hint="eastAsia"/>
        </w:rPr>
        <w:t>之間</w:t>
      </w:r>
      <w:r w:rsidRPr="00DF1EFE">
        <w:rPr>
          <w:rFonts w:hint="eastAsia"/>
        </w:rPr>
        <w:t>；11</w:t>
      </w:r>
      <w:r>
        <w:rPr>
          <w:rFonts w:hint="eastAsia"/>
        </w:rPr>
        <w:t>3</w:t>
      </w:r>
      <w:r w:rsidRPr="00DF1EFE">
        <w:rPr>
          <w:rFonts w:hint="eastAsia"/>
        </w:rPr>
        <w:t>年度抽驗之不合格案件計4</w:t>
      </w:r>
      <w:r>
        <w:rPr>
          <w:rFonts w:hint="eastAsia"/>
        </w:rPr>
        <w:t>8</w:t>
      </w:r>
      <w:r w:rsidRPr="00DF1EFE">
        <w:rPr>
          <w:rFonts w:hint="eastAsia"/>
        </w:rPr>
        <w:t>8件，較110年度之4</w:t>
      </w:r>
      <w:r>
        <w:rPr>
          <w:rFonts w:hint="eastAsia"/>
        </w:rPr>
        <w:t>17</w:t>
      </w:r>
      <w:r w:rsidRPr="00DF1EFE">
        <w:rPr>
          <w:rFonts w:hint="eastAsia"/>
        </w:rPr>
        <w:t>件增加</w:t>
      </w:r>
      <w:r>
        <w:rPr>
          <w:rFonts w:hint="eastAsia"/>
        </w:rPr>
        <w:t>71</w:t>
      </w:r>
      <w:r w:rsidRPr="00DF1EFE">
        <w:rPr>
          <w:rFonts w:hint="eastAsia"/>
        </w:rPr>
        <w:t>件，增幅1</w:t>
      </w:r>
      <w:r>
        <w:rPr>
          <w:rFonts w:hint="eastAsia"/>
        </w:rPr>
        <w:t>7</w:t>
      </w:r>
      <w:r w:rsidRPr="00DF1EFE">
        <w:rPr>
          <w:rFonts w:hint="eastAsia"/>
        </w:rPr>
        <w:t>.</w:t>
      </w:r>
      <w:r>
        <w:rPr>
          <w:rFonts w:hint="eastAsia"/>
        </w:rPr>
        <w:t>03</w:t>
      </w:r>
      <w:r w:rsidRPr="00DF1EFE">
        <w:rPr>
          <w:rFonts w:hint="eastAsia"/>
        </w:rPr>
        <w:t>%；11</w:t>
      </w:r>
      <w:r>
        <w:rPr>
          <w:rFonts w:hint="eastAsia"/>
        </w:rPr>
        <w:t>3</w:t>
      </w:r>
      <w:r w:rsidRPr="00DF1EFE">
        <w:rPr>
          <w:rFonts w:hint="eastAsia"/>
        </w:rPr>
        <w:t>年度不合格率3.4</w:t>
      </w:r>
      <w:r>
        <w:rPr>
          <w:rFonts w:hint="eastAsia"/>
        </w:rPr>
        <w:t>3</w:t>
      </w:r>
      <w:r w:rsidRPr="00DF1EFE">
        <w:rPr>
          <w:rFonts w:hint="eastAsia"/>
        </w:rPr>
        <w:t>%，</w:t>
      </w:r>
      <w:r>
        <w:rPr>
          <w:rFonts w:hint="eastAsia"/>
        </w:rPr>
        <w:t>係</w:t>
      </w:r>
      <w:r w:rsidRPr="00DF1EFE">
        <w:rPr>
          <w:rFonts w:hint="eastAsia"/>
        </w:rPr>
        <w:t>110年度</w:t>
      </w:r>
      <w:r>
        <w:rPr>
          <w:rFonts w:hint="eastAsia"/>
        </w:rPr>
        <w:t>以來最高</w:t>
      </w:r>
      <w:r w:rsidRPr="00DF1EFE">
        <w:rPr>
          <w:rFonts w:hint="eastAsia"/>
        </w:rPr>
        <w:t>（詳表</w:t>
      </w:r>
      <w:r>
        <w:t>2</w:t>
      </w:r>
      <w:r w:rsidRPr="00DF1EFE">
        <w:rPr>
          <w:rFonts w:hint="eastAsia"/>
        </w:rPr>
        <w:t>）。</w:t>
      </w:r>
      <w:r>
        <w:rPr>
          <w:rFonts w:hint="eastAsia"/>
        </w:rPr>
        <w:t>另</w:t>
      </w:r>
      <w:r w:rsidRPr="00DF1EFE">
        <w:rPr>
          <w:rFonts w:hint="eastAsia"/>
        </w:rPr>
        <w:t>為強化高風險管理，</w:t>
      </w:r>
      <w:r>
        <w:rPr>
          <w:rFonts w:hint="eastAsia"/>
        </w:rPr>
        <w:t>並</w:t>
      </w:r>
      <w:r w:rsidRPr="00DF1EFE">
        <w:rPr>
          <w:rFonts w:hint="eastAsia"/>
        </w:rPr>
        <w:t>依據前1年度蔬果農藥殘留檢驗不合格結果及其風險程度，調整年度各項作物之抽樣地點、作物別及件數</w:t>
      </w:r>
      <w:r>
        <w:rPr>
          <w:rFonts w:hAnsi="標楷體" w:hint="eastAsia"/>
        </w:rPr>
        <w:t>，</w:t>
      </w:r>
      <w:r w:rsidRPr="007068C5">
        <w:rPr>
          <w:rFonts w:hAnsi="標楷體" w:hint="eastAsia"/>
        </w:rPr>
        <w:t>110至11</w:t>
      </w:r>
      <w:r>
        <w:rPr>
          <w:rFonts w:hAnsi="標楷體" w:hint="eastAsia"/>
        </w:rPr>
        <w:t>3</w:t>
      </w:r>
      <w:r w:rsidRPr="007068C5">
        <w:rPr>
          <w:rFonts w:hAnsi="標楷體" w:hint="eastAsia"/>
        </w:rPr>
        <w:t>年度</w:t>
      </w:r>
      <w:r>
        <w:rPr>
          <w:rFonts w:hAnsi="標楷體" w:hint="eastAsia"/>
        </w:rPr>
        <w:t>針對</w:t>
      </w:r>
      <w:r w:rsidRPr="007068C5">
        <w:rPr>
          <w:rFonts w:hAnsi="標楷體" w:hint="eastAsia"/>
        </w:rPr>
        <w:t>農藥殘留高風險蔬菜</w:t>
      </w:r>
      <w:r>
        <w:rPr>
          <w:rFonts w:hint="eastAsia"/>
        </w:rPr>
        <w:t>抽驗件數</w:t>
      </w:r>
      <w:r w:rsidRPr="00CC11F4">
        <w:rPr>
          <w:rFonts w:hint="eastAsia"/>
        </w:rPr>
        <w:t>介於</w:t>
      </w:r>
      <w:r>
        <w:rPr>
          <w:rFonts w:hint="eastAsia"/>
        </w:rPr>
        <w:t>2</w:t>
      </w:r>
      <w:r w:rsidRPr="00CC11F4">
        <w:rPr>
          <w:rFonts w:hint="eastAsia"/>
        </w:rPr>
        <w:t>,</w:t>
      </w:r>
      <w:r>
        <w:rPr>
          <w:rFonts w:hint="eastAsia"/>
        </w:rPr>
        <w:t>110</w:t>
      </w:r>
      <w:r w:rsidRPr="00CC11F4">
        <w:rPr>
          <w:rFonts w:hint="eastAsia"/>
        </w:rPr>
        <w:t>至</w:t>
      </w:r>
      <w:r>
        <w:rPr>
          <w:rFonts w:hint="eastAsia"/>
        </w:rPr>
        <w:t>2</w:t>
      </w:r>
      <w:r w:rsidRPr="00CC11F4">
        <w:rPr>
          <w:rFonts w:hint="eastAsia"/>
        </w:rPr>
        <w:t>,</w:t>
      </w:r>
      <w:r>
        <w:rPr>
          <w:rFonts w:hint="eastAsia"/>
        </w:rPr>
        <w:t>638</w:t>
      </w:r>
      <w:r w:rsidRPr="00CC11F4">
        <w:rPr>
          <w:rFonts w:hint="eastAsia"/>
        </w:rPr>
        <w:t>件之間</w:t>
      </w:r>
      <w:r w:rsidRPr="007068C5">
        <w:rPr>
          <w:rFonts w:hint="eastAsia"/>
        </w:rPr>
        <w:t>；11</w:t>
      </w:r>
      <w:r>
        <w:rPr>
          <w:rFonts w:hint="eastAsia"/>
        </w:rPr>
        <w:t>3</w:t>
      </w:r>
      <w:r w:rsidRPr="007068C5">
        <w:rPr>
          <w:rFonts w:hint="eastAsia"/>
        </w:rPr>
        <w:t>年度抽驗之不合格案件計</w:t>
      </w:r>
      <w:r>
        <w:rPr>
          <w:rFonts w:hint="eastAsia"/>
        </w:rPr>
        <w:t>169</w:t>
      </w:r>
      <w:r w:rsidRPr="007068C5">
        <w:rPr>
          <w:rFonts w:hint="eastAsia"/>
        </w:rPr>
        <w:t>件，</w:t>
      </w:r>
      <w:r w:rsidR="00C066E7">
        <w:rPr>
          <w:rFonts w:hint="eastAsia"/>
        </w:rPr>
        <w:t>較</w:t>
      </w:r>
      <w:r w:rsidRPr="007068C5">
        <w:rPr>
          <w:rFonts w:hint="eastAsia"/>
        </w:rPr>
        <w:t>110年度之</w:t>
      </w:r>
      <w:r>
        <w:rPr>
          <w:rFonts w:hint="eastAsia"/>
        </w:rPr>
        <w:t>122</w:t>
      </w:r>
      <w:r w:rsidRPr="007068C5">
        <w:rPr>
          <w:rFonts w:hint="eastAsia"/>
        </w:rPr>
        <w:t>件增加</w:t>
      </w:r>
      <w:r>
        <w:rPr>
          <w:rFonts w:hint="eastAsia"/>
        </w:rPr>
        <w:t>47</w:t>
      </w:r>
      <w:r w:rsidRPr="007068C5">
        <w:rPr>
          <w:rFonts w:hint="eastAsia"/>
        </w:rPr>
        <w:t>件，增幅</w:t>
      </w:r>
      <w:r>
        <w:rPr>
          <w:rFonts w:hint="eastAsia"/>
        </w:rPr>
        <w:t>38</w:t>
      </w:r>
      <w:r w:rsidRPr="007068C5">
        <w:rPr>
          <w:rFonts w:hint="eastAsia"/>
        </w:rPr>
        <w:t>.</w:t>
      </w:r>
      <w:r>
        <w:rPr>
          <w:rFonts w:hint="eastAsia"/>
        </w:rPr>
        <w:t>52</w:t>
      </w:r>
      <w:r w:rsidRPr="007068C5">
        <w:rPr>
          <w:rFonts w:hint="eastAsia"/>
        </w:rPr>
        <w:t>%；11</w:t>
      </w:r>
      <w:r>
        <w:rPr>
          <w:rFonts w:hint="eastAsia"/>
        </w:rPr>
        <w:t>3</w:t>
      </w:r>
      <w:r w:rsidRPr="007068C5">
        <w:rPr>
          <w:rFonts w:hint="eastAsia"/>
        </w:rPr>
        <w:t>年度不合格率</w:t>
      </w:r>
      <w:r>
        <w:rPr>
          <w:rFonts w:hint="eastAsia"/>
        </w:rPr>
        <w:t>6</w:t>
      </w:r>
      <w:r w:rsidRPr="007068C5">
        <w:rPr>
          <w:rFonts w:hint="eastAsia"/>
        </w:rPr>
        <w:t>.</w:t>
      </w:r>
      <w:r>
        <w:rPr>
          <w:rFonts w:hint="eastAsia"/>
        </w:rPr>
        <w:t>70</w:t>
      </w:r>
      <w:r w:rsidRPr="007068C5">
        <w:rPr>
          <w:rFonts w:hint="eastAsia"/>
        </w:rPr>
        <w:t>%，</w:t>
      </w:r>
      <w:r w:rsidR="00C066E7" w:rsidRPr="00C066E7">
        <w:rPr>
          <w:rFonts w:hint="eastAsia"/>
        </w:rPr>
        <w:t>亦為自</w:t>
      </w:r>
      <w:r w:rsidRPr="007068C5">
        <w:rPr>
          <w:rFonts w:hint="eastAsia"/>
        </w:rPr>
        <w:t>1</w:t>
      </w:r>
      <w:r>
        <w:rPr>
          <w:rFonts w:hint="eastAsia"/>
        </w:rPr>
        <w:t>10</w:t>
      </w:r>
      <w:r w:rsidRPr="007068C5">
        <w:rPr>
          <w:rFonts w:hint="eastAsia"/>
        </w:rPr>
        <w:t>年度</w:t>
      </w:r>
      <w:r>
        <w:rPr>
          <w:rFonts w:hint="eastAsia"/>
        </w:rPr>
        <w:t>以來最高(詳表3)</w:t>
      </w:r>
      <w:r w:rsidRPr="00DF1EFE">
        <w:rPr>
          <w:rFonts w:hint="eastAsia"/>
        </w:rPr>
        <w:t>，允宜</w:t>
      </w:r>
      <w:r>
        <w:rPr>
          <w:rFonts w:hint="eastAsia"/>
        </w:rPr>
        <w:t>加強</w:t>
      </w:r>
      <w:r w:rsidRPr="00DF1EFE">
        <w:rPr>
          <w:rFonts w:hint="eastAsia"/>
        </w:rPr>
        <w:t>落實執行高風險蔬果農藥殘留抽驗作業，提升風險管理成效。</w:t>
      </w:r>
    </w:p>
    <w:p w:rsidR="007068C5" w:rsidRDefault="007068C5" w:rsidP="00025425">
      <w:pPr>
        <w:pStyle w:val="142"/>
        <w:ind w:leftChars="-69" w:left="1" w:rightChars="-150" w:right="-425" w:hangingChars="69" w:hanging="196"/>
        <w:rPr>
          <w:rFonts w:hint="eastAsia"/>
        </w:rPr>
      </w:pPr>
      <w:r w:rsidRPr="007068C5">
        <w:rPr>
          <w:rFonts w:hint="eastAsia"/>
          <w:b/>
          <w:color w:val="000000"/>
          <w:sz w:val="28"/>
        </w:rPr>
        <w:t>表2</w:t>
      </w:r>
      <w:r w:rsidRPr="007068C5">
        <w:rPr>
          <w:b/>
          <w:color w:val="000000"/>
          <w:sz w:val="28"/>
        </w:rPr>
        <w:t xml:space="preserve">  </w:t>
      </w:r>
      <w:r w:rsidRPr="007068C5">
        <w:rPr>
          <w:rFonts w:hint="eastAsia"/>
          <w:b/>
          <w:color w:val="000000"/>
          <w:sz w:val="28"/>
        </w:rPr>
        <w:t>近年抽驗蔬果農藥殘留不合格情形表</w:t>
      </w:r>
      <w:r w:rsidRPr="003610E1"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 xml:space="preserve">           </w:t>
      </w:r>
      <w:r w:rsidRPr="003610E1">
        <w:rPr>
          <w:color w:val="000000"/>
        </w:rPr>
        <w:t xml:space="preserve"> </w:t>
      </w:r>
      <w:r w:rsidR="00B85251">
        <w:rPr>
          <w:rFonts w:hint="eastAsia"/>
          <w:color w:val="000000"/>
        </w:rPr>
        <w:t xml:space="preserve">   </w:t>
      </w:r>
      <w:r w:rsidR="00E842BF">
        <w:rPr>
          <w:color w:val="000000"/>
        </w:rPr>
        <w:t xml:space="preserve">  </w:t>
      </w:r>
      <w:r w:rsidR="00304FA7">
        <w:rPr>
          <w:rFonts w:hint="eastAsia"/>
          <w:color w:val="000000"/>
        </w:rPr>
        <w:t xml:space="preserve">  </w:t>
      </w:r>
      <w:r w:rsidR="00B85251">
        <w:rPr>
          <w:rFonts w:hint="eastAsia"/>
          <w:color w:val="000000"/>
        </w:rPr>
        <w:t xml:space="preserve"> </w:t>
      </w:r>
      <w:r w:rsidRPr="003610E1">
        <w:rPr>
          <w:rFonts w:hint="eastAsia"/>
          <w:color w:val="000000"/>
          <w:szCs w:val="24"/>
        </w:rPr>
        <w:t>單位：件、%</w:t>
      </w:r>
    </w:p>
    <w:tbl>
      <w:tblPr>
        <w:tblW w:w="9057" w:type="dxa"/>
        <w:tblInd w:w="-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3"/>
        <w:gridCol w:w="2050"/>
        <w:gridCol w:w="2023"/>
        <w:gridCol w:w="2351"/>
      </w:tblGrid>
      <w:tr w:rsidR="007068C5" w:rsidTr="00EC13A4">
        <w:trPr>
          <w:tblHeader/>
        </w:trPr>
        <w:tc>
          <w:tcPr>
            <w:tcW w:w="2633" w:type="dxa"/>
            <w:shd w:val="clear" w:color="auto" w:fill="auto"/>
          </w:tcPr>
          <w:p w:rsidR="007068C5" w:rsidRPr="00D12262" w:rsidRDefault="007068C5" w:rsidP="007068C5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t>年度</w:t>
            </w:r>
          </w:p>
        </w:tc>
        <w:tc>
          <w:tcPr>
            <w:tcW w:w="2050" w:type="dxa"/>
            <w:shd w:val="clear" w:color="auto" w:fill="auto"/>
          </w:tcPr>
          <w:p w:rsidR="007068C5" w:rsidRPr="00D12262" w:rsidRDefault="007068C5" w:rsidP="007068C5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t>總件數</w:t>
            </w:r>
          </w:p>
        </w:tc>
        <w:tc>
          <w:tcPr>
            <w:tcW w:w="2023" w:type="dxa"/>
            <w:shd w:val="clear" w:color="auto" w:fill="auto"/>
          </w:tcPr>
          <w:p w:rsidR="007068C5" w:rsidRPr="00D12262" w:rsidRDefault="007068C5" w:rsidP="007068C5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t>不合格件數</w:t>
            </w:r>
          </w:p>
        </w:tc>
        <w:tc>
          <w:tcPr>
            <w:tcW w:w="2351" w:type="dxa"/>
            <w:shd w:val="clear" w:color="auto" w:fill="auto"/>
          </w:tcPr>
          <w:p w:rsidR="007068C5" w:rsidRPr="00D12262" w:rsidRDefault="007068C5" w:rsidP="007068C5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t>不合格率</w:t>
            </w:r>
          </w:p>
        </w:tc>
      </w:tr>
      <w:tr w:rsidR="007068C5" w:rsidRPr="00AD0D4F" w:rsidTr="00EC13A4">
        <w:tc>
          <w:tcPr>
            <w:tcW w:w="2633" w:type="dxa"/>
            <w:shd w:val="clear" w:color="auto" w:fill="auto"/>
          </w:tcPr>
          <w:p w:rsidR="007068C5" w:rsidRPr="007068C5" w:rsidRDefault="007068C5" w:rsidP="00FC6666">
            <w:pPr>
              <w:pStyle w:val="142"/>
              <w:jc w:val="center"/>
              <w:rPr>
                <w:rFonts w:hint="eastAsia"/>
              </w:rPr>
            </w:pPr>
            <w:r w:rsidRPr="007068C5">
              <w:rPr>
                <w:rFonts w:hint="eastAsia"/>
              </w:rPr>
              <w:t>110</w:t>
            </w:r>
          </w:p>
        </w:tc>
        <w:tc>
          <w:tcPr>
            <w:tcW w:w="2050" w:type="dxa"/>
            <w:shd w:val="clear" w:color="auto" w:fill="auto"/>
          </w:tcPr>
          <w:p w:rsidR="007068C5" w:rsidRPr="007068C5" w:rsidRDefault="007068C5" w:rsidP="007068C5">
            <w:pPr>
              <w:pStyle w:val="142"/>
              <w:jc w:val="right"/>
              <w:rPr>
                <w:rFonts w:hint="eastAsia"/>
              </w:rPr>
            </w:pPr>
            <w:r w:rsidRPr="007068C5">
              <w:rPr>
                <w:rFonts w:hint="eastAsia"/>
              </w:rPr>
              <w:t>14</w:t>
            </w:r>
            <w:r w:rsidRPr="007068C5">
              <w:t>,</w:t>
            </w:r>
            <w:r w:rsidRPr="007068C5">
              <w:rPr>
                <w:rFonts w:hint="eastAsia"/>
              </w:rPr>
              <w:t>190</w:t>
            </w:r>
          </w:p>
        </w:tc>
        <w:tc>
          <w:tcPr>
            <w:tcW w:w="2023" w:type="dxa"/>
            <w:shd w:val="clear" w:color="auto" w:fill="auto"/>
          </w:tcPr>
          <w:p w:rsidR="007068C5" w:rsidRPr="007068C5" w:rsidRDefault="007068C5" w:rsidP="007068C5">
            <w:pPr>
              <w:pStyle w:val="142"/>
              <w:jc w:val="right"/>
              <w:rPr>
                <w:rFonts w:hint="eastAsia"/>
              </w:rPr>
            </w:pPr>
            <w:r w:rsidRPr="007068C5">
              <w:t>417</w:t>
            </w:r>
          </w:p>
        </w:tc>
        <w:tc>
          <w:tcPr>
            <w:tcW w:w="2351" w:type="dxa"/>
            <w:shd w:val="clear" w:color="auto" w:fill="auto"/>
          </w:tcPr>
          <w:p w:rsidR="007068C5" w:rsidRPr="007068C5" w:rsidRDefault="007068C5" w:rsidP="007068C5">
            <w:pPr>
              <w:pStyle w:val="142"/>
              <w:jc w:val="right"/>
              <w:rPr>
                <w:rFonts w:hint="eastAsia"/>
              </w:rPr>
            </w:pPr>
            <w:r w:rsidRPr="007068C5">
              <w:t>2.94</w:t>
            </w:r>
          </w:p>
        </w:tc>
      </w:tr>
      <w:tr w:rsidR="007068C5" w:rsidRPr="00AD0D4F" w:rsidTr="00EC13A4">
        <w:tc>
          <w:tcPr>
            <w:tcW w:w="2633" w:type="dxa"/>
            <w:shd w:val="clear" w:color="auto" w:fill="auto"/>
          </w:tcPr>
          <w:p w:rsidR="007068C5" w:rsidRPr="007068C5" w:rsidRDefault="007068C5" w:rsidP="00FC6666">
            <w:pPr>
              <w:pStyle w:val="142"/>
              <w:jc w:val="center"/>
              <w:rPr>
                <w:rFonts w:hint="eastAsia"/>
              </w:rPr>
            </w:pPr>
            <w:r w:rsidRPr="007068C5">
              <w:rPr>
                <w:rFonts w:hint="eastAsia"/>
              </w:rPr>
              <w:t>111</w:t>
            </w:r>
          </w:p>
        </w:tc>
        <w:tc>
          <w:tcPr>
            <w:tcW w:w="2050" w:type="dxa"/>
            <w:shd w:val="clear" w:color="auto" w:fill="auto"/>
          </w:tcPr>
          <w:p w:rsidR="007068C5" w:rsidRPr="007068C5" w:rsidRDefault="007068C5" w:rsidP="007068C5">
            <w:pPr>
              <w:pStyle w:val="142"/>
              <w:jc w:val="right"/>
              <w:rPr>
                <w:rFonts w:hint="eastAsia"/>
              </w:rPr>
            </w:pPr>
            <w:r w:rsidRPr="007068C5">
              <w:rPr>
                <w:rFonts w:hint="eastAsia"/>
              </w:rPr>
              <w:t>14</w:t>
            </w:r>
            <w:r w:rsidRPr="007068C5">
              <w:t>,</w:t>
            </w:r>
            <w:r w:rsidRPr="007068C5">
              <w:rPr>
                <w:rFonts w:hint="eastAsia"/>
              </w:rPr>
              <w:t>222</w:t>
            </w:r>
          </w:p>
        </w:tc>
        <w:tc>
          <w:tcPr>
            <w:tcW w:w="2023" w:type="dxa"/>
            <w:shd w:val="clear" w:color="auto" w:fill="auto"/>
          </w:tcPr>
          <w:p w:rsidR="007068C5" w:rsidRPr="007068C5" w:rsidRDefault="007068C5" w:rsidP="007068C5">
            <w:pPr>
              <w:pStyle w:val="142"/>
              <w:jc w:val="right"/>
              <w:rPr>
                <w:rFonts w:hint="eastAsia"/>
              </w:rPr>
            </w:pPr>
            <w:r w:rsidRPr="007068C5">
              <w:rPr>
                <w:rFonts w:hint="eastAsia"/>
              </w:rPr>
              <w:t>439</w:t>
            </w:r>
          </w:p>
        </w:tc>
        <w:tc>
          <w:tcPr>
            <w:tcW w:w="2351" w:type="dxa"/>
            <w:shd w:val="clear" w:color="auto" w:fill="auto"/>
          </w:tcPr>
          <w:p w:rsidR="007068C5" w:rsidRPr="007068C5" w:rsidRDefault="007068C5" w:rsidP="007068C5">
            <w:pPr>
              <w:pStyle w:val="142"/>
              <w:jc w:val="right"/>
              <w:rPr>
                <w:rFonts w:hint="eastAsia"/>
              </w:rPr>
            </w:pPr>
            <w:r w:rsidRPr="007068C5">
              <w:rPr>
                <w:rFonts w:hint="eastAsia"/>
              </w:rPr>
              <w:t>3.09</w:t>
            </w:r>
          </w:p>
        </w:tc>
      </w:tr>
      <w:tr w:rsidR="007068C5" w:rsidTr="00EC13A4">
        <w:tc>
          <w:tcPr>
            <w:tcW w:w="2633" w:type="dxa"/>
            <w:shd w:val="clear" w:color="auto" w:fill="auto"/>
          </w:tcPr>
          <w:p w:rsidR="007068C5" w:rsidRPr="007068C5" w:rsidRDefault="007068C5" w:rsidP="00FC6666">
            <w:pPr>
              <w:pStyle w:val="142"/>
              <w:jc w:val="center"/>
              <w:rPr>
                <w:rFonts w:hint="eastAsia"/>
              </w:rPr>
            </w:pPr>
            <w:r w:rsidRPr="007068C5">
              <w:rPr>
                <w:rFonts w:hint="eastAsia"/>
              </w:rPr>
              <w:t>112</w:t>
            </w:r>
          </w:p>
        </w:tc>
        <w:tc>
          <w:tcPr>
            <w:tcW w:w="2050" w:type="dxa"/>
            <w:shd w:val="clear" w:color="auto" w:fill="auto"/>
          </w:tcPr>
          <w:p w:rsidR="007068C5" w:rsidRPr="007068C5" w:rsidRDefault="007068C5" w:rsidP="007068C5">
            <w:pPr>
              <w:pStyle w:val="142"/>
              <w:jc w:val="right"/>
              <w:rPr>
                <w:rFonts w:hint="eastAsia"/>
              </w:rPr>
            </w:pPr>
            <w:r w:rsidRPr="007068C5">
              <w:rPr>
                <w:rFonts w:hint="eastAsia"/>
              </w:rPr>
              <w:t>14</w:t>
            </w:r>
            <w:r w:rsidRPr="007068C5">
              <w:t>,</w:t>
            </w:r>
            <w:r w:rsidRPr="007068C5">
              <w:rPr>
                <w:rFonts w:hint="eastAsia"/>
              </w:rPr>
              <w:t>075</w:t>
            </w:r>
          </w:p>
        </w:tc>
        <w:tc>
          <w:tcPr>
            <w:tcW w:w="2023" w:type="dxa"/>
            <w:shd w:val="clear" w:color="auto" w:fill="auto"/>
          </w:tcPr>
          <w:p w:rsidR="007068C5" w:rsidRPr="007068C5" w:rsidRDefault="007068C5" w:rsidP="007068C5">
            <w:pPr>
              <w:pStyle w:val="142"/>
              <w:jc w:val="right"/>
              <w:rPr>
                <w:rFonts w:hint="eastAsia"/>
              </w:rPr>
            </w:pPr>
            <w:r w:rsidRPr="007068C5">
              <w:rPr>
                <w:rFonts w:hint="eastAsia"/>
              </w:rPr>
              <w:t>478</w:t>
            </w:r>
          </w:p>
        </w:tc>
        <w:tc>
          <w:tcPr>
            <w:tcW w:w="2351" w:type="dxa"/>
            <w:shd w:val="clear" w:color="auto" w:fill="auto"/>
          </w:tcPr>
          <w:p w:rsidR="007068C5" w:rsidRPr="007068C5" w:rsidRDefault="007068C5" w:rsidP="007068C5">
            <w:pPr>
              <w:pStyle w:val="142"/>
              <w:jc w:val="right"/>
              <w:rPr>
                <w:rFonts w:hint="eastAsia"/>
              </w:rPr>
            </w:pPr>
            <w:r w:rsidRPr="007068C5">
              <w:rPr>
                <w:rFonts w:hint="eastAsia"/>
              </w:rPr>
              <w:t>3.40</w:t>
            </w:r>
          </w:p>
        </w:tc>
      </w:tr>
      <w:tr w:rsidR="00304FA7" w:rsidTr="00EC13A4">
        <w:tc>
          <w:tcPr>
            <w:tcW w:w="2633" w:type="dxa"/>
            <w:shd w:val="clear" w:color="auto" w:fill="auto"/>
          </w:tcPr>
          <w:p w:rsidR="00304FA7" w:rsidRPr="007068C5" w:rsidRDefault="00304FA7" w:rsidP="00FC6666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  <w:tc>
          <w:tcPr>
            <w:tcW w:w="2050" w:type="dxa"/>
            <w:shd w:val="clear" w:color="auto" w:fill="auto"/>
          </w:tcPr>
          <w:p w:rsidR="00304FA7" w:rsidRPr="007068C5" w:rsidRDefault="00304FA7" w:rsidP="00304FA7">
            <w:pPr>
              <w:pStyle w:val="142"/>
              <w:jc w:val="right"/>
              <w:rPr>
                <w:rFonts w:hint="eastAsia"/>
              </w:rPr>
            </w:pPr>
            <w:r w:rsidRPr="007068C5">
              <w:rPr>
                <w:rFonts w:hint="eastAsia"/>
              </w:rPr>
              <w:t>14</w:t>
            </w:r>
            <w:r w:rsidRPr="007068C5">
              <w:t>,</w:t>
            </w:r>
            <w:r>
              <w:rPr>
                <w:rFonts w:hint="eastAsia"/>
              </w:rPr>
              <w:t>226</w:t>
            </w:r>
          </w:p>
        </w:tc>
        <w:tc>
          <w:tcPr>
            <w:tcW w:w="2023" w:type="dxa"/>
            <w:shd w:val="clear" w:color="auto" w:fill="auto"/>
          </w:tcPr>
          <w:p w:rsidR="00304FA7" w:rsidRPr="007068C5" w:rsidRDefault="00304FA7" w:rsidP="00304FA7">
            <w:pPr>
              <w:pStyle w:val="142"/>
              <w:jc w:val="right"/>
              <w:rPr>
                <w:rFonts w:hint="eastAsia"/>
              </w:rPr>
            </w:pPr>
            <w:r w:rsidRPr="007068C5">
              <w:rPr>
                <w:rFonts w:hint="eastAsia"/>
              </w:rPr>
              <w:t>4</w:t>
            </w:r>
            <w:r>
              <w:rPr>
                <w:rFonts w:hint="eastAsia"/>
              </w:rPr>
              <w:t>8</w:t>
            </w:r>
            <w:r w:rsidRPr="007068C5">
              <w:rPr>
                <w:rFonts w:hint="eastAsia"/>
              </w:rPr>
              <w:t>8</w:t>
            </w:r>
          </w:p>
        </w:tc>
        <w:tc>
          <w:tcPr>
            <w:tcW w:w="2351" w:type="dxa"/>
            <w:shd w:val="clear" w:color="auto" w:fill="auto"/>
          </w:tcPr>
          <w:p w:rsidR="00304FA7" w:rsidRPr="007068C5" w:rsidRDefault="00304FA7" w:rsidP="00304FA7">
            <w:pPr>
              <w:pStyle w:val="142"/>
              <w:jc w:val="right"/>
              <w:rPr>
                <w:rFonts w:hint="eastAsia"/>
              </w:rPr>
            </w:pPr>
            <w:r w:rsidRPr="007068C5">
              <w:rPr>
                <w:rFonts w:hint="eastAsia"/>
              </w:rPr>
              <w:t>3.4</w:t>
            </w:r>
            <w:r>
              <w:rPr>
                <w:rFonts w:hint="eastAsia"/>
              </w:rPr>
              <w:t>3</w:t>
            </w:r>
          </w:p>
        </w:tc>
      </w:tr>
    </w:tbl>
    <w:p w:rsidR="007068C5" w:rsidRDefault="007068C5" w:rsidP="00EC13A4">
      <w:pPr>
        <w:pStyle w:val="142"/>
        <w:ind w:leftChars="-50" w:left="-1" w:hangingChars="58" w:hanging="141"/>
      </w:pPr>
      <w:r>
        <w:rPr>
          <w:rFonts w:hint="eastAsia"/>
        </w:rPr>
        <w:t>資料來源</w:t>
      </w:r>
      <w:r>
        <w:rPr>
          <w:rFonts w:hAnsi="標楷體" w:hint="eastAsia"/>
        </w:rPr>
        <w:t>：</w:t>
      </w:r>
      <w:r>
        <w:rPr>
          <w:rFonts w:hint="eastAsia"/>
        </w:rPr>
        <w:t>農糧署提供</w:t>
      </w:r>
      <w:r>
        <w:rPr>
          <w:rFonts w:hAnsi="標楷體" w:hint="eastAsia"/>
        </w:rPr>
        <w:t>。</w:t>
      </w:r>
    </w:p>
    <w:p w:rsidR="00B85251" w:rsidRPr="00B85251" w:rsidRDefault="00B85251" w:rsidP="003B4D8C">
      <w:pPr>
        <w:pStyle w:val="a4"/>
        <w:spacing w:line="400" w:lineRule="exact"/>
        <w:ind w:leftChars="-50" w:left="0" w:rightChars="-145" w:right="-411" w:hangingChars="50" w:hanging="142"/>
        <w:jc w:val="left"/>
        <w:rPr>
          <w:rFonts w:hAnsi="標楷體" w:hint="eastAsia"/>
        </w:rPr>
      </w:pPr>
      <w:r w:rsidRPr="00A069DA">
        <w:rPr>
          <w:rFonts w:hint="eastAsia"/>
          <w:b/>
        </w:rPr>
        <w:t>表</w:t>
      </w:r>
      <w:r w:rsidR="00EC13A4">
        <w:rPr>
          <w:rFonts w:hint="eastAsia"/>
          <w:b/>
        </w:rPr>
        <w:t>3</w:t>
      </w:r>
      <w:r w:rsidRPr="00A069DA">
        <w:rPr>
          <w:b/>
        </w:rPr>
        <w:t xml:space="preserve">  </w:t>
      </w:r>
      <w:r w:rsidR="00CC11F4" w:rsidRPr="00CC11F4">
        <w:rPr>
          <w:rFonts w:hint="eastAsia"/>
          <w:b/>
        </w:rPr>
        <w:t>近年</w:t>
      </w:r>
      <w:r w:rsidRPr="004015C3">
        <w:rPr>
          <w:rFonts w:ascii="Times New Roman"/>
          <w:b/>
          <w:color w:val="000000"/>
        </w:rPr>
        <w:t>高風險蔬果農藥殘留</w:t>
      </w:r>
      <w:r>
        <w:rPr>
          <w:rFonts w:ascii="Times New Roman" w:hint="eastAsia"/>
          <w:b/>
          <w:color w:val="000000"/>
        </w:rPr>
        <w:t>預計</w:t>
      </w:r>
      <w:r w:rsidRPr="004015C3">
        <w:rPr>
          <w:rFonts w:ascii="Times New Roman"/>
          <w:b/>
          <w:color w:val="000000"/>
        </w:rPr>
        <w:t>抽驗件數</w:t>
      </w:r>
      <w:r>
        <w:rPr>
          <w:rFonts w:ascii="Times New Roman" w:hint="eastAsia"/>
          <w:b/>
          <w:color w:val="000000"/>
        </w:rPr>
        <w:t>及實際件數</w:t>
      </w:r>
      <w:r w:rsidRPr="004015C3">
        <w:rPr>
          <w:rFonts w:ascii="Times New Roman"/>
          <w:b/>
          <w:color w:val="000000"/>
        </w:rPr>
        <w:t>情形表</w:t>
      </w:r>
      <w:r w:rsidRPr="00B85251">
        <w:rPr>
          <w:rFonts w:hAnsi="標楷體"/>
          <w:color w:val="000000"/>
          <w:sz w:val="24"/>
          <w:szCs w:val="24"/>
        </w:rPr>
        <w:t>單位：件</w:t>
      </w:r>
      <w:r w:rsidRPr="00B85251">
        <w:rPr>
          <w:rFonts w:hAnsi="標楷體" w:hint="eastAsia"/>
          <w:color w:val="000000"/>
          <w:sz w:val="24"/>
          <w:szCs w:val="24"/>
        </w:rPr>
        <w:t>；%</w:t>
      </w:r>
    </w:p>
    <w:tbl>
      <w:tblPr>
        <w:tblW w:w="9031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3"/>
        <w:gridCol w:w="2045"/>
        <w:gridCol w:w="2028"/>
        <w:gridCol w:w="2305"/>
      </w:tblGrid>
      <w:tr w:rsidR="00B85251" w:rsidTr="00EC13A4">
        <w:tc>
          <w:tcPr>
            <w:tcW w:w="2653" w:type="dxa"/>
            <w:shd w:val="clear" w:color="auto" w:fill="auto"/>
          </w:tcPr>
          <w:p w:rsidR="00B85251" w:rsidRPr="00D12262" w:rsidRDefault="00B85251" w:rsidP="00B85251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t>年度</w:t>
            </w:r>
          </w:p>
        </w:tc>
        <w:tc>
          <w:tcPr>
            <w:tcW w:w="2045" w:type="dxa"/>
            <w:shd w:val="clear" w:color="auto" w:fill="auto"/>
          </w:tcPr>
          <w:p w:rsidR="00B85251" w:rsidRPr="00D12262" w:rsidRDefault="00B85251" w:rsidP="00B85251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t>總件數</w:t>
            </w:r>
          </w:p>
        </w:tc>
        <w:tc>
          <w:tcPr>
            <w:tcW w:w="2028" w:type="dxa"/>
            <w:shd w:val="clear" w:color="auto" w:fill="auto"/>
          </w:tcPr>
          <w:p w:rsidR="00B85251" w:rsidRPr="00D12262" w:rsidRDefault="00B85251" w:rsidP="00B85251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t>不合格件數</w:t>
            </w:r>
          </w:p>
        </w:tc>
        <w:tc>
          <w:tcPr>
            <w:tcW w:w="2305" w:type="dxa"/>
            <w:shd w:val="clear" w:color="auto" w:fill="auto"/>
          </w:tcPr>
          <w:p w:rsidR="00B85251" w:rsidRPr="00D12262" w:rsidRDefault="00B85251" w:rsidP="00B85251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t>不合格率</w:t>
            </w:r>
          </w:p>
        </w:tc>
      </w:tr>
      <w:tr w:rsidR="00B85251" w:rsidRPr="00AD0D4F" w:rsidTr="00EC13A4">
        <w:tc>
          <w:tcPr>
            <w:tcW w:w="2653" w:type="dxa"/>
            <w:shd w:val="clear" w:color="auto" w:fill="auto"/>
          </w:tcPr>
          <w:p w:rsidR="00B85251" w:rsidRDefault="00B85251" w:rsidP="00FC6666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110</w:t>
            </w:r>
          </w:p>
        </w:tc>
        <w:tc>
          <w:tcPr>
            <w:tcW w:w="2045" w:type="dxa"/>
            <w:shd w:val="clear" w:color="auto" w:fill="auto"/>
          </w:tcPr>
          <w:p w:rsidR="00B85251" w:rsidRPr="00627BAF" w:rsidRDefault="00B85251" w:rsidP="00B85251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627BAF">
              <w:rPr>
                <w:rFonts w:hint="eastAsia"/>
                <w:color w:val="000000"/>
              </w:rPr>
              <w:t>2</w:t>
            </w:r>
            <w:r w:rsidRPr="00627BAF">
              <w:rPr>
                <w:color w:val="000000"/>
              </w:rPr>
              <w:t>,</w:t>
            </w:r>
            <w:r w:rsidRPr="00627BAF">
              <w:rPr>
                <w:rFonts w:hint="eastAsia"/>
                <w:color w:val="000000"/>
              </w:rPr>
              <w:t>110</w:t>
            </w:r>
          </w:p>
        </w:tc>
        <w:tc>
          <w:tcPr>
            <w:tcW w:w="2028" w:type="dxa"/>
            <w:shd w:val="clear" w:color="auto" w:fill="auto"/>
          </w:tcPr>
          <w:p w:rsidR="00B85251" w:rsidRPr="00627BAF" w:rsidRDefault="00B85251" w:rsidP="00B85251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627BAF">
              <w:rPr>
                <w:rFonts w:hint="eastAsia"/>
                <w:color w:val="000000"/>
              </w:rPr>
              <w:t>122</w:t>
            </w:r>
          </w:p>
        </w:tc>
        <w:tc>
          <w:tcPr>
            <w:tcW w:w="2305" w:type="dxa"/>
            <w:shd w:val="clear" w:color="auto" w:fill="auto"/>
          </w:tcPr>
          <w:p w:rsidR="00B85251" w:rsidRPr="00627BAF" w:rsidRDefault="00B85251" w:rsidP="00B85251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627BAF">
              <w:rPr>
                <w:rFonts w:hint="eastAsia"/>
                <w:color w:val="000000"/>
              </w:rPr>
              <w:t>5.</w:t>
            </w:r>
            <w:r w:rsidRPr="00627BAF">
              <w:rPr>
                <w:color w:val="000000"/>
              </w:rPr>
              <w:t>7</w:t>
            </w:r>
            <w:r w:rsidRPr="00627BAF">
              <w:rPr>
                <w:rFonts w:hint="eastAsia"/>
                <w:color w:val="000000"/>
              </w:rPr>
              <w:t>8</w:t>
            </w:r>
          </w:p>
        </w:tc>
      </w:tr>
      <w:tr w:rsidR="00B85251" w:rsidRPr="00AD0D4F" w:rsidTr="00EC13A4">
        <w:tc>
          <w:tcPr>
            <w:tcW w:w="2653" w:type="dxa"/>
            <w:shd w:val="clear" w:color="auto" w:fill="auto"/>
          </w:tcPr>
          <w:p w:rsidR="00B85251" w:rsidRDefault="00B85251" w:rsidP="00FC6666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2045" w:type="dxa"/>
            <w:shd w:val="clear" w:color="auto" w:fill="auto"/>
          </w:tcPr>
          <w:p w:rsidR="00B85251" w:rsidRPr="00627BAF" w:rsidRDefault="00B85251" w:rsidP="00B85251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627BAF">
              <w:rPr>
                <w:rFonts w:hint="eastAsia"/>
                <w:color w:val="000000"/>
              </w:rPr>
              <w:t>2</w:t>
            </w:r>
            <w:r w:rsidRPr="00627BAF">
              <w:rPr>
                <w:color w:val="000000"/>
              </w:rPr>
              <w:t>,</w:t>
            </w:r>
            <w:r w:rsidRPr="00627BAF">
              <w:rPr>
                <w:rFonts w:hint="eastAsia"/>
                <w:color w:val="000000"/>
              </w:rPr>
              <w:t>638</w:t>
            </w:r>
          </w:p>
        </w:tc>
        <w:tc>
          <w:tcPr>
            <w:tcW w:w="2028" w:type="dxa"/>
            <w:shd w:val="clear" w:color="auto" w:fill="auto"/>
          </w:tcPr>
          <w:p w:rsidR="00B85251" w:rsidRPr="00627BAF" w:rsidRDefault="00B85251" w:rsidP="00B85251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627BAF">
              <w:rPr>
                <w:rFonts w:hint="eastAsia"/>
                <w:color w:val="000000"/>
              </w:rPr>
              <w:t>150</w:t>
            </w:r>
          </w:p>
        </w:tc>
        <w:tc>
          <w:tcPr>
            <w:tcW w:w="2305" w:type="dxa"/>
            <w:shd w:val="clear" w:color="auto" w:fill="auto"/>
          </w:tcPr>
          <w:p w:rsidR="00B85251" w:rsidRPr="00627BAF" w:rsidRDefault="00B85251" w:rsidP="00B85251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627BAF">
              <w:rPr>
                <w:rFonts w:hint="eastAsia"/>
                <w:color w:val="000000"/>
              </w:rPr>
              <w:t>5.</w:t>
            </w:r>
            <w:r w:rsidRPr="00627BAF">
              <w:rPr>
                <w:color w:val="000000"/>
              </w:rPr>
              <w:t>69</w:t>
            </w:r>
          </w:p>
        </w:tc>
      </w:tr>
      <w:tr w:rsidR="00B85251" w:rsidRPr="00AD0D4F" w:rsidTr="00EC13A4">
        <w:tc>
          <w:tcPr>
            <w:tcW w:w="2653" w:type="dxa"/>
            <w:shd w:val="clear" w:color="auto" w:fill="auto"/>
          </w:tcPr>
          <w:p w:rsidR="00B85251" w:rsidRDefault="00B85251" w:rsidP="00FC6666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2045" w:type="dxa"/>
            <w:shd w:val="clear" w:color="auto" w:fill="auto"/>
          </w:tcPr>
          <w:p w:rsidR="00B85251" w:rsidRPr="00627BAF" w:rsidRDefault="00B85251" w:rsidP="00B85251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627BAF">
              <w:rPr>
                <w:color w:val="000000"/>
              </w:rPr>
              <w:t>2,532</w:t>
            </w:r>
          </w:p>
        </w:tc>
        <w:tc>
          <w:tcPr>
            <w:tcW w:w="2028" w:type="dxa"/>
            <w:shd w:val="clear" w:color="auto" w:fill="auto"/>
          </w:tcPr>
          <w:p w:rsidR="00B85251" w:rsidRPr="00627BAF" w:rsidRDefault="00B85251" w:rsidP="00B85251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627BAF">
              <w:rPr>
                <w:rFonts w:hint="eastAsia"/>
                <w:color w:val="000000"/>
              </w:rPr>
              <w:t>149</w:t>
            </w:r>
          </w:p>
        </w:tc>
        <w:tc>
          <w:tcPr>
            <w:tcW w:w="2305" w:type="dxa"/>
            <w:shd w:val="clear" w:color="auto" w:fill="auto"/>
          </w:tcPr>
          <w:p w:rsidR="00B85251" w:rsidRPr="00627BAF" w:rsidRDefault="00B85251" w:rsidP="00B85251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627BAF">
              <w:rPr>
                <w:color w:val="000000"/>
              </w:rPr>
              <w:t>5.88</w:t>
            </w:r>
          </w:p>
        </w:tc>
      </w:tr>
      <w:tr w:rsidR="00CC11F4" w:rsidRPr="00AD0D4F" w:rsidTr="00EC13A4">
        <w:tc>
          <w:tcPr>
            <w:tcW w:w="2653" w:type="dxa"/>
            <w:shd w:val="clear" w:color="auto" w:fill="auto"/>
          </w:tcPr>
          <w:p w:rsidR="00CC11F4" w:rsidRDefault="00CC11F4" w:rsidP="00FC6666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  <w:tc>
          <w:tcPr>
            <w:tcW w:w="2045" w:type="dxa"/>
            <w:shd w:val="clear" w:color="auto" w:fill="auto"/>
          </w:tcPr>
          <w:p w:rsidR="00CC11F4" w:rsidRPr="00627BAF" w:rsidRDefault="00CC11F4" w:rsidP="00CC11F4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627BAF">
              <w:rPr>
                <w:color w:val="000000"/>
              </w:rPr>
              <w:t>2,5</w:t>
            </w:r>
            <w:r>
              <w:rPr>
                <w:rFonts w:hint="eastAsia"/>
                <w:color w:val="000000"/>
              </w:rPr>
              <w:t>24</w:t>
            </w:r>
          </w:p>
        </w:tc>
        <w:tc>
          <w:tcPr>
            <w:tcW w:w="2028" w:type="dxa"/>
            <w:shd w:val="clear" w:color="auto" w:fill="auto"/>
          </w:tcPr>
          <w:p w:rsidR="00CC11F4" w:rsidRPr="00627BAF" w:rsidRDefault="00CC11F4" w:rsidP="00CC11F4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627BAF"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69</w:t>
            </w:r>
          </w:p>
        </w:tc>
        <w:tc>
          <w:tcPr>
            <w:tcW w:w="2305" w:type="dxa"/>
            <w:shd w:val="clear" w:color="auto" w:fill="auto"/>
          </w:tcPr>
          <w:p w:rsidR="00CC11F4" w:rsidRPr="00627BAF" w:rsidRDefault="00CC11F4" w:rsidP="00CC11F4">
            <w:pPr>
              <w:pStyle w:val="142"/>
              <w:jc w:val="right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  <w:r w:rsidRPr="00627BAF">
              <w:rPr>
                <w:color w:val="000000"/>
              </w:rPr>
              <w:t>.</w:t>
            </w:r>
            <w:r>
              <w:rPr>
                <w:rFonts w:hint="eastAsia"/>
                <w:color w:val="000000"/>
              </w:rPr>
              <w:t>70</w:t>
            </w:r>
          </w:p>
        </w:tc>
      </w:tr>
    </w:tbl>
    <w:p w:rsidR="00B85251" w:rsidRDefault="00B85251" w:rsidP="00EC13A4">
      <w:pPr>
        <w:pStyle w:val="142"/>
        <w:ind w:leftChars="-50" w:left="-1" w:hangingChars="58" w:hanging="141"/>
      </w:pPr>
      <w:r>
        <w:rPr>
          <w:rFonts w:hint="eastAsia"/>
        </w:rPr>
        <w:t>資料來源</w:t>
      </w:r>
      <w:r>
        <w:rPr>
          <w:rFonts w:hAnsi="標楷體" w:hint="eastAsia"/>
        </w:rPr>
        <w:t>：</w:t>
      </w:r>
      <w:r>
        <w:rPr>
          <w:rFonts w:hint="eastAsia"/>
        </w:rPr>
        <w:t>農糧署提供</w:t>
      </w:r>
      <w:r>
        <w:rPr>
          <w:rFonts w:hAnsi="標楷體" w:hint="eastAsia"/>
        </w:rPr>
        <w:t>。</w:t>
      </w:r>
    </w:p>
    <w:p w:rsidR="007F4AA3" w:rsidRDefault="007F4AA3" w:rsidP="007F4AA3">
      <w:pPr>
        <w:spacing w:line="480" w:lineRule="exact"/>
        <w:ind w:left="566" w:firstLine="566"/>
        <w:rPr>
          <w:rFonts w:hint="eastAsia"/>
        </w:rPr>
      </w:pPr>
      <w:r w:rsidRPr="009A5149">
        <w:rPr>
          <w:rFonts w:hint="eastAsia"/>
        </w:rPr>
        <w:t>綜上，農糧署11</w:t>
      </w:r>
      <w:r>
        <w:rPr>
          <w:rFonts w:hint="eastAsia"/>
        </w:rPr>
        <w:t>5</w:t>
      </w:r>
      <w:r w:rsidRPr="009A5149">
        <w:rPr>
          <w:rFonts w:hint="eastAsia"/>
        </w:rPr>
        <w:t>年度預算案於</w:t>
      </w:r>
      <w:r w:rsidRPr="00B71E8D">
        <w:rPr>
          <w:rFonts w:hint="eastAsia"/>
        </w:rPr>
        <w:t>「農糧管理-農業資源管理」工作計畫項下</w:t>
      </w:r>
      <w:r>
        <w:rPr>
          <w:rFonts w:hint="eastAsia"/>
        </w:rPr>
        <w:t>編列</w:t>
      </w:r>
      <w:r w:rsidRPr="00B71E8D">
        <w:rPr>
          <w:rFonts w:hint="eastAsia"/>
        </w:rPr>
        <w:t>「建構高效智慧化農糧產品安全管理體系計畫」</w:t>
      </w:r>
      <w:r>
        <w:rPr>
          <w:rFonts w:hint="eastAsia"/>
        </w:rPr>
        <w:t>2</w:t>
      </w:r>
      <w:r w:rsidRPr="00B71E8D">
        <w:rPr>
          <w:rFonts w:hint="eastAsia"/>
        </w:rPr>
        <w:t>億</w:t>
      </w:r>
      <w:r>
        <w:rPr>
          <w:rFonts w:hint="eastAsia"/>
        </w:rPr>
        <w:t>970</w:t>
      </w:r>
      <w:r w:rsidRPr="00B71E8D">
        <w:rPr>
          <w:rFonts w:hint="eastAsia"/>
        </w:rPr>
        <w:t>萬元</w:t>
      </w:r>
      <w:r w:rsidRPr="009A5149">
        <w:rPr>
          <w:rFonts w:hint="eastAsia"/>
        </w:rPr>
        <w:t>，</w:t>
      </w:r>
      <w:r>
        <w:rPr>
          <w:rFonts w:hint="eastAsia"/>
        </w:rPr>
        <w:t>惟近4年度(110至113年度)</w:t>
      </w:r>
      <w:r w:rsidRPr="009A5149">
        <w:rPr>
          <w:rFonts w:hint="eastAsia"/>
        </w:rPr>
        <w:t>蔬果殘留農藥含量超過安全容許標準之農藥違規案件逐年攀升，</w:t>
      </w:r>
      <w:r>
        <w:rPr>
          <w:rFonts w:hint="eastAsia"/>
        </w:rPr>
        <w:t>允宜加強</w:t>
      </w:r>
      <w:r w:rsidRPr="009A5149">
        <w:rPr>
          <w:rFonts w:hint="eastAsia"/>
        </w:rPr>
        <w:t>落實高風險蔬果農藥殘留抽驗作業</w:t>
      </w:r>
      <w:r>
        <w:rPr>
          <w:rFonts w:hAnsi="標楷體" w:hint="eastAsia"/>
        </w:rPr>
        <w:t>，並廣為宣導農民安全使用農藥，</w:t>
      </w:r>
      <w:r>
        <w:rPr>
          <w:rFonts w:hint="eastAsia"/>
        </w:rPr>
        <w:t>以維糧食安全</w:t>
      </w:r>
      <w:r w:rsidRPr="009A5149">
        <w:rPr>
          <w:rFonts w:hint="eastAsia"/>
        </w:rPr>
        <w:t>。</w:t>
      </w:r>
    </w:p>
    <w:sectPr w:rsidR="007F4AA3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960EF2" w:rsidRPr="00960EF2">
      <w:rPr>
        <w:noProof/>
        <w:lang w:val="zh-TW"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0EF2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BA475A3-0A74-40BB-BC08-08638D898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0D299-E323-4CDA-9E22-801226423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460</Words>
  <Characters>2627</Characters>
  <Application>Microsoft Office Word</Application>
  <DocSecurity>0</DocSecurity>
  <Lines>21</Lines>
  <Paragraphs>6</Paragraphs>
  <ScaleCrop>false</ScaleCrop>
  <Company>HOME</Company>
  <LinksUpToDate>false</LinksUpToDate>
  <CharactersWithSpaces>3081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