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A21" w:rsidRDefault="00B64A21" w:rsidP="00D86BBB">
      <w:pPr>
        <w:pStyle w:val="14"/>
        <w:ind w:left="482" w:hangingChars="170" w:hanging="482"/>
      </w:pPr>
      <w:bookmarkStart w:id="0" w:name="_Toc214186177"/>
      <w:bookmarkStart w:id="1" w:name="_GoBack"/>
      <w:bookmarkEnd w:id="1"/>
      <w:r>
        <w:rPr>
          <w:rFonts w:hint="eastAsia"/>
        </w:rPr>
        <w:t>三、</w:t>
      </w:r>
      <w:r w:rsidRPr="00F5466E">
        <w:rPr>
          <w:rFonts w:hint="eastAsia"/>
          <w:spacing w:val="-1"/>
        </w:rPr>
        <w:t>近年我國中央政府長短期債務實際數持續攀升，加以少子高齡化現象漸趨明顯，人口紅利亦預估於117年結束，恐衝擊未來勞動供給人力及償債能力，允宜</w:t>
      </w:r>
      <w:r>
        <w:rPr>
          <w:rFonts w:hint="eastAsia"/>
          <w:spacing w:val="-1"/>
        </w:rPr>
        <w:t>研謀</w:t>
      </w:r>
      <w:r w:rsidRPr="00F5466E">
        <w:rPr>
          <w:rFonts w:hint="eastAsia"/>
          <w:spacing w:val="-1"/>
        </w:rPr>
        <w:t>未來償債因應之策</w:t>
      </w:r>
      <w:bookmarkEnd w:id="0"/>
    </w:p>
    <w:p w:rsidR="00B64A21" w:rsidRDefault="00B64A21" w:rsidP="00D86BBB">
      <w:pPr>
        <w:ind w:left="566" w:firstLine="566"/>
      </w:pPr>
      <w:r>
        <w:rPr>
          <w:rFonts w:hint="eastAsia"/>
        </w:rPr>
        <w:t>依113年度中央政府總決算審核報告，截至113年底止，中央政府1年以上公共債務未償餘額審定決算數為6兆1,490億元，較112年度之6兆581億</w:t>
      </w:r>
      <w:r w:rsidRPr="0047409D">
        <w:rPr>
          <w:rFonts w:hint="eastAsia"/>
        </w:rPr>
        <w:t>元，增加909億元(增幅1.5%)。另109年度我國人口首度出現負成長，較108年度減少4萬1,885人，且近年人口數呈下降趨勢，</w:t>
      </w:r>
      <w:r>
        <w:rPr>
          <w:rFonts w:hint="eastAsia"/>
        </w:rPr>
        <w:t>國家發展委員會</w:t>
      </w:r>
      <w:r w:rsidRPr="0047409D">
        <w:rPr>
          <w:rFonts w:hAnsi="標楷體" w:cs="標楷體" w:hint="eastAsia"/>
        </w:rPr>
        <w:t>預估人口紅利</w:t>
      </w:r>
      <w:r>
        <w:rPr>
          <w:rFonts w:hAnsi="標楷體" w:cs="標楷體" w:hint="eastAsia"/>
        </w:rPr>
        <w:t>將</w:t>
      </w:r>
      <w:r w:rsidRPr="0047409D">
        <w:rPr>
          <w:rFonts w:hAnsi="標楷體" w:cs="標楷體" w:hint="eastAsia"/>
        </w:rPr>
        <w:t>於117年結束，</w:t>
      </w:r>
      <w:r>
        <w:rPr>
          <w:rFonts w:hint="eastAsia"/>
        </w:rPr>
        <w:t>恐衝擊我國未來勞動供給人力及償債能力。經查：</w:t>
      </w:r>
    </w:p>
    <w:p w:rsidR="00B64A21" w:rsidRPr="0060232F" w:rsidRDefault="00B64A21" w:rsidP="00D86BBB">
      <w:pPr>
        <w:pStyle w:val="a6"/>
        <w:ind w:left="849" w:hanging="283"/>
        <w:rPr>
          <w:rFonts w:hAnsi="標楷體" w:cs="標楷體"/>
          <w:b/>
          <w:bCs/>
        </w:rPr>
      </w:pPr>
      <w:r>
        <w:rPr>
          <w:rFonts w:hAnsi="標楷體" w:cs="標楷體" w:hint="eastAsia"/>
          <w:b/>
          <w:bCs/>
        </w:rPr>
        <w:t>(一)</w:t>
      </w:r>
      <w:r>
        <w:rPr>
          <w:rFonts w:hint="eastAsia"/>
          <w:b/>
        </w:rPr>
        <w:t>我國</w:t>
      </w:r>
      <w:r w:rsidRPr="00413A50">
        <w:rPr>
          <w:rFonts w:hint="eastAsia"/>
          <w:b/>
        </w:rPr>
        <w:t>中央政府</w:t>
      </w:r>
      <w:r>
        <w:rPr>
          <w:rFonts w:hint="eastAsia"/>
          <w:b/>
        </w:rPr>
        <w:t>長短期</w:t>
      </w:r>
      <w:bookmarkStart w:id="2" w:name="_Hlk214006444"/>
      <w:r w:rsidRPr="00D2119A">
        <w:rPr>
          <w:rFonts w:hint="eastAsia"/>
          <w:b/>
        </w:rPr>
        <w:t>債務</w:t>
      </w:r>
      <w:r>
        <w:rPr>
          <w:rFonts w:hint="eastAsia"/>
          <w:b/>
        </w:rPr>
        <w:t>實際數</w:t>
      </w:r>
      <w:bookmarkEnd w:id="2"/>
      <w:r w:rsidRPr="00D2119A">
        <w:rPr>
          <w:rFonts w:hint="eastAsia"/>
          <w:b/>
        </w:rPr>
        <w:t>持續攀升</w:t>
      </w:r>
      <w:r>
        <w:rPr>
          <w:rFonts w:hint="eastAsia"/>
          <w:b/>
        </w:rPr>
        <w:t>，自111年底迄今累計增加1,731億元，平均每人負擔債務亦上升0.6萬元</w:t>
      </w:r>
    </w:p>
    <w:p w:rsidR="00B64A21" w:rsidRDefault="00B64A21" w:rsidP="00D86BBB">
      <w:pPr>
        <w:pStyle w:val="123"/>
        <w:ind w:left="1133" w:hanging="283"/>
      </w:pPr>
      <w:r>
        <w:rPr>
          <w:rFonts w:hint="eastAsia"/>
        </w:rPr>
        <w:t>1</w:t>
      </w:r>
      <w:r>
        <w:t>.</w:t>
      </w:r>
      <w:r w:rsidRPr="0069337D">
        <w:rPr>
          <w:rFonts w:hAnsi="標楷體" w:hint="eastAsia"/>
        </w:rPr>
        <w:t>我國</w:t>
      </w:r>
      <w:r>
        <w:rPr>
          <w:rFonts w:hAnsi="標楷體" w:hint="eastAsia"/>
        </w:rPr>
        <w:t>近</w:t>
      </w:r>
      <w:r w:rsidRPr="0069337D">
        <w:rPr>
          <w:rFonts w:hAnsi="標楷體" w:hint="eastAsia"/>
        </w:rPr>
        <w:t>年陸續執行「中央政府新式戰機採購(109至115年度)」、「中央政府海空戰力提升計畫採購(111至115年度)」、「</w:t>
      </w:r>
      <w:r w:rsidRPr="00F15B55">
        <w:rPr>
          <w:rFonts w:hAnsi="標楷體" w:hint="eastAsia"/>
        </w:rPr>
        <w:t>中央政府疫後強化經濟與社會韌性及全民共享經濟成果</w:t>
      </w:r>
      <w:r w:rsidRPr="0069337D">
        <w:rPr>
          <w:rFonts w:hAnsi="標楷體" w:hint="eastAsia"/>
        </w:rPr>
        <w:t>(112至114年度)」、「中央政府前瞻基礎建設計畫第5期(114年度)」</w:t>
      </w:r>
      <w:r>
        <w:rPr>
          <w:rFonts w:hAnsi="標楷體" w:hint="eastAsia"/>
        </w:rPr>
        <w:t>、</w:t>
      </w:r>
      <w:r w:rsidRPr="0069337D">
        <w:rPr>
          <w:rFonts w:hAnsi="標楷體" w:hint="eastAsia"/>
        </w:rPr>
        <w:t>「中央政府丹娜絲颱風及七二八豪雨災後復原重建(114至116年度)」</w:t>
      </w:r>
      <w:r>
        <w:rPr>
          <w:rFonts w:hAnsi="標楷體" w:hint="eastAsia"/>
        </w:rPr>
        <w:t>、「</w:t>
      </w:r>
      <w:r w:rsidRPr="00F15B55">
        <w:rPr>
          <w:rFonts w:hAnsi="標楷體" w:hint="eastAsia"/>
        </w:rPr>
        <w:t>中央政府因應國際情勢強化經濟社會及民生國安韌性</w:t>
      </w:r>
      <w:r w:rsidRPr="0069337D">
        <w:rPr>
          <w:rFonts w:hAnsi="標楷體" w:hint="eastAsia"/>
        </w:rPr>
        <w:t>(114至116年度)」</w:t>
      </w:r>
      <w:r>
        <w:rPr>
          <w:rFonts w:hAnsi="標楷體" w:hint="eastAsia"/>
        </w:rPr>
        <w:t>等特別預算</w:t>
      </w:r>
      <w:r>
        <w:rPr>
          <w:rFonts w:hint="eastAsia"/>
        </w:rPr>
        <w:t>，雖依公共債務法規定辦理債務償還，惟</w:t>
      </w:r>
      <w:r w:rsidRPr="00DC67FD">
        <w:rPr>
          <w:rFonts w:hint="eastAsia"/>
        </w:rPr>
        <w:t>債務實際數</w:t>
      </w:r>
      <w:r>
        <w:rPr>
          <w:rFonts w:hint="eastAsia"/>
        </w:rPr>
        <w:t>仍持續攀升。</w:t>
      </w:r>
    </w:p>
    <w:p w:rsidR="00B64A21" w:rsidRDefault="00B64A21" w:rsidP="00D86BBB">
      <w:pPr>
        <w:pStyle w:val="123"/>
        <w:ind w:left="1133" w:hanging="283"/>
      </w:pPr>
      <w:r>
        <w:rPr>
          <w:rFonts w:hint="eastAsia"/>
        </w:rPr>
        <w:t>2.從近年財政部公布國債鐘數據以觀(詳表1)，</w:t>
      </w:r>
      <w:r w:rsidRPr="00D2119A">
        <w:rPr>
          <w:rFonts w:hint="eastAsia"/>
        </w:rPr>
        <w:t>截至1</w:t>
      </w:r>
      <w:r>
        <w:rPr>
          <w:rFonts w:hint="eastAsia"/>
        </w:rPr>
        <w:t>11</w:t>
      </w:r>
      <w:r w:rsidRPr="00D2119A">
        <w:rPr>
          <w:rFonts w:hint="eastAsia"/>
        </w:rPr>
        <w:t>年</w:t>
      </w:r>
      <w:r>
        <w:rPr>
          <w:rFonts w:hint="eastAsia"/>
        </w:rPr>
        <w:t>底止，</w:t>
      </w:r>
      <w:r w:rsidRPr="00D2119A">
        <w:rPr>
          <w:rFonts w:hint="eastAsia"/>
        </w:rPr>
        <w:t>中央政府1年以上</w:t>
      </w:r>
      <w:r>
        <w:rPr>
          <w:rFonts w:hint="eastAsia"/>
        </w:rPr>
        <w:t>公共債務(下稱長期債務)、未滿1年短期</w:t>
      </w:r>
      <w:r w:rsidRPr="00D2119A">
        <w:rPr>
          <w:rFonts w:hint="eastAsia"/>
        </w:rPr>
        <w:t>債務</w:t>
      </w:r>
      <w:r>
        <w:rPr>
          <w:rFonts w:hint="eastAsia"/>
        </w:rPr>
        <w:t>(下稱短期債務)之實際數分別為</w:t>
      </w:r>
      <w:r w:rsidRPr="00D2119A">
        <w:rPr>
          <w:rFonts w:hint="eastAsia"/>
        </w:rPr>
        <w:t>5</w:t>
      </w:r>
      <w:r>
        <w:rPr>
          <w:rFonts w:hint="eastAsia"/>
        </w:rPr>
        <w:t>兆6</w:t>
      </w:r>
      <w:r w:rsidRPr="00D2119A">
        <w:rPr>
          <w:rFonts w:hint="eastAsia"/>
        </w:rPr>
        <w:t>,</w:t>
      </w:r>
      <w:r>
        <w:rPr>
          <w:rFonts w:hint="eastAsia"/>
        </w:rPr>
        <w:t>998</w:t>
      </w:r>
      <w:r w:rsidRPr="00D2119A">
        <w:rPr>
          <w:rFonts w:hint="eastAsia"/>
        </w:rPr>
        <w:t xml:space="preserve"> 億元</w:t>
      </w:r>
      <w:r>
        <w:rPr>
          <w:rFonts w:hint="eastAsia"/>
        </w:rPr>
        <w:t>、30</w:t>
      </w:r>
      <w:r w:rsidRPr="00D2119A">
        <w:rPr>
          <w:rFonts w:hint="eastAsia"/>
        </w:rPr>
        <w:t>0億元</w:t>
      </w:r>
      <w:r>
        <w:rPr>
          <w:rFonts w:hint="eastAsia"/>
        </w:rPr>
        <w:t>，</w:t>
      </w:r>
      <w:r w:rsidRPr="00D2119A">
        <w:rPr>
          <w:rFonts w:hint="eastAsia"/>
        </w:rPr>
        <w:t>合計5</w:t>
      </w:r>
      <w:r>
        <w:rPr>
          <w:rFonts w:hint="eastAsia"/>
        </w:rPr>
        <w:t>兆7</w:t>
      </w:r>
      <w:r w:rsidRPr="00D2119A">
        <w:rPr>
          <w:rFonts w:hint="eastAsia"/>
        </w:rPr>
        <w:t>,</w:t>
      </w:r>
      <w:r>
        <w:rPr>
          <w:rFonts w:hint="eastAsia"/>
        </w:rPr>
        <w:t>298</w:t>
      </w:r>
      <w:r w:rsidRPr="00D2119A">
        <w:rPr>
          <w:rFonts w:hint="eastAsia"/>
        </w:rPr>
        <w:t>億元</w:t>
      </w:r>
      <w:r>
        <w:rPr>
          <w:rFonts w:hint="eastAsia"/>
        </w:rPr>
        <w:t>，</w:t>
      </w:r>
      <w:r w:rsidRPr="00D2119A">
        <w:rPr>
          <w:rFonts w:hint="eastAsia"/>
        </w:rPr>
        <w:t>平均每人負擔債務2</w:t>
      </w:r>
      <w:r>
        <w:rPr>
          <w:rFonts w:hint="eastAsia"/>
        </w:rPr>
        <w:t>4.7</w:t>
      </w:r>
      <w:r w:rsidRPr="00D2119A">
        <w:rPr>
          <w:rFonts w:hint="eastAsia"/>
        </w:rPr>
        <w:t>萬元</w:t>
      </w:r>
      <w:r>
        <w:rPr>
          <w:rFonts w:hint="eastAsia"/>
        </w:rPr>
        <w:t>；112年底止，</w:t>
      </w:r>
      <w:r w:rsidRPr="00D2119A">
        <w:rPr>
          <w:rFonts w:hint="eastAsia"/>
        </w:rPr>
        <w:t>中央政府</w:t>
      </w:r>
      <w:r>
        <w:rPr>
          <w:rFonts w:hint="eastAsia"/>
        </w:rPr>
        <w:t>債務實際數增為5兆8,488億元，較111年底增加1,190億元(增幅2.08%)，</w:t>
      </w:r>
      <w:r w:rsidRPr="00D2119A">
        <w:rPr>
          <w:rFonts w:hint="eastAsia"/>
        </w:rPr>
        <w:t>平均每人負擔債務2</w:t>
      </w:r>
      <w:r>
        <w:rPr>
          <w:rFonts w:hint="eastAsia"/>
        </w:rPr>
        <w:t>5</w:t>
      </w:r>
      <w:r w:rsidRPr="00D2119A">
        <w:rPr>
          <w:rFonts w:hint="eastAsia"/>
        </w:rPr>
        <w:t>萬元</w:t>
      </w:r>
      <w:r>
        <w:rPr>
          <w:rFonts w:hint="eastAsia"/>
        </w:rPr>
        <w:t>；113年底止，</w:t>
      </w:r>
      <w:r w:rsidRPr="00D2119A">
        <w:rPr>
          <w:rFonts w:hint="eastAsia"/>
        </w:rPr>
        <w:t>中央政府</w:t>
      </w:r>
      <w:r>
        <w:rPr>
          <w:rFonts w:hint="eastAsia"/>
        </w:rPr>
        <w:t>債務實際數再增為5兆8,880</w:t>
      </w:r>
      <w:r>
        <w:rPr>
          <w:rFonts w:hint="eastAsia"/>
        </w:rPr>
        <w:lastRenderedPageBreak/>
        <w:t>億元，較112年底增加392億元(增幅0.67%)，</w:t>
      </w:r>
      <w:r w:rsidRPr="00D2119A">
        <w:rPr>
          <w:rFonts w:hint="eastAsia"/>
        </w:rPr>
        <w:t>平均每人負擔債務2</w:t>
      </w:r>
      <w:r>
        <w:rPr>
          <w:rFonts w:hint="eastAsia"/>
        </w:rPr>
        <w:t>5.2</w:t>
      </w:r>
      <w:r w:rsidRPr="00D2119A">
        <w:rPr>
          <w:rFonts w:hint="eastAsia"/>
        </w:rPr>
        <w:t>萬元</w:t>
      </w:r>
      <w:r>
        <w:rPr>
          <w:rFonts w:hint="eastAsia"/>
        </w:rPr>
        <w:t>；迄114年10月31日止，</w:t>
      </w:r>
      <w:r w:rsidRPr="00D2119A">
        <w:rPr>
          <w:rFonts w:hint="eastAsia"/>
        </w:rPr>
        <w:t>中央政府</w:t>
      </w:r>
      <w:r>
        <w:rPr>
          <w:rFonts w:hint="eastAsia"/>
        </w:rPr>
        <w:t>債務實際數再增為5兆9,029億元，</w:t>
      </w:r>
      <w:r w:rsidRPr="00D2119A">
        <w:rPr>
          <w:rFonts w:hint="eastAsia"/>
        </w:rPr>
        <w:t>平均每人負擔債務</w:t>
      </w:r>
      <w:r>
        <w:rPr>
          <w:rFonts w:hint="eastAsia"/>
        </w:rPr>
        <w:t>亦增為</w:t>
      </w:r>
      <w:r w:rsidRPr="00D2119A">
        <w:rPr>
          <w:rFonts w:hint="eastAsia"/>
        </w:rPr>
        <w:t>2</w:t>
      </w:r>
      <w:r>
        <w:rPr>
          <w:rFonts w:hint="eastAsia"/>
        </w:rPr>
        <w:t>5.3</w:t>
      </w:r>
      <w:r w:rsidRPr="00D2119A">
        <w:rPr>
          <w:rFonts w:hint="eastAsia"/>
        </w:rPr>
        <w:t>萬元</w:t>
      </w:r>
      <w:r>
        <w:rPr>
          <w:rFonts w:hint="eastAsia"/>
        </w:rPr>
        <w:t>。以上，</w:t>
      </w:r>
      <w:r w:rsidRPr="00C04163">
        <w:rPr>
          <w:rFonts w:hint="eastAsia"/>
        </w:rPr>
        <w:t>自1</w:t>
      </w:r>
      <w:r>
        <w:rPr>
          <w:rFonts w:hint="eastAsia"/>
        </w:rPr>
        <w:t>11</w:t>
      </w:r>
      <w:r w:rsidRPr="00C04163">
        <w:rPr>
          <w:rFonts w:hint="eastAsia"/>
        </w:rPr>
        <w:t>年底迄</w:t>
      </w:r>
      <w:r>
        <w:rPr>
          <w:rFonts w:hint="eastAsia"/>
        </w:rPr>
        <w:t>114年10月31日共2</w:t>
      </w:r>
      <w:r w:rsidRPr="00C04163">
        <w:rPr>
          <w:rFonts w:hint="eastAsia"/>
        </w:rPr>
        <w:t>年</w:t>
      </w:r>
      <w:r>
        <w:rPr>
          <w:rFonts w:hint="eastAsia"/>
        </w:rPr>
        <w:t>10</w:t>
      </w:r>
      <w:r w:rsidRPr="00C04163">
        <w:rPr>
          <w:rFonts w:hint="eastAsia"/>
        </w:rPr>
        <w:t>個月</w:t>
      </w:r>
      <w:r>
        <w:rPr>
          <w:rFonts w:hint="eastAsia"/>
        </w:rPr>
        <w:t>，中央政府長短期債務</w:t>
      </w:r>
      <w:r w:rsidRPr="00230C82">
        <w:rPr>
          <w:rFonts w:hint="eastAsia"/>
        </w:rPr>
        <w:t>實際數共</w:t>
      </w:r>
      <w:r>
        <w:rPr>
          <w:rFonts w:hint="eastAsia"/>
        </w:rPr>
        <w:t>增加1</w:t>
      </w:r>
      <w:r>
        <w:t>,</w:t>
      </w:r>
      <w:r>
        <w:rPr>
          <w:rFonts w:hint="eastAsia"/>
        </w:rPr>
        <w:t>731億元(增幅3.02%)，</w:t>
      </w:r>
      <w:r w:rsidRPr="00D2119A">
        <w:rPr>
          <w:rFonts w:hint="eastAsia"/>
        </w:rPr>
        <w:t>平均每人負擔債務</w:t>
      </w:r>
      <w:r>
        <w:rPr>
          <w:rFonts w:hint="eastAsia"/>
        </w:rPr>
        <w:t>亦上升0.6萬元(增幅2.43%)</w:t>
      </w:r>
      <w:r w:rsidRPr="001334F0">
        <w:rPr>
          <w:rFonts w:hint="eastAsia"/>
        </w:rPr>
        <w:t>。</w:t>
      </w:r>
    </w:p>
    <w:p w:rsidR="00B64A21" w:rsidRPr="00280AE6" w:rsidRDefault="00B64A21" w:rsidP="00D86BBB">
      <w:pPr>
        <w:pStyle w:val="123"/>
        <w:ind w:left="1133" w:hanging="283"/>
      </w:pPr>
      <w:r>
        <w:rPr>
          <w:rFonts w:hint="eastAsia"/>
        </w:rPr>
        <w:t>3.</w:t>
      </w:r>
      <w:r w:rsidRPr="00280AE6">
        <w:rPr>
          <w:rFonts w:hint="eastAsia"/>
        </w:rPr>
        <w:t>據財政部國庫署114年11月12日公布</w:t>
      </w:r>
      <w:r>
        <w:rPr>
          <w:rFonts w:hint="eastAsia"/>
        </w:rPr>
        <w:t>數據</w:t>
      </w:r>
      <w:r w:rsidRPr="00280AE6">
        <w:rPr>
          <w:rFonts w:hint="eastAsia"/>
        </w:rPr>
        <w:t>，111年度中央政府長期債務審定決算數為5兆9,20</w:t>
      </w:r>
      <w:r>
        <w:rPr>
          <w:rFonts w:hint="eastAsia"/>
        </w:rPr>
        <w:t>7.93</w:t>
      </w:r>
      <w:r w:rsidRPr="00280AE6">
        <w:rPr>
          <w:rFonts w:hint="eastAsia"/>
        </w:rPr>
        <w:t>億元，112年度增至6兆58</w:t>
      </w:r>
      <w:r>
        <w:rPr>
          <w:rFonts w:hint="eastAsia"/>
        </w:rPr>
        <w:t>0.9</w:t>
      </w:r>
      <w:r w:rsidRPr="00280AE6">
        <w:rPr>
          <w:rFonts w:hint="eastAsia"/>
        </w:rPr>
        <w:t>億元，113年度再增至6兆1,490</w:t>
      </w:r>
      <w:r>
        <w:rPr>
          <w:rFonts w:hint="eastAsia"/>
        </w:rPr>
        <w:t>.06</w:t>
      </w:r>
      <w:r w:rsidRPr="00280AE6">
        <w:rPr>
          <w:rFonts w:hint="eastAsia"/>
        </w:rPr>
        <w:t>億元</w:t>
      </w:r>
      <w:r>
        <w:rPr>
          <w:rFonts w:hint="eastAsia"/>
        </w:rPr>
        <w:t>，</w:t>
      </w:r>
      <w:r w:rsidRPr="00280AE6">
        <w:rPr>
          <w:rFonts w:hint="eastAsia"/>
        </w:rPr>
        <w:t>114年度加計本特別預算案114年度債務舉借</w:t>
      </w:r>
      <w:r>
        <w:rPr>
          <w:rFonts w:hint="eastAsia"/>
        </w:rPr>
        <w:t>預算案</w:t>
      </w:r>
      <w:r w:rsidRPr="00280AE6">
        <w:rPr>
          <w:rFonts w:hint="eastAsia"/>
        </w:rPr>
        <w:t>數38</w:t>
      </w:r>
      <w:r>
        <w:rPr>
          <w:rFonts w:hint="eastAsia"/>
        </w:rPr>
        <w:t>.06</w:t>
      </w:r>
      <w:r w:rsidRPr="00280AE6">
        <w:rPr>
          <w:rFonts w:hint="eastAsia"/>
        </w:rPr>
        <w:t>億元後，</w:t>
      </w:r>
      <w:r>
        <w:rPr>
          <w:rFonts w:hint="eastAsia"/>
        </w:rPr>
        <w:t>114年度</w:t>
      </w:r>
      <w:r w:rsidRPr="00280AE6">
        <w:rPr>
          <w:rFonts w:hint="eastAsia"/>
        </w:rPr>
        <w:t>中央政府長期債務預算案數攀升至6兆5,8</w:t>
      </w:r>
      <w:r>
        <w:rPr>
          <w:rFonts w:hint="eastAsia"/>
        </w:rPr>
        <w:t>08.61</w:t>
      </w:r>
      <w:r w:rsidRPr="00280AE6">
        <w:rPr>
          <w:rFonts w:hint="eastAsia"/>
        </w:rPr>
        <w:t>億元</w:t>
      </w:r>
      <w:r>
        <w:rPr>
          <w:rFonts w:hint="eastAsia"/>
        </w:rPr>
        <w:t>，占前3年度國內生產毛額平均數比率27.42%</w:t>
      </w:r>
      <w:r w:rsidRPr="00280AE6">
        <w:rPr>
          <w:rFonts w:hint="eastAsia"/>
        </w:rPr>
        <w:t>。</w:t>
      </w:r>
    </w:p>
    <w:p w:rsidR="00B64A21" w:rsidRDefault="00B64A21" w:rsidP="00D86BBB">
      <w:pPr>
        <w:ind w:leftChars="0" w:left="624" w:hangingChars="220" w:hanging="624"/>
        <w:jc w:val="left"/>
        <w:rPr>
          <w:b/>
        </w:rPr>
      </w:pPr>
      <w:r w:rsidRPr="0060232F">
        <w:rPr>
          <w:rFonts w:hint="eastAsia"/>
          <w:b/>
        </w:rPr>
        <w:t>表</w:t>
      </w:r>
      <w:r>
        <w:rPr>
          <w:rFonts w:hint="eastAsia"/>
          <w:b/>
        </w:rPr>
        <w:t>1 中央政府111年底至114年10月31日</w:t>
      </w:r>
      <w:r w:rsidRPr="00BF6ADA">
        <w:rPr>
          <w:rFonts w:hint="eastAsia"/>
          <w:b/>
        </w:rPr>
        <w:t>債務實際數</w:t>
      </w:r>
      <w:r>
        <w:rPr>
          <w:rFonts w:hint="eastAsia"/>
          <w:b/>
        </w:rPr>
        <w:t>概況</w:t>
      </w:r>
      <w:r w:rsidRPr="003E5799">
        <w:rPr>
          <w:rFonts w:hint="eastAsia"/>
          <w:b/>
        </w:rPr>
        <w:t>表</w:t>
      </w:r>
    </w:p>
    <w:p w:rsidR="00B64A21" w:rsidRDefault="00B64A21" w:rsidP="00D86BBB">
      <w:pPr>
        <w:spacing w:line="400" w:lineRule="exact"/>
        <w:ind w:leftChars="0" w:left="535" w:hangingChars="220" w:hanging="535"/>
        <w:jc w:val="right"/>
        <w:rPr>
          <w:b/>
        </w:rPr>
      </w:pPr>
      <w:r w:rsidRPr="00120FBB">
        <w:rPr>
          <w:rFonts w:hint="eastAsia"/>
          <w:sz w:val="24"/>
          <w:szCs w:val="24"/>
        </w:rPr>
        <w:t>單位：</w:t>
      </w:r>
      <w:r>
        <w:rPr>
          <w:rFonts w:hint="eastAsia"/>
          <w:sz w:val="24"/>
          <w:szCs w:val="24"/>
        </w:rPr>
        <w:t>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240"/>
        <w:gridCol w:w="1240"/>
        <w:gridCol w:w="1240"/>
        <w:gridCol w:w="1241"/>
        <w:gridCol w:w="1984"/>
      </w:tblGrid>
      <w:tr w:rsidR="00B64A21" w:rsidRPr="005C2D2C" w:rsidTr="00D86BBB">
        <w:trPr>
          <w:trHeight w:val="510"/>
          <w:tblHeader/>
        </w:trPr>
        <w:tc>
          <w:tcPr>
            <w:tcW w:w="1560" w:type="dxa"/>
            <w:tcBorders>
              <w:top w:val="single" w:sz="12" w:space="0" w:color="auto"/>
              <w:left w:val="single" w:sz="12" w:space="0" w:color="auto"/>
              <w:bottom w:val="single" w:sz="12" w:space="0" w:color="auto"/>
              <w:right w:val="single" w:sz="4" w:space="0" w:color="auto"/>
              <w:tl2br w:val="nil"/>
            </w:tcBorders>
            <w:shd w:val="clear" w:color="auto" w:fill="auto"/>
            <w:noWrap/>
            <w:vAlign w:val="center"/>
          </w:tcPr>
          <w:p w:rsidR="00B64A21" w:rsidRPr="005C2D2C" w:rsidRDefault="00B64A21">
            <w:pPr>
              <w:pStyle w:val="142"/>
              <w:jc w:val="center"/>
              <w:rPr>
                <w:b/>
                <w:bCs/>
              </w:rPr>
            </w:pPr>
            <w:r>
              <w:rPr>
                <w:rFonts w:hint="eastAsia"/>
                <w:b/>
                <w:bCs/>
              </w:rPr>
              <w:t>項目\</w:t>
            </w:r>
            <w:r w:rsidRPr="005C2D2C">
              <w:rPr>
                <w:rFonts w:hint="eastAsia"/>
                <w:b/>
                <w:bCs/>
              </w:rPr>
              <w:t>年度</w:t>
            </w:r>
          </w:p>
        </w:tc>
        <w:tc>
          <w:tcPr>
            <w:tcW w:w="1240" w:type="dxa"/>
            <w:tcBorders>
              <w:top w:val="single" w:sz="12" w:space="0" w:color="auto"/>
              <w:left w:val="single" w:sz="4" w:space="0" w:color="auto"/>
              <w:bottom w:val="single" w:sz="12" w:space="0" w:color="auto"/>
            </w:tcBorders>
            <w:shd w:val="clear" w:color="auto" w:fill="auto"/>
            <w:noWrap/>
            <w:vAlign w:val="center"/>
          </w:tcPr>
          <w:p w:rsidR="00B64A21" w:rsidRPr="005C2D2C" w:rsidRDefault="00B64A21">
            <w:pPr>
              <w:pStyle w:val="142"/>
              <w:jc w:val="center"/>
              <w:rPr>
                <w:b/>
                <w:bCs/>
              </w:rPr>
            </w:pPr>
            <w:r w:rsidRPr="005C2D2C">
              <w:rPr>
                <w:rFonts w:hint="eastAsia"/>
                <w:b/>
                <w:bCs/>
              </w:rPr>
              <w:t>1</w:t>
            </w:r>
            <w:r>
              <w:rPr>
                <w:rFonts w:hint="eastAsia"/>
                <w:b/>
                <w:bCs/>
              </w:rPr>
              <w:t>11年底</w:t>
            </w:r>
          </w:p>
        </w:tc>
        <w:tc>
          <w:tcPr>
            <w:tcW w:w="1240" w:type="dxa"/>
            <w:tcBorders>
              <w:top w:val="single" w:sz="12" w:space="0" w:color="auto"/>
              <w:bottom w:val="single" w:sz="12" w:space="0" w:color="auto"/>
            </w:tcBorders>
            <w:shd w:val="clear" w:color="auto" w:fill="auto"/>
            <w:noWrap/>
            <w:vAlign w:val="center"/>
          </w:tcPr>
          <w:p w:rsidR="00B64A21" w:rsidRPr="005C2D2C" w:rsidRDefault="00B64A21">
            <w:pPr>
              <w:pStyle w:val="142"/>
              <w:jc w:val="center"/>
              <w:rPr>
                <w:b/>
                <w:bCs/>
              </w:rPr>
            </w:pPr>
            <w:r w:rsidRPr="005C2D2C">
              <w:rPr>
                <w:rFonts w:hint="eastAsia"/>
                <w:b/>
                <w:bCs/>
              </w:rPr>
              <w:t>1</w:t>
            </w:r>
            <w:r>
              <w:rPr>
                <w:rFonts w:hint="eastAsia"/>
                <w:b/>
                <w:bCs/>
              </w:rPr>
              <w:t>12年底</w:t>
            </w:r>
          </w:p>
        </w:tc>
        <w:tc>
          <w:tcPr>
            <w:tcW w:w="1240" w:type="dxa"/>
            <w:tcBorders>
              <w:top w:val="single" w:sz="12" w:space="0" w:color="auto"/>
              <w:bottom w:val="single" w:sz="12" w:space="0" w:color="auto"/>
            </w:tcBorders>
            <w:shd w:val="clear" w:color="auto" w:fill="auto"/>
            <w:vAlign w:val="center"/>
          </w:tcPr>
          <w:p w:rsidR="00B64A21" w:rsidRPr="005C2D2C" w:rsidRDefault="00B64A21">
            <w:pPr>
              <w:pStyle w:val="142"/>
              <w:jc w:val="center"/>
              <w:rPr>
                <w:b/>
                <w:bCs/>
              </w:rPr>
            </w:pPr>
            <w:r w:rsidRPr="005C2D2C">
              <w:rPr>
                <w:rFonts w:hint="eastAsia"/>
                <w:b/>
                <w:bCs/>
              </w:rPr>
              <w:t>1</w:t>
            </w:r>
            <w:r>
              <w:rPr>
                <w:rFonts w:hint="eastAsia"/>
                <w:b/>
                <w:bCs/>
              </w:rPr>
              <w:t>13年底</w:t>
            </w:r>
          </w:p>
        </w:tc>
        <w:tc>
          <w:tcPr>
            <w:tcW w:w="1241" w:type="dxa"/>
            <w:tcBorders>
              <w:top w:val="single" w:sz="12" w:space="0" w:color="auto"/>
              <w:bottom w:val="single" w:sz="12" w:space="0" w:color="auto"/>
            </w:tcBorders>
            <w:vAlign w:val="center"/>
          </w:tcPr>
          <w:p w:rsidR="00B64A21" w:rsidRPr="005C2D2C" w:rsidRDefault="00B64A21" w:rsidP="00D86BBB">
            <w:pPr>
              <w:pStyle w:val="142"/>
              <w:jc w:val="center"/>
              <w:rPr>
                <w:b/>
                <w:bCs/>
              </w:rPr>
            </w:pPr>
            <w:r>
              <w:rPr>
                <w:rFonts w:hint="eastAsia"/>
                <w:b/>
                <w:bCs/>
              </w:rPr>
              <w:t>114.10.31</w:t>
            </w:r>
          </w:p>
        </w:tc>
        <w:tc>
          <w:tcPr>
            <w:tcW w:w="1984" w:type="dxa"/>
            <w:tcBorders>
              <w:top w:val="single" w:sz="12" w:space="0" w:color="auto"/>
              <w:bottom w:val="single" w:sz="12" w:space="0" w:color="auto"/>
            </w:tcBorders>
            <w:shd w:val="clear" w:color="auto" w:fill="auto"/>
            <w:vAlign w:val="center"/>
          </w:tcPr>
          <w:p w:rsidR="00B64A21" w:rsidRDefault="00B64A21">
            <w:pPr>
              <w:pStyle w:val="142"/>
              <w:jc w:val="center"/>
              <w:rPr>
                <w:b/>
                <w:bCs/>
              </w:rPr>
            </w:pPr>
            <w:r w:rsidRPr="005C2D2C">
              <w:rPr>
                <w:rFonts w:hint="eastAsia"/>
                <w:b/>
                <w:bCs/>
              </w:rPr>
              <w:t>1</w:t>
            </w:r>
            <w:r>
              <w:rPr>
                <w:rFonts w:hint="eastAsia"/>
                <w:b/>
                <w:bCs/>
              </w:rPr>
              <w:t>14.10.31</w:t>
            </w:r>
            <w:r w:rsidRPr="005C2D2C">
              <w:rPr>
                <w:rFonts w:hint="eastAsia"/>
                <w:b/>
                <w:bCs/>
              </w:rPr>
              <w:t>較1</w:t>
            </w:r>
            <w:r>
              <w:rPr>
                <w:rFonts w:hint="eastAsia"/>
                <w:b/>
                <w:bCs/>
              </w:rPr>
              <w:t>11年底</w:t>
            </w:r>
            <w:r w:rsidRPr="005C2D2C">
              <w:rPr>
                <w:rFonts w:hint="eastAsia"/>
                <w:b/>
                <w:bCs/>
              </w:rPr>
              <w:t>之增減</w:t>
            </w:r>
            <w:r>
              <w:rPr>
                <w:rFonts w:hint="eastAsia"/>
                <w:b/>
                <w:bCs/>
              </w:rPr>
              <w:t>數</w:t>
            </w:r>
          </w:p>
          <w:p w:rsidR="00B64A21" w:rsidRPr="005C2D2C" w:rsidRDefault="00B64A21">
            <w:pPr>
              <w:pStyle w:val="142"/>
              <w:jc w:val="center"/>
              <w:rPr>
                <w:b/>
                <w:bCs/>
              </w:rPr>
            </w:pPr>
            <w:r w:rsidRPr="005C2D2C">
              <w:rPr>
                <w:rFonts w:hint="eastAsia"/>
                <w:b/>
                <w:bCs/>
              </w:rPr>
              <w:t>(</w:t>
            </w:r>
            <w:r>
              <w:rPr>
                <w:rFonts w:hint="eastAsia"/>
                <w:b/>
                <w:bCs/>
              </w:rPr>
              <w:t>增減幅</w:t>
            </w:r>
            <w:r w:rsidRPr="005C2D2C">
              <w:rPr>
                <w:rFonts w:hint="eastAsia"/>
                <w:b/>
                <w:bCs/>
              </w:rPr>
              <w:t>)</w:t>
            </w:r>
          </w:p>
        </w:tc>
      </w:tr>
      <w:tr w:rsidR="00B64A21" w:rsidRPr="005C2D2C" w:rsidTr="00D86BBB">
        <w:trPr>
          <w:trHeight w:val="510"/>
        </w:trPr>
        <w:tc>
          <w:tcPr>
            <w:tcW w:w="1560" w:type="dxa"/>
            <w:tcBorders>
              <w:top w:val="single" w:sz="12" w:space="0" w:color="auto"/>
              <w:bottom w:val="single" w:sz="6" w:space="0" w:color="auto"/>
            </w:tcBorders>
            <w:shd w:val="clear" w:color="auto" w:fill="auto"/>
            <w:noWrap/>
            <w:vAlign w:val="center"/>
          </w:tcPr>
          <w:p w:rsidR="00B64A21" w:rsidRPr="005C2D2C" w:rsidRDefault="00B64A21">
            <w:pPr>
              <w:pStyle w:val="142"/>
              <w:jc w:val="center"/>
            </w:pPr>
            <w:r>
              <w:rPr>
                <w:rFonts w:hint="eastAsia"/>
              </w:rPr>
              <w:t>長期債務</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56,998</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188</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580</w:t>
            </w:r>
          </w:p>
        </w:tc>
        <w:tc>
          <w:tcPr>
            <w:tcW w:w="1241" w:type="dxa"/>
            <w:tcBorders>
              <w:top w:val="single" w:sz="12" w:space="0" w:color="auto"/>
              <w:bottom w:val="single" w:sz="6" w:space="0" w:color="auto"/>
              <w:tl2br w:val="nil"/>
            </w:tcBorders>
            <w:vAlign w:val="center"/>
          </w:tcPr>
          <w:p w:rsidR="00B64A21" w:rsidRDefault="00B64A21" w:rsidP="00D86BBB">
            <w:pPr>
              <w:pStyle w:val="142"/>
              <w:jc w:val="right"/>
            </w:pPr>
            <w:r>
              <w:rPr>
                <w:rFonts w:hint="eastAsia"/>
              </w:rPr>
              <w:t>58,379</w:t>
            </w:r>
          </w:p>
        </w:tc>
        <w:tc>
          <w:tcPr>
            <w:tcW w:w="1984" w:type="dxa"/>
            <w:tcBorders>
              <w:top w:val="single" w:sz="12" w:space="0" w:color="auto"/>
              <w:bottom w:val="single" w:sz="6" w:space="0" w:color="auto"/>
              <w:tl2br w:val="nil"/>
            </w:tcBorders>
            <w:vAlign w:val="center"/>
          </w:tcPr>
          <w:p w:rsidR="00B64A21" w:rsidRDefault="00B64A21">
            <w:pPr>
              <w:pStyle w:val="142"/>
              <w:jc w:val="right"/>
            </w:pPr>
            <w:r>
              <w:rPr>
                <w:rFonts w:hint="eastAsia"/>
              </w:rPr>
              <w:t>1,381</w:t>
            </w:r>
          </w:p>
          <w:p w:rsidR="00B64A21" w:rsidRPr="005C2D2C" w:rsidRDefault="00B64A21">
            <w:pPr>
              <w:pStyle w:val="142"/>
              <w:jc w:val="right"/>
            </w:pPr>
            <w:r>
              <w:rPr>
                <w:rFonts w:hint="eastAsia"/>
              </w:rPr>
              <w:t>(</w:t>
            </w:r>
            <w:r>
              <w:t>2</w:t>
            </w:r>
            <w:r>
              <w:rPr>
                <w:rFonts w:hint="eastAsia"/>
              </w:rPr>
              <w:t>.42</w:t>
            </w:r>
            <w:r>
              <w:t>)</w:t>
            </w:r>
          </w:p>
        </w:tc>
      </w:tr>
      <w:tr w:rsidR="00B64A21" w:rsidRPr="005C2D2C" w:rsidTr="00D86BBB">
        <w:trPr>
          <w:trHeight w:val="510"/>
        </w:trPr>
        <w:tc>
          <w:tcPr>
            <w:tcW w:w="1560" w:type="dxa"/>
            <w:tcBorders>
              <w:top w:val="single" w:sz="6" w:space="0" w:color="auto"/>
              <w:bottom w:val="single" w:sz="6" w:space="0" w:color="auto"/>
            </w:tcBorders>
            <w:shd w:val="clear" w:color="auto" w:fill="auto"/>
            <w:noWrap/>
            <w:vAlign w:val="center"/>
          </w:tcPr>
          <w:p w:rsidR="00B64A21" w:rsidRPr="005C2D2C" w:rsidRDefault="00B64A21">
            <w:pPr>
              <w:pStyle w:val="142"/>
              <w:jc w:val="center"/>
            </w:pPr>
            <w:r>
              <w:rPr>
                <w:rFonts w:hint="eastAsia"/>
              </w:rPr>
              <w:t>短期債務</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1" w:type="dxa"/>
            <w:tcBorders>
              <w:top w:val="single" w:sz="6" w:space="0" w:color="auto"/>
              <w:bottom w:val="single" w:sz="6" w:space="0" w:color="auto"/>
            </w:tcBorders>
            <w:vAlign w:val="center"/>
          </w:tcPr>
          <w:p w:rsidR="00B64A21" w:rsidRDefault="00B64A21" w:rsidP="00D86BBB">
            <w:pPr>
              <w:pStyle w:val="142"/>
              <w:jc w:val="right"/>
            </w:pPr>
            <w:r>
              <w:rPr>
                <w:rFonts w:hint="eastAsia"/>
              </w:rPr>
              <w:t>650</w:t>
            </w:r>
          </w:p>
        </w:tc>
        <w:tc>
          <w:tcPr>
            <w:tcW w:w="1984" w:type="dxa"/>
            <w:tcBorders>
              <w:top w:val="single" w:sz="6" w:space="0" w:color="auto"/>
              <w:bottom w:val="single" w:sz="6" w:space="0" w:color="auto"/>
            </w:tcBorders>
            <w:vAlign w:val="center"/>
          </w:tcPr>
          <w:p w:rsidR="00B64A21" w:rsidRDefault="00B64A21">
            <w:pPr>
              <w:pStyle w:val="142"/>
              <w:jc w:val="right"/>
            </w:pPr>
            <w:r>
              <w:t>3</w:t>
            </w:r>
            <w:r>
              <w:rPr>
                <w:rFonts w:hint="eastAsia"/>
              </w:rPr>
              <w:t>5</w:t>
            </w:r>
            <w:r>
              <w:t>0</w:t>
            </w:r>
          </w:p>
          <w:p w:rsidR="00B64A21" w:rsidRPr="005C2D2C" w:rsidRDefault="00B64A21">
            <w:pPr>
              <w:pStyle w:val="142"/>
              <w:jc w:val="right"/>
            </w:pPr>
            <w:r>
              <w:rPr>
                <w:rFonts w:hint="eastAsia"/>
              </w:rPr>
              <w:t>(116</w:t>
            </w:r>
            <w:r>
              <w:t>.</w:t>
            </w:r>
            <w:r>
              <w:rPr>
                <w:rFonts w:hint="eastAsia"/>
              </w:rPr>
              <w:t>67</w:t>
            </w:r>
            <w:r>
              <w:t>)</w:t>
            </w:r>
          </w:p>
        </w:tc>
      </w:tr>
      <w:tr w:rsidR="00B64A21" w:rsidRPr="005C2D2C" w:rsidTr="00D86BBB">
        <w:trPr>
          <w:trHeight w:val="510"/>
        </w:trPr>
        <w:tc>
          <w:tcPr>
            <w:tcW w:w="1560" w:type="dxa"/>
            <w:tcBorders>
              <w:top w:val="single" w:sz="6" w:space="0" w:color="auto"/>
              <w:bottom w:val="single" w:sz="6" w:space="0" w:color="auto"/>
            </w:tcBorders>
            <w:shd w:val="clear" w:color="auto" w:fill="auto"/>
            <w:noWrap/>
            <w:vAlign w:val="center"/>
          </w:tcPr>
          <w:p w:rsidR="00B64A21" w:rsidRPr="005C2D2C" w:rsidRDefault="00B64A21">
            <w:pPr>
              <w:pStyle w:val="142"/>
              <w:jc w:val="center"/>
            </w:pPr>
            <w:r>
              <w:rPr>
                <w:rFonts w:hint="eastAsia"/>
              </w:rPr>
              <w:t>合計</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57</w:t>
            </w:r>
            <w:r>
              <w:t>,</w:t>
            </w:r>
            <w:r>
              <w:rPr>
                <w:rFonts w:hint="eastAsia"/>
              </w:rPr>
              <w:t>298</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488</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w:t>
            </w:r>
            <w:r>
              <w:t>8,</w:t>
            </w:r>
            <w:r>
              <w:rPr>
                <w:rFonts w:hint="eastAsia"/>
              </w:rPr>
              <w:t>880</w:t>
            </w:r>
          </w:p>
        </w:tc>
        <w:tc>
          <w:tcPr>
            <w:tcW w:w="1241" w:type="dxa"/>
            <w:tcBorders>
              <w:top w:val="single" w:sz="6" w:space="0" w:color="auto"/>
              <w:bottom w:val="single" w:sz="6" w:space="0" w:color="auto"/>
              <w:tl2br w:val="nil"/>
            </w:tcBorders>
            <w:vAlign w:val="center"/>
          </w:tcPr>
          <w:p w:rsidR="00B64A21" w:rsidRDefault="00B64A21" w:rsidP="00D86BBB">
            <w:pPr>
              <w:pStyle w:val="142"/>
              <w:jc w:val="right"/>
            </w:pPr>
            <w:r>
              <w:rPr>
                <w:rFonts w:hint="eastAsia"/>
              </w:rPr>
              <w:t>59,029</w:t>
            </w:r>
          </w:p>
        </w:tc>
        <w:tc>
          <w:tcPr>
            <w:tcW w:w="1984" w:type="dxa"/>
            <w:tcBorders>
              <w:top w:val="single" w:sz="6" w:space="0" w:color="auto"/>
              <w:bottom w:val="single" w:sz="6" w:space="0" w:color="auto"/>
              <w:tl2br w:val="nil"/>
            </w:tcBorders>
            <w:vAlign w:val="center"/>
          </w:tcPr>
          <w:p w:rsidR="00B64A21" w:rsidRDefault="00B64A21">
            <w:pPr>
              <w:pStyle w:val="142"/>
              <w:jc w:val="right"/>
            </w:pPr>
            <w:r>
              <w:rPr>
                <w:rFonts w:hint="eastAsia"/>
              </w:rPr>
              <w:t>1</w:t>
            </w:r>
            <w:r>
              <w:t>,</w:t>
            </w:r>
            <w:r>
              <w:rPr>
                <w:rFonts w:hint="eastAsia"/>
              </w:rPr>
              <w:t>731</w:t>
            </w:r>
          </w:p>
          <w:p w:rsidR="00B64A21" w:rsidRPr="005C2D2C" w:rsidRDefault="00B64A21">
            <w:pPr>
              <w:pStyle w:val="142"/>
              <w:jc w:val="right"/>
            </w:pPr>
            <w:r>
              <w:rPr>
                <w:rFonts w:hint="eastAsia"/>
              </w:rPr>
              <w:t>(3.02</w:t>
            </w:r>
            <w:r>
              <w:t>)</w:t>
            </w:r>
          </w:p>
        </w:tc>
      </w:tr>
      <w:tr w:rsidR="00B64A21" w:rsidRPr="005C2D2C" w:rsidTr="00D86BBB">
        <w:trPr>
          <w:trHeight w:val="510"/>
        </w:trPr>
        <w:tc>
          <w:tcPr>
            <w:tcW w:w="1560" w:type="dxa"/>
            <w:tcBorders>
              <w:top w:val="single" w:sz="6" w:space="0" w:color="auto"/>
              <w:bottom w:val="single" w:sz="12" w:space="0" w:color="auto"/>
            </w:tcBorders>
            <w:shd w:val="clear" w:color="auto" w:fill="auto"/>
            <w:noWrap/>
            <w:vAlign w:val="center"/>
          </w:tcPr>
          <w:p w:rsidR="00B64A21" w:rsidRDefault="00B64A21">
            <w:pPr>
              <w:pStyle w:val="142"/>
              <w:jc w:val="center"/>
            </w:pPr>
            <w:r>
              <w:rPr>
                <w:rFonts w:hint="eastAsia"/>
              </w:rPr>
              <w:t>平均每人負擔債務(萬元)</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24.7</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25.0</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25.2</w:t>
            </w:r>
          </w:p>
        </w:tc>
        <w:tc>
          <w:tcPr>
            <w:tcW w:w="1241" w:type="dxa"/>
            <w:tcBorders>
              <w:top w:val="single" w:sz="6" w:space="0" w:color="auto"/>
              <w:bottom w:val="single" w:sz="12" w:space="0" w:color="auto"/>
              <w:tl2br w:val="nil"/>
            </w:tcBorders>
            <w:vAlign w:val="center"/>
          </w:tcPr>
          <w:p w:rsidR="00B64A21" w:rsidRDefault="00B64A21" w:rsidP="00D86BBB">
            <w:pPr>
              <w:pStyle w:val="142"/>
              <w:jc w:val="right"/>
            </w:pPr>
            <w:r>
              <w:rPr>
                <w:rFonts w:hint="eastAsia"/>
              </w:rPr>
              <w:t>25.3</w:t>
            </w:r>
          </w:p>
        </w:tc>
        <w:tc>
          <w:tcPr>
            <w:tcW w:w="1984" w:type="dxa"/>
            <w:tcBorders>
              <w:top w:val="single" w:sz="6" w:space="0" w:color="auto"/>
              <w:bottom w:val="single" w:sz="12" w:space="0" w:color="auto"/>
              <w:tl2br w:val="nil"/>
            </w:tcBorders>
            <w:vAlign w:val="center"/>
          </w:tcPr>
          <w:p w:rsidR="00B64A21" w:rsidRDefault="00B64A21">
            <w:pPr>
              <w:pStyle w:val="142"/>
              <w:jc w:val="right"/>
            </w:pPr>
            <w:r>
              <w:rPr>
                <w:rFonts w:hint="eastAsia"/>
              </w:rPr>
              <w:t>0</w:t>
            </w:r>
            <w:r>
              <w:t>.</w:t>
            </w:r>
            <w:r>
              <w:rPr>
                <w:rFonts w:hint="eastAsia"/>
              </w:rPr>
              <w:t>6</w:t>
            </w:r>
          </w:p>
          <w:p w:rsidR="00B64A21" w:rsidRPr="005C2D2C" w:rsidRDefault="00B64A21">
            <w:pPr>
              <w:pStyle w:val="142"/>
              <w:jc w:val="right"/>
            </w:pPr>
            <w:r>
              <w:rPr>
                <w:rFonts w:hint="eastAsia"/>
              </w:rPr>
              <w:t>(2.43</w:t>
            </w:r>
            <w:r>
              <w:t>)</w:t>
            </w:r>
          </w:p>
        </w:tc>
      </w:tr>
    </w:tbl>
    <w:p w:rsidR="00B64A21" w:rsidRDefault="00B64A21" w:rsidP="00D86BBB">
      <w:pPr>
        <w:pStyle w:val="142"/>
      </w:pPr>
      <w:r w:rsidRPr="00237FB7">
        <w:rPr>
          <w:rFonts w:hint="eastAsia"/>
        </w:rPr>
        <w:t>資料來源</w:t>
      </w:r>
      <w:r>
        <w:rPr>
          <w:rFonts w:hint="eastAsia"/>
        </w:rPr>
        <w:t>：財政部國庫署官網。</w:t>
      </w:r>
    </w:p>
    <w:p w:rsidR="00B64A21" w:rsidRDefault="00B64A21" w:rsidP="00D86BBB">
      <w:pPr>
        <w:pStyle w:val="a6"/>
        <w:ind w:left="849" w:hanging="283"/>
        <w:rPr>
          <w:rFonts w:hAnsi="標楷體" w:cs="標楷體"/>
          <w:b/>
          <w:bCs/>
        </w:rPr>
      </w:pPr>
      <w:r>
        <w:rPr>
          <w:rFonts w:hint="eastAsia"/>
          <w:b/>
        </w:rPr>
        <w:t>(二)</w:t>
      </w:r>
      <w:r w:rsidRPr="00914A9C">
        <w:rPr>
          <w:rFonts w:hAnsi="標楷體" w:cs="標楷體" w:hint="eastAsia"/>
          <w:b/>
          <w:bCs/>
        </w:rPr>
        <w:t>109年我國人口首度出現負成長，</w:t>
      </w:r>
      <w:r>
        <w:rPr>
          <w:rFonts w:hAnsi="標楷體" w:cs="標楷體" w:hint="eastAsia"/>
          <w:b/>
          <w:bCs/>
        </w:rPr>
        <w:t>且預估</w:t>
      </w:r>
      <w:r w:rsidRPr="00475EC9">
        <w:rPr>
          <w:rFonts w:hAnsi="標楷體" w:cs="標楷體" w:hint="eastAsia"/>
          <w:b/>
          <w:bCs/>
        </w:rPr>
        <w:t>人口紅利於117年結束</w:t>
      </w:r>
      <w:r>
        <w:rPr>
          <w:rFonts w:hAnsi="標楷體" w:cs="標楷體" w:hint="eastAsia"/>
          <w:b/>
          <w:bCs/>
        </w:rPr>
        <w:t>，</w:t>
      </w:r>
      <w:r w:rsidRPr="00914A9C">
        <w:rPr>
          <w:rFonts w:hAnsi="標楷體" w:cs="標楷體" w:hint="eastAsia"/>
          <w:b/>
          <w:bCs/>
        </w:rPr>
        <w:t>恐</w:t>
      </w:r>
      <w:r>
        <w:rPr>
          <w:rFonts w:hAnsi="標楷體" w:cs="標楷體" w:hint="eastAsia"/>
          <w:b/>
          <w:bCs/>
        </w:rPr>
        <w:t>對</w:t>
      </w:r>
      <w:r w:rsidRPr="00914A9C">
        <w:rPr>
          <w:rFonts w:hAnsi="標楷體" w:cs="標楷體" w:hint="eastAsia"/>
          <w:b/>
          <w:bCs/>
        </w:rPr>
        <w:t>未來勞動</w:t>
      </w:r>
      <w:r>
        <w:rPr>
          <w:rFonts w:hAnsi="標楷體" w:cs="標楷體" w:hint="eastAsia"/>
          <w:b/>
          <w:bCs/>
        </w:rPr>
        <w:t>市場</w:t>
      </w:r>
      <w:r w:rsidRPr="00914A9C">
        <w:rPr>
          <w:rFonts w:hAnsi="標楷體" w:cs="標楷體" w:hint="eastAsia"/>
          <w:b/>
          <w:bCs/>
        </w:rPr>
        <w:t>供給人力及</w:t>
      </w:r>
      <w:r>
        <w:rPr>
          <w:rFonts w:hAnsi="標楷體" w:cs="標楷體" w:hint="eastAsia"/>
          <w:b/>
          <w:bCs/>
        </w:rPr>
        <w:t>政府</w:t>
      </w:r>
      <w:r w:rsidRPr="00914A9C">
        <w:rPr>
          <w:rFonts w:hAnsi="標楷體" w:cs="標楷體" w:hint="eastAsia"/>
          <w:b/>
          <w:bCs/>
        </w:rPr>
        <w:t>償債能力</w:t>
      </w:r>
      <w:r>
        <w:rPr>
          <w:rFonts w:hAnsi="標楷體" w:cs="標楷體" w:hint="eastAsia"/>
          <w:b/>
          <w:bCs/>
        </w:rPr>
        <w:t>產生</w:t>
      </w:r>
      <w:r w:rsidRPr="00914A9C">
        <w:rPr>
          <w:rFonts w:hAnsi="標楷體" w:cs="標楷體" w:hint="eastAsia"/>
          <w:b/>
          <w:bCs/>
        </w:rPr>
        <w:t>衝擊</w:t>
      </w:r>
    </w:p>
    <w:p w:rsidR="00B64A21" w:rsidRDefault="00B64A21" w:rsidP="00D86BBB">
      <w:pPr>
        <w:pStyle w:val="123"/>
        <w:ind w:left="1133" w:hanging="283"/>
      </w:pPr>
      <w:r>
        <w:rPr>
          <w:rFonts w:hint="eastAsia"/>
        </w:rPr>
        <w:t>1.按內政部戶政司公布之人口統計資料，109</w:t>
      </w:r>
      <w:r w:rsidRPr="00914A9C">
        <w:rPr>
          <w:rFonts w:hint="eastAsia"/>
        </w:rPr>
        <w:t>年出生人數為16萬5</w:t>
      </w:r>
      <w:r>
        <w:rPr>
          <w:rFonts w:hint="eastAsia"/>
        </w:rPr>
        <w:t>,</w:t>
      </w:r>
      <w:r w:rsidRPr="00914A9C">
        <w:rPr>
          <w:rFonts w:hint="eastAsia"/>
        </w:rPr>
        <w:t>249人，死亡人數為17萬3</w:t>
      </w:r>
      <w:r>
        <w:t>,</w:t>
      </w:r>
      <w:r w:rsidRPr="00914A9C">
        <w:rPr>
          <w:rFonts w:hint="eastAsia"/>
        </w:rPr>
        <w:t>156人，死亡人數超過出生人數</w:t>
      </w:r>
      <w:r>
        <w:rPr>
          <w:rFonts w:hint="eastAsia"/>
        </w:rPr>
        <w:t>7,9</w:t>
      </w:r>
      <w:r>
        <w:t>07</w:t>
      </w:r>
      <w:r>
        <w:rPr>
          <w:rFonts w:hint="eastAsia"/>
        </w:rPr>
        <w:t>人；總人口數2</w:t>
      </w:r>
      <w:r>
        <w:t>,356</w:t>
      </w:r>
      <w:r>
        <w:rPr>
          <w:rFonts w:hint="eastAsia"/>
        </w:rPr>
        <w:t>萬1,236人，較108年底之2</w:t>
      </w:r>
      <w:r>
        <w:t>,3</w:t>
      </w:r>
      <w:r>
        <w:rPr>
          <w:rFonts w:hint="eastAsia"/>
        </w:rPr>
        <w:t>60萬3,121人，減少4萬1,885人(減幅0.18%)，</w:t>
      </w:r>
      <w:r w:rsidRPr="00FF7508">
        <w:rPr>
          <w:rFonts w:hint="eastAsia"/>
        </w:rPr>
        <w:t>平均每</w:t>
      </w:r>
      <w:r w:rsidRPr="00FF7508">
        <w:rPr>
          <w:rFonts w:hint="eastAsia"/>
        </w:rPr>
        <w:lastRenderedPageBreak/>
        <w:t>天減少114.4人，</w:t>
      </w:r>
      <w:r>
        <w:rPr>
          <w:rFonts w:hint="eastAsia"/>
        </w:rPr>
        <w:t>我國</w:t>
      </w:r>
      <w:r w:rsidRPr="00914A9C">
        <w:rPr>
          <w:rFonts w:hint="eastAsia"/>
        </w:rPr>
        <w:t>首度出現人口負成長</w:t>
      </w:r>
      <w:r>
        <w:rPr>
          <w:rFonts w:hint="eastAsia"/>
        </w:rPr>
        <w:t>；扶養比續升為40.16，較108年底上升1.20。</w:t>
      </w:r>
    </w:p>
    <w:p w:rsidR="00B64A21" w:rsidRDefault="00B64A21" w:rsidP="00D86BBB">
      <w:pPr>
        <w:pStyle w:val="123"/>
        <w:ind w:left="1133" w:hanging="283"/>
      </w:pPr>
      <w:r>
        <w:rPr>
          <w:rFonts w:hint="eastAsia"/>
        </w:rPr>
        <w:t>2.據國發會113年10月公布人口推估結果略以，</w:t>
      </w:r>
      <w:r w:rsidRPr="004F7CD8">
        <w:rPr>
          <w:rFonts w:hint="eastAsia"/>
        </w:rPr>
        <w:t>預估未來我國總人口將由2024年之2,340萬人，減少至2070年之1,497萬人，減少844萬人，其中0</w:t>
      </w:r>
      <w:r>
        <w:rPr>
          <w:rFonts w:hint="eastAsia"/>
        </w:rPr>
        <w:t>至</w:t>
      </w:r>
      <w:r w:rsidRPr="004F7CD8">
        <w:rPr>
          <w:rFonts w:hint="eastAsia"/>
        </w:rPr>
        <w:t>14歲幼年人口減少171萬人，15</w:t>
      </w:r>
      <w:r>
        <w:rPr>
          <w:rFonts w:hint="eastAsia"/>
        </w:rPr>
        <w:t>至</w:t>
      </w:r>
      <w:r w:rsidRPr="004F7CD8">
        <w:rPr>
          <w:rFonts w:hint="eastAsia"/>
        </w:rPr>
        <w:t>64歲青壯年人口減少920萬人，65歲以上</w:t>
      </w:r>
      <w:r>
        <w:rPr>
          <w:rFonts w:hint="eastAsia"/>
        </w:rPr>
        <w:t>高齡</w:t>
      </w:r>
      <w:r w:rsidRPr="004F7CD8">
        <w:rPr>
          <w:rFonts w:hint="eastAsia"/>
        </w:rPr>
        <w:t>人口則增加248萬人</w:t>
      </w:r>
      <w:r>
        <w:rPr>
          <w:rFonts w:hint="eastAsia"/>
        </w:rPr>
        <w:t>，並</w:t>
      </w:r>
      <w:r w:rsidRPr="004F7CD8">
        <w:rPr>
          <w:rFonts w:hint="eastAsia"/>
        </w:rPr>
        <w:t>預估我國15</w:t>
      </w:r>
      <w:r>
        <w:rPr>
          <w:rFonts w:hint="eastAsia"/>
        </w:rPr>
        <w:t>至</w:t>
      </w:r>
      <w:r w:rsidRPr="004F7CD8">
        <w:rPr>
          <w:rFonts w:hint="eastAsia"/>
        </w:rPr>
        <w:t>64歲工作年齡人口占總人口比率</w:t>
      </w:r>
      <w:r>
        <w:rPr>
          <w:rFonts w:hint="eastAsia"/>
        </w:rPr>
        <w:t>，</w:t>
      </w:r>
      <w:r w:rsidRPr="004F7CD8">
        <w:rPr>
          <w:rFonts w:hint="eastAsia"/>
        </w:rPr>
        <w:t>於2028年</w:t>
      </w:r>
      <w:r>
        <w:rPr>
          <w:rFonts w:hint="eastAsia"/>
        </w:rPr>
        <w:t>將</w:t>
      </w:r>
      <w:r w:rsidRPr="004F7CD8">
        <w:rPr>
          <w:rFonts w:hint="eastAsia"/>
        </w:rPr>
        <w:t>低於</w:t>
      </w:r>
      <w:r>
        <w:rPr>
          <w:rFonts w:hint="eastAsia"/>
        </w:rPr>
        <w:t>三分之二、</w:t>
      </w:r>
      <w:r w:rsidRPr="004F7CD8">
        <w:rPr>
          <w:rFonts w:hint="eastAsia"/>
        </w:rPr>
        <w:t>人口紅利消失</w:t>
      </w:r>
      <w:r>
        <w:rPr>
          <w:rFonts w:hint="eastAsia"/>
        </w:rPr>
        <w:t>，且同期間</w:t>
      </w:r>
      <w:r w:rsidRPr="004F7CD8">
        <w:rPr>
          <w:rFonts w:hint="eastAsia"/>
        </w:rPr>
        <w:t>由原3.6名青壯年人口扶養每</w:t>
      </w:r>
      <w:r>
        <w:rPr>
          <w:rFonts w:hint="eastAsia"/>
        </w:rPr>
        <w:t>1</w:t>
      </w:r>
      <w:r w:rsidRPr="004F7CD8">
        <w:rPr>
          <w:rFonts w:hint="eastAsia"/>
        </w:rPr>
        <w:t>名</w:t>
      </w:r>
      <w:r>
        <w:rPr>
          <w:rFonts w:hint="eastAsia"/>
        </w:rPr>
        <w:t>高齡</w:t>
      </w:r>
      <w:r w:rsidRPr="004F7CD8">
        <w:rPr>
          <w:rFonts w:hint="eastAsia"/>
        </w:rPr>
        <w:t>人口，減少為每1名青壯年人口即需扶養1名</w:t>
      </w:r>
      <w:r>
        <w:rPr>
          <w:rFonts w:hint="eastAsia"/>
        </w:rPr>
        <w:t>高齡</w:t>
      </w:r>
      <w:r w:rsidRPr="004F7CD8">
        <w:rPr>
          <w:rFonts w:hint="eastAsia"/>
        </w:rPr>
        <w:t>人口。</w:t>
      </w:r>
    </w:p>
    <w:p w:rsidR="00B64A21" w:rsidRDefault="00B64A21" w:rsidP="00D86BBB">
      <w:pPr>
        <w:ind w:left="566" w:firstLine="566"/>
      </w:pPr>
      <w:r w:rsidRPr="00603BBC">
        <w:rPr>
          <w:rFonts w:hint="eastAsia"/>
        </w:rPr>
        <w:t>綜上，</w:t>
      </w:r>
      <w:r w:rsidRPr="00CE7BEE">
        <w:rPr>
          <w:rFonts w:hint="eastAsia"/>
        </w:rPr>
        <w:t>近年我國</w:t>
      </w:r>
      <w:r>
        <w:rPr>
          <w:rFonts w:hint="eastAsia"/>
        </w:rPr>
        <w:t>因執行數項</w:t>
      </w:r>
      <w:r w:rsidRPr="0060045A">
        <w:rPr>
          <w:rFonts w:hint="eastAsia"/>
        </w:rPr>
        <w:t>特別預算</w:t>
      </w:r>
      <w:r>
        <w:rPr>
          <w:rFonts w:hint="eastAsia"/>
        </w:rPr>
        <w:t>，致中央政府債務實際數持續攀升，惟我國人口總數於109年</w:t>
      </w:r>
      <w:r w:rsidRPr="0060045A">
        <w:rPr>
          <w:rFonts w:hint="eastAsia"/>
        </w:rPr>
        <w:t>首度呈現負成長，</w:t>
      </w:r>
      <w:r w:rsidRPr="004F7CD8">
        <w:rPr>
          <w:rFonts w:hint="eastAsia"/>
        </w:rPr>
        <w:t>少子高齡化現象</w:t>
      </w:r>
      <w:r>
        <w:rPr>
          <w:rFonts w:hint="eastAsia"/>
        </w:rPr>
        <w:t>漸</w:t>
      </w:r>
      <w:r w:rsidRPr="004F7CD8">
        <w:rPr>
          <w:rFonts w:hint="eastAsia"/>
        </w:rPr>
        <w:t>趨明顯</w:t>
      </w:r>
      <w:r>
        <w:rPr>
          <w:rFonts w:hint="eastAsia"/>
        </w:rPr>
        <w:t>，且</w:t>
      </w:r>
      <w:r w:rsidRPr="00453DD4">
        <w:rPr>
          <w:rFonts w:hint="eastAsia"/>
        </w:rPr>
        <w:t>人口紅利預估於117年結束</w:t>
      </w:r>
      <w:r>
        <w:rPr>
          <w:rFonts w:hint="eastAsia"/>
        </w:rPr>
        <w:t>，</w:t>
      </w:r>
      <w:r w:rsidRPr="0060045A">
        <w:rPr>
          <w:rFonts w:hint="eastAsia"/>
        </w:rPr>
        <w:t>恐將衝擊未來勞動供給人力及償債能力</w:t>
      </w:r>
      <w:r>
        <w:rPr>
          <w:rFonts w:hint="eastAsia"/>
        </w:rPr>
        <w:t>。爰此，</w:t>
      </w:r>
      <w:r w:rsidRPr="0060045A">
        <w:rPr>
          <w:rFonts w:hint="eastAsia"/>
        </w:rPr>
        <w:t>允宜綢繆未來償債因應之策</w:t>
      </w:r>
      <w:r>
        <w:rPr>
          <w:rFonts w:hint="eastAsia"/>
        </w:rPr>
        <w:t>，擬訂短中長期債務管理計畫，以減緩債務累積並進一步降低債務未償餘額。</w:t>
      </w:r>
    </w:p>
    <w:p w:rsidR="00B64A21" w:rsidRPr="00230C82" w:rsidRDefault="00B64A21" w:rsidP="00D86BBB">
      <w:pPr>
        <w:pStyle w:val="ae"/>
        <w:rPr>
          <w:bCs/>
        </w:rPr>
      </w:pPr>
      <w:r w:rsidRPr="00EB137C">
        <w:rPr>
          <w:rFonts w:hint="eastAsia"/>
        </w:rPr>
        <w:t>(分機：8661 鄧凱文)</w:t>
      </w:r>
    </w:p>
    <w:sectPr w:rsidR="00B64A21" w:rsidRPr="00230C82"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9558DD">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917D2E"/>
    <w:rsid w:val="009558DD"/>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200BA-72A7-4963-8965-8BCFC9D01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Words>
  <Characters>1739</Characters>
  <Application>Microsoft Office Word</Application>
  <DocSecurity>0</DocSecurity>
  <Lines>14</Lines>
  <Paragraphs>4</Paragraphs>
  <ScaleCrop>false</ScaleCrop>
  <Company>HOME</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