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FE3" w:rsidRDefault="00E47FE3" w:rsidP="00D86BBB">
      <w:pPr>
        <w:pStyle w:val="14"/>
        <w:ind w:left="567" w:hanging="567"/>
        <w:rPr>
          <w:snapToGrid/>
        </w:rPr>
      </w:pPr>
      <w:bookmarkStart w:id="0" w:name="_Toc214186178"/>
      <w:bookmarkStart w:id="1" w:name="_GoBack"/>
      <w:bookmarkEnd w:id="1"/>
      <w:r>
        <w:rPr>
          <w:rFonts w:hint="eastAsia"/>
        </w:rPr>
        <w:t>四、本特別預算案編列「預備金」15億元，惟其占比高於歷次</w:t>
      </w:r>
      <w:r w:rsidRPr="00431140">
        <w:rPr>
          <w:rFonts w:hint="eastAsia"/>
        </w:rPr>
        <w:t>災害特別預算</w:t>
      </w:r>
      <w:r>
        <w:rPr>
          <w:rFonts w:hint="eastAsia"/>
        </w:rPr>
        <w:t>，且尚無相關災後復原重建計畫為編列準據，恐未盡妥適，允宜善用災害準備金及現行彈性預算機制，以支應所需</w:t>
      </w:r>
      <w:bookmarkEnd w:id="0"/>
    </w:p>
    <w:p w:rsidR="00E47FE3" w:rsidRDefault="00E47FE3" w:rsidP="00D86BBB">
      <w:pPr>
        <w:ind w:left="566" w:firstLine="566"/>
      </w:pPr>
      <w:r>
        <w:rPr>
          <w:rFonts w:hint="eastAsia"/>
        </w:rPr>
        <w:t>本特別預算案編列預備金15億元，占本預算案歲出270億元之5.6%</w:t>
      </w:r>
      <w:r w:rsidRPr="00B47C86">
        <w:rPr>
          <w:rFonts w:hint="eastAsia"/>
        </w:rPr>
        <w:t>，據歲出機關別預算表說明</w:t>
      </w:r>
      <w:r w:rsidRPr="00B47C86">
        <w:rPr>
          <w:rStyle w:val="af8"/>
        </w:rPr>
        <w:footnoteReference w:id="1"/>
      </w:r>
      <w:r w:rsidRPr="00B47C86">
        <w:rPr>
          <w:rFonts w:hint="eastAsia"/>
        </w:rPr>
        <w:t>，係</w:t>
      </w:r>
      <w:r>
        <w:rPr>
          <w:rFonts w:hint="eastAsia"/>
        </w:rPr>
        <w:t>應</w:t>
      </w:r>
      <w:r w:rsidRPr="00B47C86">
        <w:rPr>
          <w:rFonts w:hint="eastAsia"/>
        </w:rPr>
        <w:t>本特別預算期間，各項工作經費執行所需。</w:t>
      </w:r>
      <w:r>
        <w:rPr>
          <w:rFonts w:hint="eastAsia"/>
        </w:rPr>
        <w:t>經查：</w:t>
      </w:r>
    </w:p>
    <w:p w:rsidR="00E47FE3" w:rsidRPr="009C5905" w:rsidRDefault="00E47FE3" w:rsidP="00D86BBB">
      <w:pPr>
        <w:pStyle w:val="a6"/>
        <w:ind w:left="849" w:hanging="283"/>
        <w:rPr>
          <w:b/>
          <w:bCs/>
        </w:rPr>
      </w:pPr>
      <w:r w:rsidRPr="009C5905">
        <w:rPr>
          <w:rFonts w:hint="eastAsia"/>
          <w:b/>
          <w:bCs/>
        </w:rPr>
        <w:t>(一)未有相關災後復原重建計畫</w:t>
      </w:r>
      <w:r>
        <w:rPr>
          <w:rFonts w:hint="eastAsia"/>
          <w:b/>
          <w:bCs/>
        </w:rPr>
        <w:t>為編列準據</w:t>
      </w:r>
      <w:r w:rsidRPr="009C5905">
        <w:rPr>
          <w:rFonts w:hint="eastAsia"/>
          <w:b/>
          <w:bCs/>
        </w:rPr>
        <w:t>，</w:t>
      </w:r>
      <w:r>
        <w:rPr>
          <w:rFonts w:hint="eastAsia"/>
          <w:b/>
          <w:bCs/>
        </w:rPr>
        <w:t>卻</w:t>
      </w:r>
      <w:r w:rsidRPr="009C5905">
        <w:rPr>
          <w:rFonts w:hint="eastAsia"/>
          <w:b/>
          <w:bCs/>
        </w:rPr>
        <w:t>編列預備金</w:t>
      </w:r>
      <w:r>
        <w:rPr>
          <w:rFonts w:hint="eastAsia"/>
          <w:b/>
          <w:bCs/>
        </w:rPr>
        <w:t>15億元</w:t>
      </w:r>
      <w:r w:rsidRPr="009C5905">
        <w:rPr>
          <w:rFonts w:hint="eastAsia"/>
          <w:b/>
          <w:bCs/>
        </w:rPr>
        <w:t>，容與本特別條例及預算法規定未盡相合</w:t>
      </w:r>
    </w:p>
    <w:p w:rsidR="00E47FE3" w:rsidRDefault="00E47FE3" w:rsidP="00D86BBB">
      <w:pPr>
        <w:pStyle w:val="22"/>
        <w:ind w:left="850" w:firstLine="566"/>
      </w:pPr>
      <w:r>
        <w:rPr>
          <w:rFonts w:hint="eastAsia"/>
        </w:rPr>
        <w:t>預算法第</w:t>
      </w:r>
      <w:r w:rsidRPr="007C30C8">
        <w:rPr>
          <w:rFonts w:hint="eastAsia"/>
        </w:rPr>
        <w:t>32條規定：「各主管機關遵照施政方針，</w:t>
      </w:r>
      <w:r>
        <w:t>…</w:t>
      </w:r>
      <w:r w:rsidRPr="007C30C8">
        <w:rPr>
          <w:rFonts w:hint="eastAsia"/>
        </w:rPr>
        <w:t>擬定其所主管範圍內之施政計畫</w:t>
      </w:r>
      <w:r>
        <w:t>…</w:t>
      </w:r>
      <w:r w:rsidRPr="007C30C8">
        <w:rPr>
          <w:rFonts w:hint="eastAsia"/>
        </w:rPr>
        <w:t>。」及第36條規定：「</w:t>
      </w:r>
      <w:r>
        <w:t>…</w:t>
      </w:r>
      <w:r w:rsidRPr="007C30C8">
        <w:rPr>
          <w:rFonts w:hint="eastAsia"/>
        </w:rPr>
        <w:t>各依計畫</w:t>
      </w:r>
      <w:r>
        <w:t>…</w:t>
      </w:r>
      <w:r w:rsidRPr="007C30C8">
        <w:rPr>
          <w:rFonts w:hint="eastAsia"/>
        </w:rPr>
        <w:t>擬編下年度之預算。」</w:t>
      </w:r>
      <w:r>
        <w:rPr>
          <w:rFonts w:hint="eastAsia"/>
        </w:rPr>
        <w:t>另本特別條例第7條第1項規定：「</w:t>
      </w:r>
      <w:r>
        <w:t>本條例所需經費上限為新臺幣</w:t>
      </w:r>
      <w:r>
        <w:rPr>
          <w:rFonts w:hint="eastAsia"/>
        </w:rPr>
        <w:t>300</w:t>
      </w:r>
      <w:r>
        <w:t>億元，得視情勢變化</w:t>
      </w:r>
      <w:r w:rsidRPr="00F5057C">
        <w:rPr>
          <w:u w:val="single"/>
        </w:rPr>
        <w:t>擬訂相關計畫</w:t>
      </w:r>
      <w:r>
        <w:t>，分期編列特別預算</w:t>
      </w:r>
      <w:r>
        <w:rPr>
          <w:rFonts w:hint="eastAsia"/>
        </w:rPr>
        <w:t>；</w:t>
      </w:r>
      <w:r>
        <w:t>…</w:t>
      </w:r>
      <w:r>
        <w:rPr>
          <w:rFonts w:hint="eastAsia"/>
        </w:rPr>
        <w:t>。」該條例第10條第1項並規定：「依本條例編列預算之中央各部會，應於本條例施行後兩個月內</w:t>
      </w:r>
      <w:r w:rsidRPr="006D2366">
        <w:rPr>
          <w:rFonts w:hint="eastAsia"/>
          <w:u w:val="single"/>
        </w:rPr>
        <w:t>提出災後復原重建計畫</w:t>
      </w:r>
      <w:r>
        <w:rPr>
          <w:rFonts w:hint="eastAsia"/>
        </w:rPr>
        <w:t>。」準此，政府預算之編列應有計畫為準據，故本特別預算案宜按災後復原重建計畫編列所需預算。惟本特別預算案於尚無復原重建計畫之下，卻編列15億元預備金，由於預備金屬備用性質，未有相關計畫為編列準據，容與預算法及本特別條例規定未盡相合。</w:t>
      </w:r>
    </w:p>
    <w:p w:rsidR="00E47FE3" w:rsidRPr="00601E04" w:rsidRDefault="00E47FE3" w:rsidP="00D86BBB">
      <w:pPr>
        <w:pStyle w:val="a6"/>
        <w:ind w:left="849" w:hanging="283"/>
        <w:rPr>
          <w:b/>
          <w:bCs/>
        </w:rPr>
      </w:pPr>
      <w:r w:rsidRPr="00601E04">
        <w:rPr>
          <w:rFonts w:hint="eastAsia"/>
          <w:b/>
          <w:bCs/>
        </w:rPr>
        <w:t>(二)本特別預算案編列</w:t>
      </w:r>
      <w:r>
        <w:rPr>
          <w:rFonts w:hint="eastAsia"/>
          <w:b/>
          <w:bCs/>
        </w:rPr>
        <w:t>之「</w:t>
      </w:r>
      <w:r w:rsidRPr="00601E04">
        <w:rPr>
          <w:rFonts w:hint="eastAsia"/>
          <w:b/>
          <w:bCs/>
        </w:rPr>
        <w:t>預備金</w:t>
      </w:r>
      <w:r>
        <w:rPr>
          <w:rFonts w:hint="eastAsia"/>
          <w:b/>
          <w:bCs/>
        </w:rPr>
        <w:t>」占比為5.6%</w:t>
      </w:r>
      <w:r w:rsidRPr="00601E04">
        <w:rPr>
          <w:rFonts w:hint="eastAsia"/>
          <w:b/>
          <w:bCs/>
        </w:rPr>
        <w:t>，相較歷次災害特別預算及中央政府總預算之占比，</w:t>
      </w:r>
      <w:r>
        <w:rPr>
          <w:rFonts w:hint="eastAsia"/>
          <w:b/>
          <w:bCs/>
        </w:rPr>
        <w:t>明顯</w:t>
      </w:r>
      <w:r w:rsidRPr="00601E04">
        <w:rPr>
          <w:rFonts w:hint="eastAsia"/>
          <w:b/>
          <w:bCs/>
        </w:rPr>
        <w:t>偏高</w:t>
      </w:r>
      <w:r>
        <w:rPr>
          <w:rFonts w:hint="eastAsia"/>
          <w:b/>
          <w:bCs/>
        </w:rPr>
        <w:t>，其妥適性容可再酌</w:t>
      </w:r>
    </w:p>
    <w:p w:rsidR="00E47FE3" w:rsidRDefault="00E47FE3" w:rsidP="00D86BBB">
      <w:pPr>
        <w:pStyle w:val="22"/>
        <w:ind w:left="850" w:firstLine="566"/>
      </w:pPr>
      <w:r>
        <w:rPr>
          <w:rFonts w:hint="eastAsia"/>
        </w:rPr>
        <w:t>按中央政府往年亦曾數次因應災害發生而編列特別預算，且均編有預備金項目，包括</w:t>
      </w:r>
      <w:r w:rsidRPr="007F778D">
        <w:rPr>
          <w:rFonts w:hint="eastAsia"/>
        </w:rPr>
        <w:t>中央政府口蹄疫危機處理特別預算</w:t>
      </w:r>
      <w:r>
        <w:rPr>
          <w:rFonts w:hint="eastAsia"/>
        </w:rPr>
        <w:t>、</w:t>
      </w:r>
      <w:r w:rsidRPr="00BA6BB5">
        <w:rPr>
          <w:rFonts w:hint="eastAsia"/>
        </w:rPr>
        <w:t>中央政府九二一震災災後重建第</w:t>
      </w:r>
      <w:r>
        <w:rPr>
          <w:rFonts w:hint="eastAsia"/>
        </w:rPr>
        <w:t>一、</w:t>
      </w:r>
      <w:r w:rsidRPr="00BA6BB5">
        <w:rPr>
          <w:rFonts w:hint="eastAsia"/>
        </w:rPr>
        <w:t>二期特別</w:t>
      </w:r>
      <w:r>
        <w:rPr>
          <w:rFonts w:hint="eastAsia"/>
        </w:rPr>
        <w:t>預</w:t>
      </w:r>
      <w:r w:rsidRPr="007F778D">
        <w:rPr>
          <w:rFonts w:hint="eastAsia"/>
        </w:rPr>
        <w:t>算</w:t>
      </w:r>
      <w:r>
        <w:rPr>
          <w:rFonts w:hint="eastAsia"/>
        </w:rPr>
        <w:t>等(詳表</w:t>
      </w:r>
      <w:r>
        <w:rPr>
          <w:rFonts w:hint="eastAsia"/>
        </w:rPr>
        <w:lastRenderedPageBreak/>
        <w:t>1)，其金額介於5至30億元間；占比則介於1.5至5%間。此外，中央政府總預算所編災害準備金及第二預備金，亦屬未明列支出用途之準備性質經費，揆近10年(106至115年)該兩項預算合計數介於94至130億元間；占比則介於0.33至0.551%間(詳表2)。</w:t>
      </w:r>
    </w:p>
    <w:p w:rsidR="00E47FE3" w:rsidRPr="00D77818" w:rsidRDefault="00E47FE3" w:rsidP="00D86BBB">
      <w:pPr>
        <w:pStyle w:val="22"/>
        <w:ind w:left="850" w:firstLine="566"/>
      </w:pPr>
      <w:r>
        <w:rPr>
          <w:rFonts w:hint="eastAsia"/>
        </w:rPr>
        <w:t>惟本特別預算案編列預備金15億元，占預算案歲出270億元之5.6%，與其他歷次</w:t>
      </w:r>
      <w:r w:rsidRPr="009A3541">
        <w:rPr>
          <w:rFonts w:hint="eastAsia"/>
        </w:rPr>
        <w:t>災害特別預算</w:t>
      </w:r>
      <w:r>
        <w:rPr>
          <w:rFonts w:hint="eastAsia"/>
        </w:rPr>
        <w:t>編列之預備金占比介於1.5至5%，以及中央政府總預算之預備金占比介於0.33至0.551%相較，則明顯偏高，</w:t>
      </w:r>
      <w:r w:rsidRPr="007B6212">
        <w:rPr>
          <w:rFonts w:hint="eastAsia"/>
        </w:rPr>
        <w:t>其</w:t>
      </w:r>
      <w:r>
        <w:rPr>
          <w:rFonts w:hint="eastAsia"/>
        </w:rPr>
        <w:t>妥適</w:t>
      </w:r>
      <w:r w:rsidRPr="007B6212">
        <w:rPr>
          <w:rFonts w:hint="eastAsia"/>
        </w:rPr>
        <w:t>性容</w:t>
      </w:r>
      <w:r>
        <w:rPr>
          <w:rFonts w:hint="eastAsia"/>
        </w:rPr>
        <w:t>待審酌。</w:t>
      </w:r>
    </w:p>
    <w:p w:rsidR="00E47FE3" w:rsidRDefault="00E47FE3" w:rsidP="00D86BBB">
      <w:pPr>
        <w:ind w:leftChars="0" w:left="567" w:hangingChars="200" w:hanging="567"/>
        <w:rPr>
          <w:b/>
          <w:bCs/>
        </w:rPr>
      </w:pPr>
      <w:r w:rsidRPr="00B0061D">
        <w:rPr>
          <w:rFonts w:hint="eastAsia"/>
          <w:b/>
          <w:bCs/>
        </w:rPr>
        <w:t>表</w:t>
      </w:r>
      <w:r>
        <w:rPr>
          <w:rFonts w:hint="eastAsia"/>
          <w:b/>
          <w:bCs/>
        </w:rPr>
        <w:t>1</w:t>
      </w:r>
      <w:r w:rsidRPr="00B0061D">
        <w:rPr>
          <w:rFonts w:hint="eastAsia"/>
          <w:b/>
          <w:bCs/>
        </w:rPr>
        <w:t xml:space="preserve">  </w:t>
      </w:r>
      <w:r>
        <w:rPr>
          <w:rFonts w:hint="eastAsia"/>
          <w:b/>
          <w:bCs/>
        </w:rPr>
        <w:t>中央政府歷次災害</w:t>
      </w:r>
      <w:r w:rsidRPr="00B0061D">
        <w:rPr>
          <w:rFonts w:hint="eastAsia"/>
          <w:b/>
          <w:bCs/>
        </w:rPr>
        <w:t>特別預算編列</w:t>
      </w:r>
      <w:r>
        <w:rPr>
          <w:rFonts w:hint="eastAsia"/>
          <w:b/>
          <w:bCs/>
        </w:rPr>
        <w:t>「</w:t>
      </w:r>
      <w:r w:rsidRPr="00B0061D">
        <w:rPr>
          <w:rFonts w:hint="eastAsia"/>
          <w:b/>
          <w:bCs/>
        </w:rPr>
        <w:t>預備金</w:t>
      </w:r>
      <w:r>
        <w:rPr>
          <w:rFonts w:hint="eastAsia"/>
          <w:b/>
          <w:bCs/>
        </w:rPr>
        <w:t>」</w:t>
      </w:r>
      <w:r w:rsidRPr="00B0061D">
        <w:rPr>
          <w:rFonts w:hint="eastAsia"/>
          <w:b/>
          <w:bCs/>
        </w:rPr>
        <w:t>概況表</w:t>
      </w:r>
    </w:p>
    <w:p w:rsidR="00E47FE3" w:rsidRDefault="00E47FE3" w:rsidP="00D86BBB">
      <w:pPr>
        <w:pStyle w:val="142"/>
        <w:jc w:val="right"/>
      </w:pPr>
      <w:r w:rsidRPr="00B0061D">
        <w:rPr>
          <w:rFonts w:hint="eastAsia"/>
        </w:rPr>
        <w:t>單位：新臺幣千元；%</w:t>
      </w:r>
    </w:p>
    <w:tbl>
      <w:tblPr>
        <w:tblW w:w="8443" w:type="dxa"/>
        <w:tblInd w:w="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2"/>
        <w:gridCol w:w="2126"/>
        <w:gridCol w:w="1843"/>
        <w:gridCol w:w="992"/>
      </w:tblGrid>
      <w:tr w:rsidR="00E47FE3" w:rsidTr="00D86BBB">
        <w:trPr>
          <w:trHeight w:val="20"/>
          <w:tblHeader/>
        </w:trPr>
        <w:tc>
          <w:tcPr>
            <w:tcW w:w="3482" w:type="dxa"/>
            <w:vMerge w:val="restart"/>
            <w:tcBorders>
              <w:top w:val="single" w:sz="12" w:space="0" w:color="auto"/>
              <w:left w:val="single" w:sz="12" w:space="0" w:color="auto"/>
            </w:tcBorders>
            <w:shd w:val="clear" w:color="auto" w:fill="auto"/>
            <w:vAlign w:val="center"/>
          </w:tcPr>
          <w:p w:rsidR="00E47FE3" w:rsidRPr="002E6F13" w:rsidRDefault="00E47FE3" w:rsidP="00D86BBB">
            <w:pPr>
              <w:pStyle w:val="142"/>
              <w:jc w:val="center"/>
            </w:pPr>
            <w:r w:rsidRPr="002E6F13">
              <w:rPr>
                <w:rFonts w:hint="eastAsia"/>
              </w:rPr>
              <w:t>災害特別預算名稱</w:t>
            </w:r>
          </w:p>
        </w:tc>
        <w:tc>
          <w:tcPr>
            <w:tcW w:w="2126" w:type="dxa"/>
            <w:vMerge w:val="restart"/>
            <w:tcBorders>
              <w:top w:val="single" w:sz="12" w:space="0" w:color="auto"/>
              <w:right w:val="nil"/>
            </w:tcBorders>
            <w:shd w:val="clear" w:color="auto" w:fill="auto"/>
            <w:vAlign w:val="center"/>
          </w:tcPr>
          <w:p w:rsidR="00E47FE3" w:rsidRDefault="00E47FE3" w:rsidP="00D86BBB">
            <w:pPr>
              <w:pStyle w:val="142"/>
              <w:jc w:val="center"/>
            </w:pPr>
            <w:r>
              <w:rPr>
                <w:rFonts w:hint="eastAsia"/>
              </w:rPr>
              <w:t>預算數</w:t>
            </w:r>
          </w:p>
        </w:tc>
        <w:tc>
          <w:tcPr>
            <w:tcW w:w="1843" w:type="dxa"/>
            <w:tcBorders>
              <w:top w:val="single" w:sz="12" w:space="0" w:color="auto"/>
              <w:left w:val="nil"/>
              <w:right w:val="nil"/>
            </w:tcBorders>
            <w:shd w:val="clear" w:color="auto" w:fill="auto"/>
          </w:tcPr>
          <w:p w:rsidR="00E47FE3" w:rsidRDefault="00E47FE3" w:rsidP="00D86BBB">
            <w:pPr>
              <w:pStyle w:val="142"/>
            </w:pPr>
          </w:p>
        </w:tc>
        <w:tc>
          <w:tcPr>
            <w:tcW w:w="992" w:type="dxa"/>
            <w:tcBorders>
              <w:top w:val="single" w:sz="12" w:space="0" w:color="auto"/>
              <w:left w:val="nil"/>
              <w:right w:val="single" w:sz="12" w:space="0" w:color="auto"/>
            </w:tcBorders>
            <w:shd w:val="clear" w:color="auto" w:fill="auto"/>
          </w:tcPr>
          <w:p w:rsidR="00E47FE3" w:rsidRDefault="00E47FE3" w:rsidP="00D86BBB">
            <w:pPr>
              <w:pStyle w:val="142"/>
            </w:pPr>
          </w:p>
        </w:tc>
      </w:tr>
      <w:tr w:rsidR="00E47FE3" w:rsidTr="00D86BBB">
        <w:trPr>
          <w:tblHeader/>
        </w:trPr>
        <w:tc>
          <w:tcPr>
            <w:tcW w:w="3482" w:type="dxa"/>
            <w:vMerge/>
            <w:tcBorders>
              <w:left w:val="single" w:sz="12" w:space="0" w:color="auto"/>
            </w:tcBorders>
            <w:shd w:val="clear" w:color="auto" w:fill="auto"/>
          </w:tcPr>
          <w:p w:rsidR="00E47FE3" w:rsidRDefault="00E47FE3" w:rsidP="00D86BBB">
            <w:pPr>
              <w:pStyle w:val="142"/>
            </w:pPr>
          </w:p>
        </w:tc>
        <w:tc>
          <w:tcPr>
            <w:tcW w:w="2126" w:type="dxa"/>
            <w:vMerge/>
            <w:shd w:val="clear" w:color="auto" w:fill="auto"/>
            <w:vAlign w:val="center"/>
          </w:tcPr>
          <w:p w:rsidR="00E47FE3" w:rsidRDefault="00E47FE3" w:rsidP="00D86BBB">
            <w:pPr>
              <w:pStyle w:val="142"/>
              <w:jc w:val="center"/>
            </w:pPr>
          </w:p>
        </w:tc>
        <w:tc>
          <w:tcPr>
            <w:tcW w:w="1843" w:type="dxa"/>
            <w:shd w:val="clear" w:color="auto" w:fill="auto"/>
            <w:vAlign w:val="center"/>
          </w:tcPr>
          <w:p w:rsidR="00E47FE3" w:rsidRDefault="00E47FE3" w:rsidP="00D86BBB">
            <w:pPr>
              <w:pStyle w:val="142"/>
              <w:jc w:val="center"/>
            </w:pPr>
            <w:r>
              <w:rPr>
                <w:rFonts w:hint="eastAsia"/>
              </w:rPr>
              <w:t>預備金</w:t>
            </w:r>
          </w:p>
        </w:tc>
        <w:tc>
          <w:tcPr>
            <w:tcW w:w="992" w:type="dxa"/>
            <w:tcBorders>
              <w:right w:val="single" w:sz="12" w:space="0" w:color="auto"/>
            </w:tcBorders>
            <w:shd w:val="clear" w:color="auto" w:fill="auto"/>
            <w:vAlign w:val="center"/>
          </w:tcPr>
          <w:p w:rsidR="00E47FE3" w:rsidRPr="00181FCB" w:rsidRDefault="00E47FE3" w:rsidP="00D86BBB">
            <w:pPr>
              <w:pStyle w:val="142"/>
              <w:jc w:val="center"/>
              <w:rPr>
                <w:spacing w:val="-10"/>
              </w:rPr>
            </w:pPr>
            <w:r w:rsidRPr="00181FCB">
              <w:rPr>
                <w:rFonts w:hint="eastAsia"/>
                <w:spacing w:val="-10"/>
              </w:rPr>
              <w:t>占比</w:t>
            </w:r>
          </w:p>
        </w:tc>
      </w:tr>
      <w:tr w:rsidR="00E47FE3" w:rsidTr="00D86BBB">
        <w:trPr>
          <w:trHeight w:val="567"/>
        </w:trPr>
        <w:tc>
          <w:tcPr>
            <w:tcW w:w="3482" w:type="dxa"/>
            <w:tcBorders>
              <w:left w:val="single" w:sz="12" w:space="0" w:color="auto"/>
            </w:tcBorders>
            <w:shd w:val="clear" w:color="auto" w:fill="auto"/>
            <w:vAlign w:val="center"/>
          </w:tcPr>
          <w:p w:rsidR="00E47FE3" w:rsidRDefault="00E47FE3" w:rsidP="00D86BBB">
            <w:pPr>
              <w:pStyle w:val="142"/>
              <w:jc w:val="both"/>
            </w:pPr>
            <w:r w:rsidRPr="007F778D">
              <w:rPr>
                <w:rFonts w:hint="eastAsia"/>
              </w:rPr>
              <w:t>中央政府口蹄疫危機處理特別預算</w:t>
            </w:r>
          </w:p>
        </w:tc>
        <w:tc>
          <w:tcPr>
            <w:tcW w:w="2126" w:type="dxa"/>
            <w:shd w:val="clear" w:color="auto" w:fill="auto"/>
            <w:vAlign w:val="center"/>
          </w:tcPr>
          <w:p w:rsidR="00E47FE3" w:rsidRDefault="00E47FE3" w:rsidP="00D86BBB">
            <w:pPr>
              <w:pStyle w:val="142"/>
              <w:jc w:val="right"/>
            </w:pPr>
            <w:r>
              <w:rPr>
                <w:rFonts w:hint="eastAsia"/>
              </w:rPr>
              <w:t>10</w:t>
            </w:r>
            <w:r>
              <w:t>,</w:t>
            </w:r>
            <w:r>
              <w:rPr>
                <w:rFonts w:hint="eastAsia"/>
              </w:rPr>
              <w:t>486</w:t>
            </w:r>
            <w:r>
              <w:t>,</w:t>
            </w:r>
            <w:r>
              <w:rPr>
                <w:rFonts w:hint="eastAsia"/>
              </w:rPr>
              <w:t>625</w:t>
            </w:r>
          </w:p>
        </w:tc>
        <w:tc>
          <w:tcPr>
            <w:tcW w:w="1843" w:type="dxa"/>
            <w:shd w:val="clear" w:color="auto" w:fill="auto"/>
            <w:vAlign w:val="center"/>
          </w:tcPr>
          <w:p w:rsidR="00E47FE3" w:rsidRDefault="00E47FE3" w:rsidP="00D86BBB">
            <w:pPr>
              <w:pStyle w:val="142"/>
              <w:jc w:val="right"/>
            </w:pPr>
            <w:r>
              <w:rPr>
                <w:rFonts w:hint="eastAsia"/>
              </w:rPr>
              <w:t>500</w:t>
            </w:r>
            <w:r>
              <w:t>,</w:t>
            </w:r>
            <w:r>
              <w:rPr>
                <w:rFonts w:hint="eastAsia"/>
              </w:rPr>
              <w:t>000</w:t>
            </w:r>
          </w:p>
        </w:tc>
        <w:tc>
          <w:tcPr>
            <w:tcW w:w="992" w:type="dxa"/>
            <w:tcBorders>
              <w:right w:val="single" w:sz="12" w:space="0" w:color="auto"/>
            </w:tcBorders>
            <w:shd w:val="clear" w:color="auto" w:fill="auto"/>
            <w:vAlign w:val="center"/>
          </w:tcPr>
          <w:p w:rsidR="00E47FE3" w:rsidRDefault="00E47FE3" w:rsidP="00D86BBB">
            <w:pPr>
              <w:pStyle w:val="142"/>
              <w:jc w:val="right"/>
            </w:pPr>
            <w:r>
              <w:rPr>
                <w:rFonts w:hint="eastAsia"/>
              </w:rPr>
              <w:t>4.8</w:t>
            </w:r>
          </w:p>
        </w:tc>
      </w:tr>
      <w:tr w:rsidR="00E47FE3" w:rsidTr="00D86BBB">
        <w:tc>
          <w:tcPr>
            <w:tcW w:w="3482" w:type="dxa"/>
            <w:tcBorders>
              <w:left w:val="single" w:sz="12" w:space="0" w:color="auto"/>
            </w:tcBorders>
            <w:shd w:val="clear" w:color="auto" w:fill="auto"/>
            <w:vAlign w:val="center"/>
          </w:tcPr>
          <w:p w:rsidR="00E47FE3" w:rsidRPr="00BA6BB5" w:rsidRDefault="00E47FE3" w:rsidP="00D86BBB">
            <w:pPr>
              <w:pStyle w:val="142"/>
              <w:jc w:val="both"/>
            </w:pPr>
            <w:r w:rsidRPr="00BA6BB5">
              <w:rPr>
                <w:rFonts w:hint="eastAsia"/>
              </w:rPr>
              <w:t>中央政府九二一震災災後重建第</w:t>
            </w:r>
            <w:r>
              <w:rPr>
                <w:rFonts w:hint="eastAsia"/>
              </w:rPr>
              <w:t>一、</w:t>
            </w:r>
            <w:r w:rsidRPr="00BA6BB5">
              <w:rPr>
                <w:rFonts w:hint="eastAsia"/>
              </w:rPr>
              <w:t>二期特別</w:t>
            </w:r>
            <w:r>
              <w:rPr>
                <w:rFonts w:hint="eastAsia"/>
              </w:rPr>
              <w:t>預</w:t>
            </w:r>
            <w:r w:rsidRPr="007F778D">
              <w:rPr>
                <w:rFonts w:hint="eastAsia"/>
              </w:rPr>
              <w:t>算</w:t>
            </w:r>
          </w:p>
        </w:tc>
        <w:tc>
          <w:tcPr>
            <w:tcW w:w="2126" w:type="dxa"/>
            <w:shd w:val="clear" w:color="auto" w:fill="auto"/>
            <w:vAlign w:val="center"/>
          </w:tcPr>
          <w:p w:rsidR="00E47FE3" w:rsidRDefault="00E47FE3" w:rsidP="00D86BBB">
            <w:pPr>
              <w:pStyle w:val="142"/>
              <w:jc w:val="right"/>
            </w:pPr>
            <w:r>
              <w:rPr>
                <w:rFonts w:hint="eastAsia"/>
              </w:rPr>
              <w:t>100</w:t>
            </w:r>
            <w:r>
              <w:t>,</w:t>
            </w:r>
            <w:r>
              <w:rPr>
                <w:rFonts w:hint="eastAsia"/>
              </w:rPr>
              <w:t>000</w:t>
            </w:r>
            <w:r>
              <w:t>,</w:t>
            </w:r>
            <w:r>
              <w:rPr>
                <w:rFonts w:hint="eastAsia"/>
              </w:rPr>
              <w:t>000</w:t>
            </w:r>
          </w:p>
        </w:tc>
        <w:tc>
          <w:tcPr>
            <w:tcW w:w="1843" w:type="dxa"/>
            <w:shd w:val="clear" w:color="auto" w:fill="auto"/>
            <w:vAlign w:val="center"/>
          </w:tcPr>
          <w:p w:rsidR="00E47FE3" w:rsidRDefault="00E47FE3" w:rsidP="00D86BBB">
            <w:pPr>
              <w:pStyle w:val="142"/>
              <w:jc w:val="right"/>
            </w:pPr>
            <w:r>
              <w:t>1,500,000</w:t>
            </w:r>
          </w:p>
        </w:tc>
        <w:tc>
          <w:tcPr>
            <w:tcW w:w="992" w:type="dxa"/>
            <w:tcBorders>
              <w:right w:val="single" w:sz="12" w:space="0" w:color="auto"/>
            </w:tcBorders>
            <w:shd w:val="clear" w:color="auto" w:fill="auto"/>
            <w:vAlign w:val="center"/>
          </w:tcPr>
          <w:p w:rsidR="00E47FE3" w:rsidRDefault="00E47FE3" w:rsidP="00D86BBB">
            <w:pPr>
              <w:pStyle w:val="142"/>
              <w:jc w:val="right"/>
            </w:pPr>
            <w:r>
              <w:rPr>
                <w:rFonts w:hint="eastAsia"/>
              </w:rPr>
              <w:t>1</w:t>
            </w:r>
            <w:r>
              <w:t>.5</w:t>
            </w:r>
          </w:p>
        </w:tc>
      </w:tr>
      <w:tr w:rsidR="00E47FE3" w:rsidRPr="004F2920" w:rsidTr="00D86BBB">
        <w:trPr>
          <w:trHeight w:val="567"/>
        </w:trPr>
        <w:tc>
          <w:tcPr>
            <w:tcW w:w="3482" w:type="dxa"/>
            <w:tcBorders>
              <w:left w:val="single" w:sz="12" w:space="0" w:color="auto"/>
            </w:tcBorders>
            <w:shd w:val="clear" w:color="auto" w:fill="auto"/>
            <w:vAlign w:val="center"/>
          </w:tcPr>
          <w:p w:rsidR="00E47FE3" w:rsidRPr="004F2920" w:rsidRDefault="00E47FE3" w:rsidP="00D86BBB">
            <w:pPr>
              <w:pStyle w:val="142"/>
              <w:jc w:val="both"/>
            </w:pPr>
            <w:r w:rsidRPr="004F2920">
              <w:rPr>
                <w:rFonts w:hint="eastAsia"/>
              </w:rPr>
              <w:t>中央政府莫拉克颱風災後重建特別預算</w:t>
            </w:r>
          </w:p>
        </w:tc>
        <w:tc>
          <w:tcPr>
            <w:tcW w:w="2126" w:type="dxa"/>
            <w:shd w:val="clear" w:color="auto" w:fill="auto"/>
            <w:vAlign w:val="center"/>
          </w:tcPr>
          <w:p w:rsidR="00E47FE3" w:rsidRPr="004F2920" w:rsidRDefault="00E47FE3" w:rsidP="00D86BBB">
            <w:pPr>
              <w:pStyle w:val="142"/>
              <w:ind w:left="647" w:hanging="647"/>
              <w:jc w:val="right"/>
            </w:pPr>
            <w:r w:rsidRPr="004F2920">
              <w:rPr>
                <w:rFonts w:hint="eastAsia"/>
              </w:rPr>
              <w:t>116</w:t>
            </w:r>
            <w:r w:rsidRPr="004F2920">
              <w:t>,</w:t>
            </w:r>
            <w:r w:rsidRPr="004F2920">
              <w:rPr>
                <w:rFonts w:hint="eastAsia"/>
              </w:rPr>
              <w:t>508</w:t>
            </w:r>
            <w:r w:rsidRPr="004F2920">
              <w:t>,</w:t>
            </w:r>
            <w:r w:rsidRPr="004F2920">
              <w:rPr>
                <w:rFonts w:hint="eastAsia"/>
              </w:rPr>
              <w:t>241</w:t>
            </w:r>
          </w:p>
        </w:tc>
        <w:tc>
          <w:tcPr>
            <w:tcW w:w="1843" w:type="dxa"/>
            <w:shd w:val="clear" w:color="auto" w:fill="auto"/>
            <w:vAlign w:val="center"/>
          </w:tcPr>
          <w:p w:rsidR="00E47FE3" w:rsidRPr="004F2920" w:rsidRDefault="00E47FE3" w:rsidP="00D86BBB">
            <w:pPr>
              <w:pStyle w:val="142"/>
              <w:ind w:left="647" w:hanging="647"/>
              <w:jc w:val="right"/>
            </w:pPr>
            <w:r w:rsidRPr="004F2920">
              <w:rPr>
                <w:rFonts w:hint="eastAsia"/>
              </w:rPr>
              <w:t>3</w:t>
            </w:r>
            <w:r w:rsidRPr="004F2920">
              <w:t>,</w:t>
            </w:r>
            <w:r w:rsidRPr="004F2920">
              <w:rPr>
                <w:rFonts w:hint="eastAsia"/>
              </w:rPr>
              <w:t>000</w:t>
            </w:r>
            <w:r w:rsidRPr="004F2920">
              <w:t>,</w:t>
            </w:r>
            <w:r w:rsidRPr="004F2920">
              <w:rPr>
                <w:rFonts w:hint="eastAsia"/>
              </w:rPr>
              <w:t>000</w:t>
            </w:r>
          </w:p>
        </w:tc>
        <w:tc>
          <w:tcPr>
            <w:tcW w:w="992" w:type="dxa"/>
            <w:tcBorders>
              <w:right w:val="single" w:sz="12" w:space="0" w:color="auto"/>
            </w:tcBorders>
            <w:shd w:val="clear" w:color="auto" w:fill="auto"/>
            <w:vAlign w:val="center"/>
          </w:tcPr>
          <w:p w:rsidR="00E47FE3" w:rsidRPr="004F2920" w:rsidRDefault="00E47FE3" w:rsidP="00D86BBB">
            <w:pPr>
              <w:pStyle w:val="142"/>
              <w:ind w:left="647" w:hanging="647"/>
              <w:jc w:val="right"/>
            </w:pPr>
            <w:r w:rsidRPr="004F2920">
              <w:rPr>
                <w:rFonts w:hint="eastAsia"/>
              </w:rPr>
              <w:t>2.</w:t>
            </w:r>
            <w:r>
              <w:rPr>
                <w:rFonts w:hint="eastAsia"/>
              </w:rPr>
              <w:t>6</w:t>
            </w:r>
          </w:p>
        </w:tc>
      </w:tr>
      <w:tr w:rsidR="00E47FE3" w:rsidRPr="004F2920" w:rsidTr="00D86BBB">
        <w:tc>
          <w:tcPr>
            <w:tcW w:w="3482" w:type="dxa"/>
            <w:tcBorders>
              <w:left w:val="single" w:sz="12" w:space="0" w:color="auto"/>
            </w:tcBorders>
            <w:shd w:val="clear" w:color="auto" w:fill="auto"/>
            <w:vAlign w:val="center"/>
          </w:tcPr>
          <w:p w:rsidR="00E47FE3" w:rsidRPr="004F2920" w:rsidRDefault="00E47FE3" w:rsidP="00D86BBB">
            <w:pPr>
              <w:pStyle w:val="142"/>
              <w:jc w:val="both"/>
            </w:pPr>
            <w:r>
              <w:rPr>
                <w:rFonts w:hint="eastAsia"/>
              </w:rPr>
              <w:t>中央政府丹娜絲颱風及七二八豪雨災後復原重建特別預算</w:t>
            </w:r>
          </w:p>
        </w:tc>
        <w:tc>
          <w:tcPr>
            <w:tcW w:w="2126" w:type="dxa"/>
            <w:shd w:val="clear" w:color="auto" w:fill="auto"/>
            <w:vAlign w:val="center"/>
          </w:tcPr>
          <w:p w:rsidR="00E47FE3" w:rsidRPr="00B854F6" w:rsidRDefault="00E47FE3" w:rsidP="00D86BBB">
            <w:pPr>
              <w:pStyle w:val="142"/>
              <w:ind w:left="647" w:hanging="647"/>
              <w:jc w:val="right"/>
            </w:pPr>
            <w:r>
              <w:rPr>
                <w:rFonts w:hint="eastAsia"/>
              </w:rPr>
              <w:t>60</w:t>
            </w:r>
            <w:r>
              <w:t>,</w:t>
            </w:r>
            <w:r>
              <w:rPr>
                <w:rFonts w:hint="eastAsia"/>
              </w:rPr>
              <w:t>000</w:t>
            </w:r>
            <w:r>
              <w:t>,</w:t>
            </w:r>
            <w:r>
              <w:rPr>
                <w:rFonts w:hint="eastAsia"/>
              </w:rPr>
              <w:t>000</w:t>
            </w:r>
          </w:p>
        </w:tc>
        <w:tc>
          <w:tcPr>
            <w:tcW w:w="1843" w:type="dxa"/>
            <w:shd w:val="clear" w:color="auto" w:fill="auto"/>
            <w:vAlign w:val="center"/>
          </w:tcPr>
          <w:p w:rsidR="00E47FE3" w:rsidRPr="004F2920" w:rsidRDefault="00E47FE3" w:rsidP="00D86BBB">
            <w:pPr>
              <w:pStyle w:val="142"/>
              <w:ind w:left="647" w:hanging="647"/>
              <w:jc w:val="right"/>
            </w:pPr>
            <w:r>
              <w:rPr>
                <w:rFonts w:hint="eastAsia"/>
              </w:rPr>
              <w:t>3</w:t>
            </w:r>
            <w:r>
              <w:t>,000,000</w:t>
            </w:r>
          </w:p>
        </w:tc>
        <w:tc>
          <w:tcPr>
            <w:tcW w:w="992" w:type="dxa"/>
            <w:tcBorders>
              <w:right w:val="single" w:sz="12" w:space="0" w:color="auto"/>
            </w:tcBorders>
            <w:shd w:val="clear" w:color="auto" w:fill="auto"/>
            <w:vAlign w:val="center"/>
          </w:tcPr>
          <w:p w:rsidR="00E47FE3" w:rsidRPr="004F2920" w:rsidRDefault="00E47FE3" w:rsidP="00D86BBB">
            <w:pPr>
              <w:pStyle w:val="142"/>
              <w:ind w:left="647" w:hanging="647"/>
              <w:jc w:val="right"/>
            </w:pPr>
            <w:r>
              <w:rPr>
                <w:rFonts w:hint="eastAsia"/>
              </w:rPr>
              <w:t>5</w:t>
            </w:r>
            <w:r>
              <w:t>.</w:t>
            </w:r>
            <w:r>
              <w:rPr>
                <w:rFonts w:hint="eastAsia"/>
              </w:rPr>
              <w:t>0</w:t>
            </w:r>
          </w:p>
        </w:tc>
      </w:tr>
      <w:tr w:rsidR="00E47FE3" w:rsidTr="00D86BBB">
        <w:trPr>
          <w:trHeight w:val="567"/>
        </w:trPr>
        <w:tc>
          <w:tcPr>
            <w:tcW w:w="3482" w:type="dxa"/>
            <w:tcBorders>
              <w:left w:val="single" w:sz="12" w:space="0" w:color="auto"/>
              <w:bottom w:val="single" w:sz="12" w:space="0" w:color="auto"/>
            </w:tcBorders>
            <w:shd w:val="clear" w:color="auto" w:fill="auto"/>
            <w:vAlign w:val="center"/>
          </w:tcPr>
          <w:p w:rsidR="00E47FE3" w:rsidRPr="007F778D" w:rsidRDefault="00E47FE3" w:rsidP="00D86BBB">
            <w:pPr>
              <w:pStyle w:val="142"/>
              <w:jc w:val="both"/>
            </w:pPr>
            <w:r>
              <w:rPr>
                <w:rFonts w:hint="eastAsia"/>
              </w:rPr>
              <w:t>本特別預算案</w:t>
            </w:r>
          </w:p>
        </w:tc>
        <w:tc>
          <w:tcPr>
            <w:tcW w:w="2126" w:type="dxa"/>
            <w:tcBorders>
              <w:bottom w:val="single" w:sz="12" w:space="0" w:color="auto"/>
            </w:tcBorders>
            <w:shd w:val="clear" w:color="auto" w:fill="auto"/>
            <w:vAlign w:val="center"/>
          </w:tcPr>
          <w:p w:rsidR="00E47FE3" w:rsidRDefault="00E47FE3" w:rsidP="00D86BBB">
            <w:pPr>
              <w:pStyle w:val="142"/>
              <w:ind w:left="647" w:hanging="647"/>
              <w:jc w:val="right"/>
            </w:pPr>
            <w:r>
              <w:rPr>
                <w:rFonts w:hint="eastAsia"/>
              </w:rPr>
              <w:t>27</w:t>
            </w:r>
            <w:r>
              <w:t>,</w:t>
            </w:r>
            <w:r>
              <w:rPr>
                <w:rFonts w:hint="eastAsia"/>
              </w:rPr>
              <w:t>000</w:t>
            </w:r>
            <w:r>
              <w:t>,</w:t>
            </w:r>
            <w:r>
              <w:rPr>
                <w:rFonts w:hint="eastAsia"/>
              </w:rPr>
              <w:t>000</w:t>
            </w:r>
          </w:p>
        </w:tc>
        <w:tc>
          <w:tcPr>
            <w:tcW w:w="1843" w:type="dxa"/>
            <w:tcBorders>
              <w:bottom w:val="single" w:sz="12" w:space="0" w:color="auto"/>
            </w:tcBorders>
            <w:shd w:val="clear" w:color="auto" w:fill="auto"/>
            <w:vAlign w:val="center"/>
          </w:tcPr>
          <w:p w:rsidR="00E47FE3" w:rsidRDefault="00E47FE3" w:rsidP="00D86BBB">
            <w:pPr>
              <w:pStyle w:val="142"/>
              <w:ind w:left="647" w:hanging="647"/>
              <w:jc w:val="right"/>
            </w:pPr>
            <w:r>
              <w:rPr>
                <w:rFonts w:hint="eastAsia"/>
              </w:rPr>
              <w:t>1</w:t>
            </w:r>
            <w:r>
              <w:t>,</w:t>
            </w:r>
            <w:r>
              <w:rPr>
                <w:rFonts w:hint="eastAsia"/>
              </w:rPr>
              <w:t>5</w:t>
            </w:r>
            <w:r>
              <w:t>00,000</w:t>
            </w:r>
          </w:p>
        </w:tc>
        <w:tc>
          <w:tcPr>
            <w:tcW w:w="992" w:type="dxa"/>
            <w:tcBorders>
              <w:bottom w:val="single" w:sz="12" w:space="0" w:color="auto"/>
              <w:right w:val="single" w:sz="12" w:space="0" w:color="auto"/>
            </w:tcBorders>
            <w:shd w:val="clear" w:color="auto" w:fill="auto"/>
            <w:vAlign w:val="center"/>
          </w:tcPr>
          <w:p w:rsidR="00E47FE3" w:rsidRDefault="00E47FE3" w:rsidP="00D86BBB">
            <w:pPr>
              <w:pStyle w:val="142"/>
              <w:ind w:left="647" w:hanging="647"/>
              <w:jc w:val="right"/>
            </w:pPr>
            <w:r>
              <w:rPr>
                <w:rFonts w:hint="eastAsia"/>
              </w:rPr>
              <w:t>5</w:t>
            </w:r>
            <w:r>
              <w:t>.</w:t>
            </w:r>
            <w:r>
              <w:rPr>
                <w:rFonts w:hint="eastAsia"/>
              </w:rPr>
              <w:t>6</w:t>
            </w:r>
          </w:p>
        </w:tc>
      </w:tr>
    </w:tbl>
    <w:p w:rsidR="00E47FE3" w:rsidRDefault="00E47FE3" w:rsidP="00D86BBB">
      <w:pPr>
        <w:pStyle w:val="142"/>
      </w:pPr>
      <w:r w:rsidRPr="00B0061D">
        <w:t>資料來源：各特別預算</w:t>
      </w:r>
      <w:r>
        <w:rPr>
          <w:rFonts w:hint="eastAsia"/>
        </w:rPr>
        <w:t>書，本中心整理</w:t>
      </w:r>
      <w:r w:rsidRPr="00B0061D">
        <w:t>。</w:t>
      </w:r>
    </w:p>
    <w:p w:rsidR="00E47FE3" w:rsidRDefault="00E47FE3" w:rsidP="00D86BBB">
      <w:pPr>
        <w:ind w:leftChars="0" w:left="765" w:hangingChars="270" w:hanging="765"/>
      </w:pPr>
      <w:r w:rsidRPr="00356322">
        <w:rPr>
          <w:rFonts w:hint="eastAsia"/>
          <w:b/>
          <w:bCs/>
        </w:rPr>
        <w:t>表</w:t>
      </w:r>
      <w:r>
        <w:rPr>
          <w:rFonts w:hint="eastAsia"/>
          <w:b/>
          <w:bCs/>
        </w:rPr>
        <w:t>2</w:t>
      </w:r>
      <w:r w:rsidRPr="00356322">
        <w:rPr>
          <w:rFonts w:hint="eastAsia"/>
          <w:b/>
          <w:bCs/>
        </w:rPr>
        <w:t xml:space="preserve">  近10年中央政府總預</w:t>
      </w:r>
      <w:r w:rsidRPr="00B55D8E">
        <w:rPr>
          <w:rFonts w:hint="eastAsia"/>
          <w:b/>
          <w:bCs/>
        </w:rPr>
        <w:t>算編列</w:t>
      </w:r>
      <w:r>
        <w:rPr>
          <w:rFonts w:hint="eastAsia"/>
          <w:b/>
          <w:bCs/>
        </w:rPr>
        <w:t>「</w:t>
      </w:r>
      <w:r w:rsidRPr="00B55D8E">
        <w:rPr>
          <w:rFonts w:hint="eastAsia"/>
          <w:b/>
          <w:bCs/>
        </w:rPr>
        <w:t>災害準備金</w:t>
      </w:r>
      <w:r>
        <w:rPr>
          <w:rFonts w:hint="eastAsia"/>
          <w:b/>
          <w:bCs/>
        </w:rPr>
        <w:t>」</w:t>
      </w:r>
      <w:r w:rsidRPr="00B55D8E">
        <w:rPr>
          <w:rFonts w:hint="eastAsia"/>
          <w:b/>
          <w:bCs/>
        </w:rPr>
        <w:t>及</w:t>
      </w:r>
      <w:r>
        <w:rPr>
          <w:rFonts w:hint="eastAsia"/>
          <w:b/>
          <w:bCs/>
        </w:rPr>
        <w:t>「</w:t>
      </w:r>
      <w:r w:rsidRPr="00B55D8E">
        <w:rPr>
          <w:rFonts w:hint="eastAsia"/>
          <w:b/>
          <w:bCs/>
        </w:rPr>
        <w:t>第二預備</w:t>
      </w:r>
      <w:r w:rsidRPr="00356322">
        <w:rPr>
          <w:rFonts w:hint="eastAsia"/>
          <w:b/>
          <w:bCs/>
        </w:rPr>
        <w:t>金</w:t>
      </w:r>
      <w:r>
        <w:rPr>
          <w:rFonts w:hint="eastAsia"/>
          <w:b/>
          <w:bCs/>
        </w:rPr>
        <w:t>」</w:t>
      </w:r>
      <w:r w:rsidRPr="00356322">
        <w:rPr>
          <w:rFonts w:hint="eastAsia"/>
          <w:b/>
          <w:bCs/>
        </w:rPr>
        <w:t>情形表</w:t>
      </w:r>
      <w:r>
        <w:rPr>
          <w:rFonts w:hint="eastAsia"/>
          <w:b/>
          <w:bCs/>
        </w:rPr>
        <w:t xml:space="preserve">                                </w:t>
      </w:r>
      <w:r w:rsidRPr="00DB17A1">
        <w:rPr>
          <w:rStyle w:val="143"/>
          <w:rFonts w:hint="eastAsia"/>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94"/>
        <w:gridCol w:w="1587"/>
        <w:gridCol w:w="1587"/>
        <w:gridCol w:w="1587"/>
        <w:gridCol w:w="1984"/>
        <w:gridCol w:w="904"/>
      </w:tblGrid>
      <w:tr w:rsidR="00E47FE3" w:rsidTr="00D86BBB">
        <w:trPr>
          <w:tblHeader/>
        </w:trPr>
        <w:tc>
          <w:tcPr>
            <w:tcW w:w="794" w:type="dxa"/>
            <w:shd w:val="clear" w:color="auto" w:fill="auto"/>
            <w:vAlign w:val="center"/>
          </w:tcPr>
          <w:p w:rsidR="00E47FE3" w:rsidRDefault="00E47FE3" w:rsidP="00D86BBB">
            <w:pPr>
              <w:pStyle w:val="142"/>
              <w:ind w:left="647" w:hanging="647"/>
              <w:jc w:val="center"/>
            </w:pPr>
            <w:r>
              <w:rPr>
                <w:rFonts w:hint="eastAsia"/>
              </w:rPr>
              <w:t>年度</w:t>
            </w:r>
          </w:p>
        </w:tc>
        <w:tc>
          <w:tcPr>
            <w:tcW w:w="1587" w:type="dxa"/>
            <w:shd w:val="clear" w:color="auto" w:fill="auto"/>
            <w:vAlign w:val="center"/>
          </w:tcPr>
          <w:p w:rsidR="00E47FE3" w:rsidRDefault="00E47FE3" w:rsidP="00D86BBB">
            <w:pPr>
              <w:pStyle w:val="142"/>
              <w:ind w:left="647" w:hanging="647"/>
              <w:jc w:val="center"/>
            </w:pPr>
            <w:r>
              <w:rPr>
                <w:rFonts w:hint="eastAsia"/>
              </w:rPr>
              <w:t>災害準備金</w:t>
            </w:r>
          </w:p>
        </w:tc>
        <w:tc>
          <w:tcPr>
            <w:tcW w:w="1587" w:type="dxa"/>
            <w:shd w:val="clear" w:color="auto" w:fill="auto"/>
            <w:vAlign w:val="center"/>
          </w:tcPr>
          <w:p w:rsidR="00E47FE3" w:rsidRDefault="00E47FE3" w:rsidP="00D86BBB">
            <w:pPr>
              <w:pStyle w:val="142"/>
              <w:ind w:left="647" w:hanging="647"/>
              <w:jc w:val="center"/>
            </w:pPr>
            <w:r>
              <w:rPr>
                <w:rFonts w:hint="eastAsia"/>
              </w:rPr>
              <w:t>第二預備金</w:t>
            </w:r>
          </w:p>
        </w:tc>
        <w:tc>
          <w:tcPr>
            <w:tcW w:w="1587" w:type="dxa"/>
            <w:shd w:val="clear" w:color="auto" w:fill="auto"/>
            <w:vAlign w:val="center"/>
          </w:tcPr>
          <w:p w:rsidR="00E47FE3" w:rsidRDefault="00E47FE3" w:rsidP="00D86BBB">
            <w:pPr>
              <w:pStyle w:val="142"/>
              <w:ind w:left="647" w:hanging="647"/>
              <w:jc w:val="center"/>
            </w:pPr>
            <w:r>
              <w:rPr>
                <w:rFonts w:hint="eastAsia"/>
              </w:rPr>
              <w:t>合計</w:t>
            </w:r>
          </w:p>
        </w:tc>
        <w:tc>
          <w:tcPr>
            <w:tcW w:w="1984" w:type="dxa"/>
            <w:shd w:val="clear" w:color="auto" w:fill="auto"/>
            <w:vAlign w:val="center"/>
          </w:tcPr>
          <w:p w:rsidR="00E47FE3" w:rsidRDefault="00E47FE3" w:rsidP="00D86BBB">
            <w:pPr>
              <w:pStyle w:val="142"/>
              <w:ind w:left="647" w:hanging="647"/>
              <w:jc w:val="center"/>
            </w:pPr>
            <w:r>
              <w:rPr>
                <w:rFonts w:hint="eastAsia"/>
              </w:rPr>
              <w:t>歲出總額</w:t>
            </w:r>
          </w:p>
        </w:tc>
        <w:tc>
          <w:tcPr>
            <w:tcW w:w="904" w:type="dxa"/>
            <w:shd w:val="clear" w:color="auto" w:fill="auto"/>
            <w:vAlign w:val="center"/>
          </w:tcPr>
          <w:p w:rsidR="00E47FE3" w:rsidRDefault="00E47FE3" w:rsidP="00D86BBB">
            <w:pPr>
              <w:pStyle w:val="142"/>
              <w:ind w:left="647" w:hanging="647"/>
              <w:jc w:val="center"/>
            </w:pPr>
            <w:r>
              <w:rPr>
                <w:rFonts w:hint="eastAsia"/>
              </w:rPr>
              <w:t>占比</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106</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1</w:t>
            </w:r>
            <w:r>
              <w:t>,973,995,947</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0.476</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107</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1</w:t>
            </w:r>
            <w:r>
              <w:t>,966,862,309</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0.478</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108</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1</w:t>
            </w:r>
            <w:r>
              <w:t>,997,977,761</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0.470</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109</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,077,568,744</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0.452</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110</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,135,896,877</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0.440</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111</w:t>
            </w:r>
          </w:p>
        </w:tc>
        <w:tc>
          <w:tcPr>
            <w:tcW w:w="1587" w:type="dxa"/>
            <w:shd w:val="clear" w:color="auto" w:fill="auto"/>
            <w:vAlign w:val="center"/>
          </w:tcPr>
          <w:p w:rsidR="00E47FE3" w:rsidRDefault="00E47FE3" w:rsidP="00D86BBB">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12,400,000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,251,064,897</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0.551</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112</w:t>
            </w:r>
          </w:p>
        </w:tc>
        <w:tc>
          <w:tcPr>
            <w:tcW w:w="1587" w:type="dxa"/>
            <w:shd w:val="clear" w:color="auto" w:fill="auto"/>
            <w:vAlign w:val="center"/>
          </w:tcPr>
          <w:p w:rsidR="00E47FE3" w:rsidRDefault="00E47FE3" w:rsidP="00D86BBB">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12,400,000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,689,097,857</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0.461</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113</w:t>
            </w:r>
          </w:p>
        </w:tc>
        <w:tc>
          <w:tcPr>
            <w:tcW w:w="1587"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int="eastAsia"/>
              </w:rPr>
              <w:t>7</w:t>
            </w:r>
            <w:r>
              <w:t>,</w:t>
            </w:r>
            <w:r>
              <w:rPr>
                <w:rFonts w:hint="eastAsia"/>
              </w:rPr>
              <w:t>400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9,400,000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w:t>
            </w:r>
            <w:r>
              <w:rPr>
                <w:rFonts w:hint="eastAsia"/>
              </w:rPr>
              <w:t>851</w:t>
            </w:r>
            <w:r>
              <w:t>,</w:t>
            </w:r>
            <w:r>
              <w:rPr>
                <w:rFonts w:hint="eastAsia"/>
              </w:rPr>
              <w:t>855</w:t>
            </w:r>
            <w:r>
              <w:t>,</w:t>
            </w:r>
            <w:r>
              <w:rPr>
                <w:rFonts w:hint="eastAsia"/>
              </w:rPr>
              <w:t>874</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0.330</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114</w:t>
            </w:r>
          </w:p>
        </w:tc>
        <w:tc>
          <w:tcPr>
            <w:tcW w:w="1587" w:type="dxa"/>
            <w:shd w:val="clear" w:color="auto" w:fill="auto"/>
            <w:vAlign w:val="center"/>
          </w:tcPr>
          <w:p w:rsidR="00E47FE3" w:rsidRDefault="00E47FE3" w:rsidP="00D86BBB">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t>8,0</w:t>
            </w:r>
            <w:r>
              <w:rPr>
                <w:rFonts w:hint="eastAsia"/>
              </w:rPr>
              <w:t>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rPr>
                <w:rFonts w:hAnsi="標楷體" w:hint="eastAsia"/>
                <w:color w:val="000000"/>
              </w:rPr>
              <w:t>13,000,000</w:t>
            </w:r>
          </w:p>
        </w:tc>
        <w:tc>
          <w:tcPr>
            <w:tcW w:w="1984" w:type="dxa"/>
            <w:shd w:val="clear" w:color="auto" w:fill="auto"/>
            <w:vAlign w:val="center"/>
          </w:tcPr>
          <w:p w:rsidR="00E47FE3" w:rsidRDefault="00E47FE3" w:rsidP="00D86BBB">
            <w:pPr>
              <w:pStyle w:val="142"/>
              <w:ind w:left="647" w:hanging="647"/>
              <w:jc w:val="right"/>
            </w:pPr>
            <w:r>
              <w:rPr>
                <w:rFonts w:hint="eastAsia"/>
              </w:rPr>
              <w:t>2</w:t>
            </w:r>
            <w:r>
              <w:t>,924,966,563</w:t>
            </w:r>
          </w:p>
        </w:tc>
        <w:tc>
          <w:tcPr>
            <w:tcW w:w="904" w:type="dxa"/>
            <w:shd w:val="clear" w:color="auto" w:fill="auto"/>
            <w:vAlign w:val="center"/>
          </w:tcPr>
          <w:p w:rsidR="00E47FE3" w:rsidRDefault="00E47FE3" w:rsidP="00D86BBB">
            <w:pPr>
              <w:pStyle w:val="142"/>
              <w:ind w:left="647" w:hanging="647"/>
              <w:jc w:val="right"/>
            </w:pPr>
            <w:r>
              <w:rPr>
                <w:rFonts w:hAnsi="標楷體" w:hint="eastAsia"/>
                <w:color w:val="000000"/>
              </w:rPr>
              <w:t>0.444</w:t>
            </w:r>
          </w:p>
        </w:tc>
      </w:tr>
      <w:tr w:rsidR="00E47FE3" w:rsidTr="00D86BBB">
        <w:tc>
          <w:tcPr>
            <w:tcW w:w="794" w:type="dxa"/>
            <w:shd w:val="clear" w:color="auto" w:fill="auto"/>
            <w:vAlign w:val="center"/>
          </w:tcPr>
          <w:p w:rsidR="00E47FE3" w:rsidRDefault="00E47FE3" w:rsidP="00D86BBB">
            <w:pPr>
              <w:pStyle w:val="142"/>
              <w:ind w:left="647" w:hanging="647"/>
              <w:jc w:val="center"/>
            </w:pPr>
            <w:r>
              <w:rPr>
                <w:rFonts w:hint="eastAsia"/>
              </w:rPr>
              <w:t>115</w:t>
            </w:r>
          </w:p>
        </w:tc>
        <w:tc>
          <w:tcPr>
            <w:tcW w:w="1587" w:type="dxa"/>
            <w:shd w:val="clear" w:color="auto" w:fill="auto"/>
            <w:vAlign w:val="center"/>
          </w:tcPr>
          <w:p w:rsidR="00E47FE3" w:rsidRDefault="00E47FE3" w:rsidP="00D86BBB">
            <w:pPr>
              <w:pStyle w:val="142"/>
              <w:ind w:left="647" w:hanging="647"/>
              <w:jc w:val="right"/>
            </w:pPr>
            <w:r>
              <w:t>5,</w:t>
            </w:r>
            <w:r>
              <w:rPr>
                <w:rFonts w:hint="eastAsia"/>
              </w:rPr>
              <w:t>000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pPr>
            <w:r>
              <w:t>8,0</w:t>
            </w:r>
            <w:r>
              <w:rPr>
                <w:rFonts w:hint="eastAsia"/>
              </w:rPr>
              <w:t>00</w:t>
            </w:r>
            <w:r>
              <w:t>,</w:t>
            </w:r>
            <w:r>
              <w:rPr>
                <w:rFonts w:hint="eastAsia"/>
              </w:rPr>
              <w:t>000</w:t>
            </w:r>
          </w:p>
        </w:tc>
        <w:tc>
          <w:tcPr>
            <w:tcW w:w="1587" w:type="dxa"/>
            <w:shd w:val="clear" w:color="auto" w:fill="auto"/>
            <w:vAlign w:val="center"/>
          </w:tcPr>
          <w:p w:rsidR="00E47FE3" w:rsidRDefault="00E47FE3" w:rsidP="00D86BBB">
            <w:pPr>
              <w:pStyle w:val="142"/>
              <w:ind w:left="647" w:hanging="647"/>
              <w:jc w:val="right"/>
              <w:rPr>
                <w:rFonts w:hAnsi="標楷體"/>
                <w:color w:val="000000"/>
              </w:rPr>
            </w:pPr>
            <w:r>
              <w:rPr>
                <w:rFonts w:hAnsi="標楷體" w:hint="eastAsia"/>
                <w:color w:val="000000"/>
              </w:rPr>
              <w:t>13,000,000</w:t>
            </w:r>
          </w:p>
        </w:tc>
        <w:tc>
          <w:tcPr>
            <w:tcW w:w="1984" w:type="dxa"/>
            <w:shd w:val="clear" w:color="auto" w:fill="auto"/>
            <w:vAlign w:val="center"/>
          </w:tcPr>
          <w:p w:rsidR="00E47FE3" w:rsidRDefault="00E47FE3" w:rsidP="00D86BBB">
            <w:pPr>
              <w:pStyle w:val="142"/>
              <w:ind w:left="647" w:hanging="647"/>
              <w:jc w:val="right"/>
            </w:pPr>
            <w:r>
              <w:rPr>
                <w:rFonts w:hint="eastAsia"/>
              </w:rPr>
              <w:t>3</w:t>
            </w:r>
            <w:r>
              <w:t>,</w:t>
            </w:r>
            <w:r>
              <w:rPr>
                <w:rFonts w:hint="eastAsia"/>
              </w:rPr>
              <w:t>034</w:t>
            </w:r>
            <w:r>
              <w:t>,</w:t>
            </w:r>
            <w:r>
              <w:rPr>
                <w:rFonts w:hint="eastAsia"/>
              </w:rPr>
              <w:t>974</w:t>
            </w:r>
            <w:r>
              <w:t>,</w:t>
            </w:r>
            <w:r>
              <w:rPr>
                <w:rFonts w:hint="eastAsia"/>
              </w:rPr>
              <w:t>371</w:t>
            </w:r>
          </w:p>
        </w:tc>
        <w:tc>
          <w:tcPr>
            <w:tcW w:w="904" w:type="dxa"/>
            <w:shd w:val="clear" w:color="auto" w:fill="auto"/>
            <w:vAlign w:val="center"/>
          </w:tcPr>
          <w:p w:rsidR="00E47FE3" w:rsidRDefault="00E47FE3" w:rsidP="00D86BBB">
            <w:pPr>
              <w:pStyle w:val="142"/>
              <w:ind w:left="647" w:hanging="647"/>
              <w:jc w:val="right"/>
              <w:rPr>
                <w:rFonts w:hAnsi="標楷體"/>
                <w:color w:val="000000"/>
              </w:rPr>
            </w:pPr>
            <w:r>
              <w:rPr>
                <w:rFonts w:hAnsi="標楷體" w:hint="eastAsia"/>
                <w:color w:val="000000"/>
              </w:rPr>
              <w:t>0</w:t>
            </w:r>
            <w:r>
              <w:rPr>
                <w:rFonts w:hAnsi="標楷體"/>
                <w:color w:val="000000"/>
              </w:rPr>
              <w:t>.428</w:t>
            </w:r>
          </w:p>
        </w:tc>
      </w:tr>
    </w:tbl>
    <w:p w:rsidR="00E47FE3" w:rsidRDefault="00E47FE3" w:rsidP="00D86BBB">
      <w:pPr>
        <w:pStyle w:val="142"/>
        <w:ind w:left="1134" w:hanging="1134"/>
      </w:pPr>
      <w:r>
        <w:rPr>
          <w:rFonts w:hint="eastAsia"/>
        </w:rPr>
        <w:lastRenderedPageBreak/>
        <w:t>說    明：115年度為預算案數，其餘年度為法定預算數。</w:t>
      </w:r>
    </w:p>
    <w:p w:rsidR="00E47FE3" w:rsidRDefault="00E47FE3" w:rsidP="00D86BBB">
      <w:pPr>
        <w:pStyle w:val="142"/>
        <w:ind w:left="1134" w:hanging="1134"/>
      </w:pPr>
      <w:r>
        <w:rPr>
          <w:rFonts w:hint="eastAsia"/>
        </w:rPr>
        <w:t>資料來源：歷年中央政府總預算書，本中心整理。</w:t>
      </w:r>
    </w:p>
    <w:p w:rsidR="00E47FE3" w:rsidRPr="007C64BD" w:rsidRDefault="00E47FE3" w:rsidP="00D86BBB">
      <w:pPr>
        <w:pStyle w:val="a6"/>
        <w:ind w:left="849" w:hanging="283"/>
        <w:rPr>
          <w:b/>
          <w:bCs/>
        </w:rPr>
      </w:pPr>
      <w:r w:rsidRPr="007C64BD">
        <w:rPr>
          <w:rFonts w:hint="eastAsia"/>
          <w:b/>
          <w:bCs/>
        </w:rPr>
        <w:t>(三)災害防救法及</w:t>
      </w:r>
      <w:r>
        <w:rPr>
          <w:rFonts w:hint="eastAsia"/>
          <w:b/>
          <w:bCs/>
        </w:rPr>
        <w:t>本</w:t>
      </w:r>
      <w:r w:rsidRPr="007C64BD">
        <w:rPr>
          <w:rFonts w:hint="eastAsia"/>
          <w:b/>
          <w:bCs/>
        </w:rPr>
        <w:t>特別條例均有移緩濟急之</w:t>
      </w:r>
      <w:r>
        <w:rPr>
          <w:rFonts w:hint="eastAsia"/>
          <w:b/>
          <w:bCs/>
        </w:rPr>
        <w:t>經費運用措施</w:t>
      </w:r>
      <w:r w:rsidRPr="007C64BD">
        <w:rPr>
          <w:rFonts w:hint="eastAsia"/>
          <w:b/>
          <w:bCs/>
        </w:rPr>
        <w:t>，且歷年災害準備金多有賸餘</w:t>
      </w:r>
      <w:r>
        <w:rPr>
          <w:rFonts w:hint="eastAsia"/>
          <w:b/>
          <w:bCs/>
        </w:rPr>
        <w:t>，宜妥善運用現行</w:t>
      </w:r>
      <w:r w:rsidRPr="007C64BD">
        <w:rPr>
          <w:rFonts w:hint="eastAsia"/>
          <w:b/>
          <w:bCs/>
        </w:rPr>
        <w:t>彈性預算機制</w:t>
      </w:r>
    </w:p>
    <w:p w:rsidR="00E47FE3" w:rsidRDefault="00E47FE3" w:rsidP="00D86BBB">
      <w:pPr>
        <w:pStyle w:val="22"/>
        <w:ind w:left="850" w:firstLine="566"/>
      </w:pPr>
      <w:r>
        <w:rPr>
          <w:rFonts w:hint="eastAsia"/>
        </w:rPr>
        <w:t>我國</w:t>
      </w:r>
      <w:r w:rsidRPr="008B6209">
        <w:rPr>
          <w:rFonts w:hint="eastAsia"/>
        </w:rPr>
        <w:t>為健全災害防救體制，強化災害防救功能，提升全民防災意識及災害應變能力，</w:t>
      </w:r>
      <w:r>
        <w:rPr>
          <w:rFonts w:hint="eastAsia"/>
        </w:rPr>
        <w:t>訂有災害防救法，依據該法第57條規定：「實施本法災害防救之經費，由各級政府按本法所定應辦事項，依法編列預算。各級政府編列之災害防救經費，如有不敷支應災害發生時之應變措施及災後之復原重建所需，應視需要情形調整當年度收支移緩濟急支應，不受預算法第62條及第63條規定之限制。</w:t>
      </w:r>
      <w:r>
        <w:t>…</w:t>
      </w:r>
      <w:r>
        <w:rPr>
          <w:rFonts w:hint="eastAsia"/>
        </w:rPr>
        <w:t>。」又</w:t>
      </w:r>
      <w:r w:rsidRPr="007C3335">
        <w:rPr>
          <w:rFonts w:hint="eastAsia"/>
        </w:rPr>
        <w:t>本</w:t>
      </w:r>
      <w:r>
        <w:rPr>
          <w:rFonts w:hint="eastAsia"/>
        </w:rPr>
        <w:t>特別</w:t>
      </w:r>
      <w:r w:rsidRPr="007C3335">
        <w:rPr>
          <w:rFonts w:hint="eastAsia"/>
        </w:rPr>
        <w:t>條例</w:t>
      </w:r>
      <w:r>
        <w:rPr>
          <w:rFonts w:hint="eastAsia"/>
        </w:rPr>
        <w:t>第7條第1項規定略以</w:t>
      </w:r>
      <w:r>
        <w:rPr>
          <w:rStyle w:val="af8"/>
        </w:rPr>
        <w:footnoteReference w:id="2"/>
      </w:r>
      <w:r>
        <w:rPr>
          <w:rFonts w:hint="eastAsia"/>
        </w:rPr>
        <w:t>，本特別</w:t>
      </w:r>
      <w:r>
        <w:t>預算編製及執行不受預算法第</w:t>
      </w:r>
      <w:r>
        <w:rPr>
          <w:rFonts w:hint="eastAsia"/>
        </w:rPr>
        <w:t>23</w:t>
      </w:r>
      <w:r>
        <w:t>條</w:t>
      </w:r>
      <w:r>
        <w:rPr>
          <w:rFonts w:hint="eastAsia"/>
        </w:rPr>
        <w:t>有關</w:t>
      </w:r>
      <w:r>
        <w:t>不得充經常支出、第</w:t>
      </w:r>
      <w:r>
        <w:rPr>
          <w:rFonts w:hint="eastAsia"/>
        </w:rPr>
        <w:t>62</w:t>
      </w:r>
      <w:r>
        <w:t>條</w:t>
      </w:r>
      <w:r>
        <w:rPr>
          <w:rFonts w:hint="eastAsia"/>
        </w:rPr>
        <w:t>有關</w:t>
      </w:r>
      <w:r>
        <w:t>各機關、各政事及計畫或業務科目間</w:t>
      </w:r>
      <w:r w:rsidRPr="00B65503">
        <w:t>不得流用</w:t>
      </w:r>
      <w:r>
        <w:rPr>
          <w:rFonts w:hint="eastAsia"/>
        </w:rPr>
        <w:t>，以及</w:t>
      </w:r>
      <w:r w:rsidRPr="00B65503">
        <w:t>第63條有關流用比率之限制。</w:t>
      </w:r>
    </w:p>
    <w:p w:rsidR="00E47FE3" w:rsidRDefault="00E47FE3" w:rsidP="00D86BBB">
      <w:pPr>
        <w:pStyle w:val="22"/>
        <w:ind w:left="850" w:firstLine="566"/>
      </w:pPr>
      <w:r>
        <w:rPr>
          <w:rFonts w:hint="eastAsia"/>
        </w:rPr>
        <w:t>另以近年災害準備金預算編列情形觀之(詳表3)，除110及113年度係編列20億元外，111及112年度因應</w:t>
      </w:r>
      <w:r>
        <w:t>配合</w:t>
      </w:r>
      <w:r>
        <w:rPr>
          <w:rFonts w:hint="eastAsia"/>
        </w:rPr>
        <w:t>C</w:t>
      </w:r>
      <w:r>
        <w:t>ovid-19疫情需要</w:t>
      </w:r>
      <w:r>
        <w:rPr>
          <w:rFonts w:hint="eastAsia"/>
        </w:rPr>
        <w:t>增編至50億元，114及115年度則</w:t>
      </w:r>
      <w:r>
        <w:t>考量臺灣因位處地震帶及受極端氣候影響，各種災害頻傳且規模逐漸擴大，為及時因應緊急重大災害之需</w:t>
      </w:r>
      <w:r>
        <w:rPr>
          <w:rFonts w:hint="eastAsia"/>
        </w:rPr>
        <w:t>，亦增編至50億元；另有關110至113年度災害準備金預算執行結果，除113年度全數執行完畢外，其餘年度均有賸餘，其中111及112年度之賸餘數分別為4億5</w:t>
      </w:r>
      <w:r>
        <w:t>,</w:t>
      </w:r>
      <w:r>
        <w:rPr>
          <w:rFonts w:hint="eastAsia"/>
        </w:rPr>
        <w:t>090萬9千元及4億2</w:t>
      </w:r>
      <w:r>
        <w:t>,</w:t>
      </w:r>
      <w:r>
        <w:rPr>
          <w:rFonts w:hint="eastAsia"/>
        </w:rPr>
        <w:t>256萬2千元，執行率各僅91.0%及91.5%，略低於其他年度，又114年度截至9月底止實際執行數為0.39億元，占累計分配數0.41億元之95.12%。</w:t>
      </w:r>
      <w:r w:rsidRPr="00B65503">
        <w:t>爰此，</w:t>
      </w:r>
      <w:r w:rsidRPr="00B65503">
        <w:rPr>
          <w:rFonts w:hint="eastAsia"/>
        </w:rPr>
        <w:t>考量災害防救法及本特別條例均有移緩濟急之</w:t>
      </w:r>
      <w:r>
        <w:rPr>
          <w:rFonts w:hint="eastAsia"/>
        </w:rPr>
        <w:t>經費運用措施</w:t>
      </w:r>
      <w:r w:rsidRPr="00B65503">
        <w:rPr>
          <w:rFonts w:hint="eastAsia"/>
        </w:rPr>
        <w:t>，且歷</w:t>
      </w:r>
      <w:r w:rsidRPr="00B65503">
        <w:rPr>
          <w:rFonts w:hint="eastAsia"/>
        </w:rPr>
        <w:lastRenderedPageBreak/>
        <w:t>年災害準備金多有賸餘，</w:t>
      </w:r>
      <w:r>
        <w:rPr>
          <w:rFonts w:hint="eastAsia"/>
        </w:rPr>
        <w:t>114年度為因應</w:t>
      </w:r>
      <w:r>
        <w:t>極端氣候</w:t>
      </w:r>
      <w:r>
        <w:rPr>
          <w:rFonts w:hint="eastAsia"/>
        </w:rPr>
        <w:t>可能致災之</w:t>
      </w:r>
      <w:r>
        <w:t>影響</w:t>
      </w:r>
      <w:r>
        <w:rPr>
          <w:rFonts w:hint="eastAsia"/>
        </w:rPr>
        <w:t>增編至50億元，惟扣除截至9月底止累計分配數0.41億元後，尚可動支</w:t>
      </w:r>
      <w:r w:rsidRPr="00DC3FDB">
        <w:rPr>
          <w:rFonts w:hint="eastAsia"/>
        </w:rPr>
        <w:t>49.59億元</w:t>
      </w:r>
      <w:r>
        <w:rPr>
          <w:rFonts w:hint="eastAsia"/>
        </w:rPr>
        <w:t>，爰允宜優先並妥善運用現行</w:t>
      </w:r>
      <w:r w:rsidRPr="00B65503">
        <w:rPr>
          <w:rFonts w:hint="eastAsia"/>
        </w:rPr>
        <w:t>彈性預算機制</w:t>
      </w:r>
      <w:r>
        <w:rPr>
          <w:rFonts w:hint="eastAsia"/>
        </w:rPr>
        <w:t>。</w:t>
      </w:r>
    </w:p>
    <w:p w:rsidR="00E47FE3" w:rsidRDefault="00E47FE3" w:rsidP="00D86BBB">
      <w:pPr>
        <w:ind w:leftChars="0" w:left="0" w:firstLineChars="0" w:firstLine="0"/>
        <w:rPr>
          <w:b/>
          <w:bCs/>
        </w:rPr>
      </w:pPr>
      <w:r w:rsidRPr="00356322">
        <w:rPr>
          <w:rFonts w:hint="eastAsia"/>
          <w:b/>
          <w:bCs/>
        </w:rPr>
        <w:t>表</w:t>
      </w:r>
      <w:r>
        <w:rPr>
          <w:rFonts w:hint="eastAsia"/>
          <w:b/>
          <w:bCs/>
        </w:rPr>
        <w:t>3</w:t>
      </w:r>
      <w:r w:rsidRPr="00356322">
        <w:rPr>
          <w:rFonts w:hint="eastAsia"/>
          <w:b/>
          <w:bCs/>
        </w:rPr>
        <w:t xml:space="preserve">  </w:t>
      </w:r>
      <w:r>
        <w:rPr>
          <w:rFonts w:hint="eastAsia"/>
          <w:b/>
          <w:bCs/>
        </w:rPr>
        <w:t>110至115年度災害準備金預算編列及執行</w:t>
      </w:r>
      <w:r w:rsidRPr="00356322">
        <w:rPr>
          <w:rFonts w:hint="eastAsia"/>
          <w:b/>
          <w:bCs/>
        </w:rPr>
        <w:t>情形表</w:t>
      </w:r>
    </w:p>
    <w:p w:rsidR="00E47FE3" w:rsidRDefault="00E47FE3" w:rsidP="00D86BBB">
      <w:pPr>
        <w:pStyle w:val="142"/>
        <w:jc w:val="right"/>
      </w:pPr>
      <w:r w:rsidRPr="00356322">
        <w:rPr>
          <w:rFonts w:hint="eastAsia"/>
          <w:szCs w:val="24"/>
        </w:rPr>
        <w:t>單位：新臺幣千元；%</w:t>
      </w:r>
    </w:p>
    <w:tbl>
      <w:tblPr>
        <w:tblW w:w="844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37"/>
        <w:gridCol w:w="1417"/>
        <w:gridCol w:w="1417"/>
        <w:gridCol w:w="1417"/>
        <w:gridCol w:w="1417"/>
        <w:gridCol w:w="964"/>
        <w:gridCol w:w="1074"/>
      </w:tblGrid>
      <w:tr w:rsidR="00E47FE3" w:rsidRPr="00C87D3A" w:rsidTr="00D86BBB">
        <w:trPr>
          <w:tblHeader/>
        </w:trPr>
        <w:tc>
          <w:tcPr>
            <w:tcW w:w="737" w:type="dxa"/>
            <w:vMerge w:val="restart"/>
            <w:shd w:val="clear" w:color="auto" w:fill="auto"/>
            <w:vAlign w:val="center"/>
          </w:tcPr>
          <w:p w:rsidR="00E47FE3" w:rsidRPr="00C87D3A" w:rsidRDefault="00E47FE3" w:rsidP="00D86BBB">
            <w:pPr>
              <w:pStyle w:val="142"/>
              <w:ind w:left="647" w:hanging="647"/>
              <w:jc w:val="center"/>
            </w:pPr>
            <w:r w:rsidRPr="00C87D3A">
              <w:rPr>
                <w:rFonts w:hint="eastAsia"/>
              </w:rPr>
              <w:t>年度</w:t>
            </w:r>
          </w:p>
        </w:tc>
        <w:tc>
          <w:tcPr>
            <w:tcW w:w="1417" w:type="dxa"/>
            <w:vMerge w:val="restart"/>
            <w:shd w:val="clear" w:color="auto" w:fill="auto"/>
            <w:vAlign w:val="center"/>
          </w:tcPr>
          <w:p w:rsidR="00E47FE3" w:rsidRPr="00C87D3A" w:rsidRDefault="00E47FE3" w:rsidP="00D86BBB">
            <w:pPr>
              <w:pStyle w:val="142"/>
              <w:ind w:left="647" w:hanging="647"/>
              <w:jc w:val="center"/>
            </w:pPr>
            <w:r w:rsidRPr="00C87D3A">
              <w:rPr>
                <w:rFonts w:hint="eastAsia"/>
              </w:rPr>
              <w:t>預算數</w:t>
            </w:r>
          </w:p>
        </w:tc>
        <w:tc>
          <w:tcPr>
            <w:tcW w:w="4251" w:type="dxa"/>
            <w:gridSpan w:val="3"/>
            <w:shd w:val="clear" w:color="auto" w:fill="auto"/>
            <w:vAlign w:val="center"/>
          </w:tcPr>
          <w:p w:rsidR="00E47FE3" w:rsidRPr="00C87D3A" w:rsidRDefault="00E47FE3" w:rsidP="00D86BBB">
            <w:pPr>
              <w:pStyle w:val="142"/>
              <w:ind w:left="647" w:hanging="647"/>
              <w:jc w:val="center"/>
            </w:pPr>
            <w:r w:rsidRPr="00C87D3A">
              <w:rPr>
                <w:rFonts w:hint="eastAsia"/>
              </w:rPr>
              <w:t>決算數</w:t>
            </w:r>
          </w:p>
        </w:tc>
        <w:tc>
          <w:tcPr>
            <w:tcW w:w="964" w:type="dxa"/>
            <w:vMerge w:val="restart"/>
            <w:vAlign w:val="center"/>
          </w:tcPr>
          <w:p w:rsidR="00E47FE3" w:rsidRPr="00DA735B" w:rsidRDefault="00E47FE3" w:rsidP="00D86BBB">
            <w:pPr>
              <w:pStyle w:val="142"/>
            </w:pPr>
            <w:r w:rsidRPr="00DA735B">
              <w:rPr>
                <w:rFonts w:hint="eastAsia"/>
              </w:rPr>
              <w:t>執行率</w:t>
            </w:r>
          </w:p>
        </w:tc>
        <w:tc>
          <w:tcPr>
            <w:tcW w:w="1074" w:type="dxa"/>
            <w:vMerge w:val="restart"/>
            <w:shd w:val="clear" w:color="auto" w:fill="auto"/>
            <w:vAlign w:val="center"/>
          </w:tcPr>
          <w:p w:rsidR="00E47FE3" w:rsidRPr="00C87D3A" w:rsidRDefault="00E47FE3" w:rsidP="00D86BBB">
            <w:pPr>
              <w:pStyle w:val="142"/>
              <w:ind w:left="647" w:hanging="647"/>
              <w:jc w:val="center"/>
            </w:pPr>
            <w:r w:rsidRPr="00C87D3A">
              <w:t>賸餘數</w:t>
            </w:r>
          </w:p>
        </w:tc>
      </w:tr>
      <w:tr w:rsidR="00E47FE3" w:rsidRPr="00C87D3A" w:rsidTr="00D86BBB">
        <w:trPr>
          <w:tblHeader/>
        </w:trPr>
        <w:tc>
          <w:tcPr>
            <w:tcW w:w="737" w:type="dxa"/>
            <w:vMerge/>
            <w:shd w:val="clear" w:color="auto" w:fill="auto"/>
            <w:vAlign w:val="center"/>
          </w:tcPr>
          <w:p w:rsidR="00E47FE3" w:rsidRPr="00C87D3A" w:rsidRDefault="00E47FE3" w:rsidP="00D86BBB">
            <w:pPr>
              <w:pStyle w:val="142"/>
              <w:ind w:left="647" w:hanging="647"/>
              <w:jc w:val="center"/>
            </w:pPr>
          </w:p>
        </w:tc>
        <w:tc>
          <w:tcPr>
            <w:tcW w:w="1417" w:type="dxa"/>
            <w:vMerge/>
            <w:shd w:val="clear" w:color="auto" w:fill="auto"/>
            <w:vAlign w:val="center"/>
          </w:tcPr>
          <w:p w:rsidR="00E47FE3" w:rsidRPr="00C87D3A" w:rsidRDefault="00E47FE3" w:rsidP="00D86BBB">
            <w:pPr>
              <w:pStyle w:val="142"/>
              <w:ind w:left="647" w:hanging="647"/>
            </w:pPr>
          </w:p>
        </w:tc>
        <w:tc>
          <w:tcPr>
            <w:tcW w:w="1417" w:type="dxa"/>
            <w:shd w:val="clear" w:color="auto" w:fill="auto"/>
            <w:vAlign w:val="center"/>
          </w:tcPr>
          <w:p w:rsidR="00E47FE3" w:rsidRPr="00C87D3A" w:rsidRDefault="00E47FE3" w:rsidP="00D86BBB">
            <w:pPr>
              <w:pStyle w:val="142"/>
              <w:ind w:left="647" w:hanging="647"/>
              <w:jc w:val="center"/>
            </w:pPr>
            <w:r w:rsidRPr="00C87D3A">
              <w:rPr>
                <w:rFonts w:hint="eastAsia"/>
              </w:rPr>
              <w:t>實現數</w:t>
            </w:r>
          </w:p>
        </w:tc>
        <w:tc>
          <w:tcPr>
            <w:tcW w:w="1417" w:type="dxa"/>
            <w:shd w:val="clear" w:color="auto" w:fill="auto"/>
            <w:vAlign w:val="center"/>
          </w:tcPr>
          <w:p w:rsidR="00E47FE3" w:rsidRPr="00C87D3A" w:rsidRDefault="00E47FE3" w:rsidP="00D86BBB">
            <w:pPr>
              <w:pStyle w:val="142"/>
              <w:ind w:left="647" w:hanging="647"/>
              <w:jc w:val="center"/>
            </w:pPr>
            <w:r w:rsidRPr="00C87D3A">
              <w:rPr>
                <w:rFonts w:hint="eastAsia"/>
              </w:rPr>
              <w:t>應付保留數</w:t>
            </w:r>
          </w:p>
        </w:tc>
        <w:tc>
          <w:tcPr>
            <w:tcW w:w="1417" w:type="dxa"/>
            <w:shd w:val="clear" w:color="auto" w:fill="auto"/>
            <w:vAlign w:val="center"/>
          </w:tcPr>
          <w:p w:rsidR="00E47FE3" w:rsidRPr="00C87D3A" w:rsidRDefault="00E47FE3" w:rsidP="00D86BBB">
            <w:pPr>
              <w:pStyle w:val="142"/>
              <w:ind w:left="647" w:hanging="647"/>
              <w:jc w:val="center"/>
            </w:pPr>
            <w:r w:rsidRPr="00C87D3A">
              <w:rPr>
                <w:rFonts w:hint="eastAsia"/>
              </w:rPr>
              <w:t>合計</w:t>
            </w:r>
          </w:p>
        </w:tc>
        <w:tc>
          <w:tcPr>
            <w:tcW w:w="964" w:type="dxa"/>
            <w:vMerge/>
          </w:tcPr>
          <w:p w:rsidR="00E47FE3" w:rsidRPr="00C87D3A" w:rsidRDefault="00E47FE3" w:rsidP="00D86BBB">
            <w:pPr>
              <w:pStyle w:val="142"/>
              <w:ind w:left="647" w:hanging="647"/>
            </w:pPr>
          </w:p>
        </w:tc>
        <w:tc>
          <w:tcPr>
            <w:tcW w:w="1074" w:type="dxa"/>
            <w:vMerge/>
            <w:shd w:val="clear" w:color="auto" w:fill="auto"/>
            <w:vAlign w:val="center"/>
          </w:tcPr>
          <w:p w:rsidR="00E47FE3" w:rsidRPr="00C87D3A" w:rsidRDefault="00E47FE3" w:rsidP="00D86BBB">
            <w:pPr>
              <w:pStyle w:val="142"/>
              <w:ind w:left="647" w:hanging="647"/>
              <w:jc w:val="center"/>
            </w:pPr>
          </w:p>
        </w:tc>
      </w:tr>
      <w:tr w:rsidR="00E47FE3" w:rsidRPr="00C87D3A" w:rsidTr="00D86BBB">
        <w:tc>
          <w:tcPr>
            <w:tcW w:w="737" w:type="dxa"/>
            <w:shd w:val="clear" w:color="auto" w:fill="auto"/>
            <w:vAlign w:val="center"/>
          </w:tcPr>
          <w:p w:rsidR="00E47FE3" w:rsidRPr="00C87D3A" w:rsidRDefault="00E47FE3" w:rsidP="00D86BBB">
            <w:pPr>
              <w:pStyle w:val="142"/>
              <w:ind w:left="647" w:hanging="647"/>
              <w:jc w:val="center"/>
            </w:pPr>
            <w:r w:rsidRPr="00C87D3A">
              <w:rPr>
                <w:rFonts w:hint="eastAsia"/>
              </w:rPr>
              <w:t>1</w:t>
            </w:r>
            <w:r w:rsidRPr="00C87D3A">
              <w:t>10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1</w:t>
            </w:r>
            <w:r w:rsidRPr="00C87D3A">
              <w:t>,995,33</w:t>
            </w:r>
            <w:r>
              <w:rPr>
                <w:rFonts w:hint="eastAsia"/>
              </w:rPr>
              <w:t>8</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1</w:t>
            </w:r>
            <w:r w:rsidRPr="00C87D3A">
              <w:t>,995,33</w:t>
            </w:r>
            <w:r>
              <w:rPr>
                <w:rFonts w:hint="eastAsia"/>
              </w:rPr>
              <w:t>8</w:t>
            </w:r>
          </w:p>
        </w:tc>
        <w:tc>
          <w:tcPr>
            <w:tcW w:w="964" w:type="dxa"/>
            <w:vAlign w:val="center"/>
          </w:tcPr>
          <w:p w:rsidR="00E47FE3" w:rsidRPr="00C87D3A" w:rsidRDefault="00E47FE3" w:rsidP="00D86BBB">
            <w:pPr>
              <w:pStyle w:val="142"/>
              <w:ind w:left="647" w:hanging="647"/>
              <w:jc w:val="right"/>
            </w:pPr>
            <w:r>
              <w:rPr>
                <w:rFonts w:hAnsi="標楷體" w:hint="eastAsia"/>
                <w:color w:val="000000"/>
              </w:rPr>
              <w:t>99.8</w:t>
            </w:r>
          </w:p>
        </w:tc>
        <w:tc>
          <w:tcPr>
            <w:tcW w:w="1074" w:type="dxa"/>
            <w:shd w:val="clear" w:color="auto" w:fill="auto"/>
            <w:vAlign w:val="center"/>
          </w:tcPr>
          <w:p w:rsidR="00E47FE3" w:rsidRPr="00C87D3A" w:rsidRDefault="00E47FE3" w:rsidP="00D86BBB">
            <w:pPr>
              <w:pStyle w:val="142"/>
              <w:ind w:left="647" w:hanging="647"/>
              <w:jc w:val="right"/>
            </w:pPr>
            <w:r w:rsidRPr="00C87D3A">
              <w:rPr>
                <w:rFonts w:hint="eastAsia"/>
              </w:rPr>
              <w:t>4,66</w:t>
            </w:r>
            <w:r>
              <w:rPr>
                <w:rFonts w:hint="eastAsia"/>
              </w:rPr>
              <w:t>2</w:t>
            </w:r>
          </w:p>
        </w:tc>
      </w:tr>
      <w:tr w:rsidR="00E47FE3" w:rsidRPr="00C87D3A" w:rsidTr="00D86BBB">
        <w:tc>
          <w:tcPr>
            <w:tcW w:w="737" w:type="dxa"/>
            <w:shd w:val="clear" w:color="auto" w:fill="auto"/>
            <w:vAlign w:val="center"/>
          </w:tcPr>
          <w:p w:rsidR="00E47FE3" w:rsidRPr="00C87D3A" w:rsidRDefault="00E47FE3" w:rsidP="00D86BBB">
            <w:pPr>
              <w:pStyle w:val="142"/>
              <w:ind w:left="647" w:hanging="647"/>
              <w:jc w:val="center"/>
            </w:pPr>
            <w:r w:rsidRPr="00C87D3A">
              <w:rPr>
                <w:rFonts w:hint="eastAsia"/>
              </w:rPr>
              <w:t>1</w:t>
            </w:r>
            <w:r w:rsidRPr="00C87D3A">
              <w:t>11</w:t>
            </w:r>
          </w:p>
        </w:tc>
        <w:tc>
          <w:tcPr>
            <w:tcW w:w="1417" w:type="dxa"/>
            <w:shd w:val="clear" w:color="auto" w:fill="auto"/>
            <w:vAlign w:val="center"/>
          </w:tcPr>
          <w:p w:rsidR="00E47FE3" w:rsidRPr="00C87D3A" w:rsidRDefault="00E47FE3" w:rsidP="00D86BBB">
            <w:pPr>
              <w:pStyle w:val="142"/>
              <w:ind w:left="647" w:hanging="647"/>
              <w:jc w:val="right"/>
            </w:pPr>
            <w:r w:rsidRPr="00C87D3A">
              <w:t>5,</w:t>
            </w:r>
            <w:r w:rsidRPr="00C87D3A">
              <w:rPr>
                <w:rFonts w:hint="eastAsia"/>
              </w:rPr>
              <w:t>000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4</w:t>
            </w:r>
            <w:r>
              <w:t>,</w:t>
            </w:r>
            <w:r>
              <w:rPr>
                <w:rFonts w:hint="eastAsia"/>
              </w:rPr>
              <w:t>162,618</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386</w:t>
            </w:r>
            <w:r>
              <w:t>,</w:t>
            </w:r>
            <w:r>
              <w:rPr>
                <w:rFonts w:hint="eastAsia"/>
              </w:rPr>
              <w:t>473</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4,549</w:t>
            </w:r>
            <w:r>
              <w:t>,</w:t>
            </w:r>
            <w:r>
              <w:rPr>
                <w:rFonts w:hint="eastAsia"/>
              </w:rPr>
              <w:t>091</w:t>
            </w:r>
          </w:p>
        </w:tc>
        <w:tc>
          <w:tcPr>
            <w:tcW w:w="964" w:type="dxa"/>
            <w:vAlign w:val="center"/>
          </w:tcPr>
          <w:p w:rsidR="00E47FE3" w:rsidRPr="00C87D3A" w:rsidRDefault="00E47FE3" w:rsidP="00D86BBB">
            <w:pPr>
              <w:pStyle w:val="142"/>
              <w:ind w:left="647" w:hanging="647"/>
              <w:jc w:val="right"/>
            </w:pPr>
            <w:r>
              <w:rPr>
                <w:rFonts w:hint="eastAsia"/>
              </w:rPr>
              <w:t>9</w:t>
            </w:r>
            <w:r>
              <w:t>1.0</w:t>
            </w:r>
          </w:p>
        </w:tc>
        <w:tc>
          <w:tcPr>
            <w:tcW w:w="1074" w:type="dxa"/>
            <w:shd w:val="clear" w:color="auto" w:fill="auto"/>
            <w:vAlign w:val="center"/>
          </w:tcPr>
          <w:p w:rsidR="00E47FE3" w:rsidRPr="00C87D3A" w:rsidRDefault="00E47FE3" w:rsidP="00D86BBB">
            <w:pPr>
              <w:pStyle w:val="142"/>
              <w:ind w:left="647" w:hanging="647"/>
              <w:jc w:val="right"/>
            </w:pPr>
            <w:r>
              <w:rPr>
                <w:rFonts w:hint="eastAsia"/>
              </w:rPr>
              <w:t>4</w:t>
            </w:r>
            <w:r>
              <w:t>50</w:t>
            </w:r>
            <w:r>
              <w:rPr>
                <w:rFonts w:hint="eastAsia"/>
              </w:rPr>
              <w:t>,</w:t>
            </w:r>
            <w:r>
              <w:t>9</w:t>
            </w:r>
            <w:r>
              <w:rPr>
                <w:rFonts w:hint="eastAsia"/>
              </w:rPr>
              <w:t>0</w:t>
            </w:r>
            <w:r>
              <w:t>9</w:t>
            </w:r>
          </w:p>
        </w:tc>
      </w:tr>
      <w:tr w:rsidR="00E47FE3" w:rsidRPr="00C87D3A" w:rsidTr="00D86BBB">
        <w:tc>
          <w:tcPr>
            <w:tcW w:w="737" w:type="dxa"/>
            <w:shd w:val="clear" w:color="auto" w:fill="auto"/>
            <w:vAlign w:val="center"/>
          </w:tcPr>
          <w:p w:rsidR="00E47FE3" w:rsidRPr="00C87D3A" w:rsidRDefault="00E47FE3" w:rsidP="00D86BBB">
            <w:pPr>
              <w:pStyle w:val="142"/>
              <w:ind w:left="647" w:hanging="647"/>
              <w:jc w:val="center"/>
            </w:pPr>
            <w:r w:rsidRPr="00C87D3A">
              <w:rPr>
                <w:rFonts w:hint="eastAsia"/>
              </w:rPr>
              <w:t>1</w:t>
            </w:r>
            <w:r w:rsidRPr="00C87D3A">
              <w:t>12</w:t>
            </w:r>
          </w:p>
        </w:tc>
        <w:tc>
          <w:tcPr>
            <w:tcW w:w="1417" w:type="dxa"/>
            <w:shd w:val="clear" w:color="auto" w:fill="auto"/>
            <w:vAlign w:val="center"/>
          </w:tcPr>
          <w:p w:rsidR="00E47FE3" w:rsidRPr="00C87D3A" w:rsidRDefault="00E47FE3" w:rsidP="00D86BBB">
            <w:pPr>
              <w:pStyle w:val="142"/>
              <w:ind w:left="647" w:hanging="647"/>
              <w:jc w:val="right"/>
            </w:pPr>
            <w:r w:rsidRPr="00C87D3A">
              <w:t>5,</w:t>
            </w:r>
            <w:r w:rsidRPr="00C87D3A">
              <w:rPr>
                <w:rFonts w:hint="eastAsia"/>
              </w:rPr>
              <w:t>000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3</w:t>
            </w:r>
            <w:r w:rsidRPr="00C87D3A">
              <w:t>,</w:t>
            </w:r>
            <w:r w:rsidRPr="00C87D3A">
              <w:rPr>
                <w:rFonts w:hint="eastAsia"/>
              </w:rPr>
              <w:t>457</w:t>
            </w:r>
            <w:r w:rsidRPr="00C87D3A">
              <w:t>,</w:t>
            </w:r>
            <w:r w:rsidRPr="00C87D3A">
              <w:rPr>
                <w:rFonts w:hint="eastAsia"/>
              </w:rPr>
              <w:t>438</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1</w:t>
            </w:r>
            <w:r w:rsidRPr="00C87D3A">
              <w:t>,</w:t>
            </w:r>
            <w:r w:rsidRPr="00C87D3A">
              <w:rPr>
                <w:rFonts w:hint="eastAsia"/>
              </w:rPr>
              <w:t>120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4</w:t>
            </w:r>
            <w:r w:rsidRPr="00C87D3A">
              <w:t>,</w:t>
            </w:r>
            <w:r w:rsidRPr="00C87D3A">
              <w:rPr>
                <w:rFonts w:hint="eastAsia"/>
              </w:rPr>
              <w:t>577</w:t>
            </w:r>
            <w:r w:rsidRPr="00C87D3A">
              <w:t>,</w:t>
            </w:r>
            <w:r w:rsidRPr="00C87D3A">
              <w:rPr>
                <w:rFonts w:hint="eastAsia"/>
              </w:rPr>
              <w:t>438</w:t>
            </w:r>
          </w:p>
        </w:tc>
        <w:tc>
          <w:tcPr>
            <w:tcW w:w="964" w:type="dxa"/>
            <w:vAlign w:val="center"/>
          </w:tcPr>
          <w:p w:rsidR="00E47FE3" w:rsidRPr="00C87D3A" w:rsidRDefault="00E47FE3" w:rsidP="00D86BBB">
            <w:pPr>
              <w:pStyle w:val="142"/>
              <w:ind w:left="647" w:hanging="647"/>
              <w:jc w:val="right"/>
            </w:pPr>
            <w:r>
              <w:rPr>
                <w:rFonts w:hAnsi="標楷體" w:hint="eastAsia"/>
                <w:color w:val="000000"/>
              </w:rPr>
              <w:t>91.5</w:t>
            </w:r>
          </w:p>
        </w:tc>
        <w:tc>
          <w:tcPr>
            <w:tcW w:w="1074" w:type="dxa"/>
            <w:shd w:val="clear" w:color="auto" w:fill="auto"/>
            <w:vAlign w:val="center"/>
          </w:tcPr>
          <w:p w:rsidR="00E47FE3" w:rsidRPr="00C87D3A" w:rsidRDefault="00E47FE3" w:rsidP="00D86BBB">
            <w:pPr>
              <w:pStyle w:val="142"/>
              <w:ind w:left="647" w:hanging="647"/>
              <w:jc w:val="right"/>
            </w:pPr>
            <w:r w:rsidRPr="00C87D3A">
              <w:rPr>
                <w:rFonts w:hint="eastAsia"/>
              </w:rPr>
              <w:t>422,562</w:t>
            </w:r>
          </w:p>
        </w:tc>
      </w:tr>
      <w:tr w:rsidR="00E47FE3" w:rsidRPr="00C87D3A" w:rsidTr="00D86BBB">
        <w:tc>
          <w:tcPr>
            <w:tcW w:w="737" w:type="dxa"/>
            <w:shd w:val="clear" w:color="auto" w:fill="auto"/>
            <w:vAlign w:val="center"/>
          </w:tcPr>
          <w:p w:rsidR="00E47FE3" w:rsidRPr="00C87D3A" w:rsidRDefault="00E47FE3" w:rsidP="00D86BBB">
            <w:pPr>
              <w:pStyle w:val="142"/>
              <w:ind w:left="647" w:hanging="647"/>
              <w:jc w:val="center"/>
            </w:pPr>
            <w:r w:rsidRPr="00C87D3A">
              <w:rPr>
                <w:rFonts w:hint="eastAsia"/>
              </w:rPr>
              <w:t>1</w:t>
            </w:r>
            <w:r w:rsidRPr="00C87D3A">
              <w:t>13</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1</w:t>
            </w:r>
            <w:r w:rsidRPr="00C87D3A">
              <w:t>,</w:t>
            </w:r>
            <w:r w:rsidRPr="00C87D3A">
              <w:rPr>
                <w:rFonts w:hint="eastAsia"/>
              </w:rPr>
              <w:t>100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900</w:t>
            </w:r>
            <w:r w:rsidRPr="00C87D3A">
              <w:t>,</w:t>
            </w:r>
            <w:r w:rsidRPr="00C87D3A">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sidRPr="00C87D3A">
              <w:rPr>
                <w:rFonts w:hint="eastAsia"/>
              </w:rPr>
              <w:t>2</w:t>
            </w:r>
            <w:r w:rsidRPr="00C87D3A">
              <w:t>,</w:t>
            </w:r>
            <w:r w:rsidRPr="00C87D3A">
              <w:rPr>
                <w:rFonts w:hint="eastAsia"/>
              </w:rPr>
              <w:t>000</w:t>
            </w:r>
            <w:r w:rsidRPr="00C87D3A">
              <w:t>,</w:t>
            </w:r>
            <w:r w:rsidRPr="00C87D3A">
              <w:rPr>
                <w:rFonts w:hint="eastAsia"/>
              </w:rPr>
              <w:t>000</w:t>
            </w:r>
          </w:p>
        </w:tc>
        <w:tc>
          <w:tcPr>
            <w:tcW w:w="964" w:type="dxa"/>
            <w:vAlign w:val="center"/>
          </w:tcPr>
          <w:p w:rsidR="00E47FE3" w:rsidRPr="00C87D3A" w:rsidRDefault="00E47FE3" w:rsidP="00D86BBB">
            <w:pPr>
              <w:pStyle w:val="142"/>
              <w:ind w:left="647" w:hanging="647"/>
              <w:jc w:val="right"/>
            </w:pPr>
            <w:r>
              <w:rPr>
                <w:rFonts w:hAnsi="標楷體" w:hint="eastAsia"/>
                <w:color w:val="000000"/>
              </w:rPr>
              <w:t>100.0</w:t>
            </w:r>
          </w:p>
        </w:tc>
        <w:tc>
          <w:tcPr>
            <w:tcW w:w="1074" w:type="dxa"/>
            <w:shd w:val="clear" w:color="auto" w:fill="auto"/>
            <w:vAlign w:val="center"/>
          </w:tcPr>
          <w:p w:rsidR="00E47FE3" w:rsidRPr="00C87D3A" w:rsidRDefault="00E47FE3" w:rsidP="00D86BBB">
            <w:pPr>
              <w:pStyle w:val="142"/>
              <w:ind w:left="647" w:hanging="647"/>
              <w:jc w:val="right"/>
            </w:pPr>
            <w:r w:rsidRPr="00C87D3A">
              <w:rPr>
                <w:rFonts w:hint="eastAsia"/>
              </w:rPr>
              <w:t>0</w:t>
            </w:r>
          </w:p>
        </w:tc>
      </w:tr>
      <w:tr w:rsidR="00E47FE3" w:rsidRPr="00C87D3A" w:rsidTr="00D86BBB">
        <w:tc>
          <w:tcPr>
            <w:tcW w:w="737" w:type="dxa"/>
            <w:shd w:val="clear" w:color="auto" w:fill="auto"/>
            <w:vAlign w:val="center"/>
          </w:tcPr>
          <w:p w:rsidR="00E47FE3" w:rsidRPr="00C87D3A" w:rsidRDefault="00E47FE3" w:rsidP="00D86BBB">
            <w:pPr>
              <w:pStyle w:val="142"/>
              <w:ind w:left="647" w:hanging="647"/>
              <w:jc w:val="center"/>
            </w:pPr>
            <w:r>
              <w:rPr>
                <w:rFonts w:hint="eastAsia"/>
              </w:rPr>
              <w:t>114</w:t>
            </w:r>
          </w:p>
        </w:tc>
        <w:tc>
          <w:tcPr>
            <w:tcW w:w="1417" w:type="dxa"/>
            <w:shd w:val="clear" w:color="auto" w:fill="auto"/>
            <w:vAlign w:val="center"/>
          </w:tcPr>
          <w:p w:rsidR="00E47FE3" w:rsidRPr="00C87D3A" w:rsidRDefault="00E47FE3" w:rsidP="00D86BBB">
            <w:pPr>
              <w:pStyle w:val="142"/>
              <w:ind w:left="647" w:hanging="647"/>
              <w:jc w:val="right"/>
            </w:pPr>
            <w:r>
              <w:t>5,</w:t>
            </w:r>
            <w:r>
              <w:rPr>
                <w:rFonts w:hint="eastAsia"/>
              </w:rPr>
              <w:t>000</w:t>
            </w:r>
            <w:r>
              <w:t>,</w:t>
            </w:r>
            <w:r>
              <w:rPr>
                <w:rFonts w:hint="eastAsia"/>
              </w:rPr>
              <w:t>000</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39</w:t>
            </w:r>
            <w:r>
              <w:t>,000</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w:t>
            </w:r>
          </w:p>
        </w:tc>
        <w:tc>
          <w:tcPr>
            <w:tcW w:w="1417" w:type="dxa"/>
            <w:shd w:val="clear" w:color="auto" w:fill="auto"/>
            <w:vAlign w:val="center"/>
          </w:tcPr>
          <w:p w:rsidR="00E47FE3" w:rsidRPr="00C87D3A" w:rsidRDefault="00E47FE3" w:rsidP="00D86BBB">
            <w:pPr>
              <w:pStyle w:val="142"/>
              <w:ind w:left="647" w:hanging="647"/>
              <w:jc w:val="right"/>
            </w:pPr>
            <w:r>
              <w:rPr>
                <w:rFonts w:hint="eastAsia"/>
              </w:rPr>
              <w:t>39</w:t>
            </w:r>
            <w:r>
              <w:t>,000</w:t>
            </w:r>
          </w:p>
        </w:tc>
        <w:tc>
          <w:tcPr>
            <w:tcW w:w="964" w:type="dxa"/>
            <w:vAlign w:val="center"/>
          </w:tcPr>
          <w:p w:rsidR="00E47FE3" w:rsidRDefault="00E47FE3" w:rsidP="00D86BBB">
            <w:pPr>
              <w:pStyle w:val="142"/>
              <w:ind w:left="647" w:hanging="647"/>
              <w:jc w:val="right"/>
              <w:rPr>
                <w:rFonts w:hAnsi="標楷體"/>
                <w:color w:val="000000"/>
              </w:rPr>
            </w:pPr>
            <w:r>
              <w:rPr>
                <w:rFonts w:hAnsi="標楷體"/>
                <w:color w:val="000000"/>
              </w:rPr>
              <w:t>-</w:t>
            </w:r>
          </w:p>
        </w:tc>
        <w:tc>
          <w:tcPr>
            <w:tcW w:w="1074" w:type="dxa"/>
            <w:shd w:val="clear" w:color="auto" w:fill="auto"/>
            <w:vAlign w:val="center"/>
          </w:tcPr>
          <w:p w:rsidR="00E47FE3" w:rsidRPr="00C87D3A" w:rsidRDefault="00E47FE3" w:rsidP="00D86BBB">
            <w:pPr>
              <w:pStyle w:val="142"/>
              <w:ind w:left="647" w:hanging="647"/>
              <w:jc w:val="right"/>
            </w:pPr>
            <w:r>
              <w:rPr>
                <w:rFonts w:hint="eastAsia"/>
              </w:rPr>
              <w:t>-</w:t>
            </w:r>
          </w:p>
        </w:tc>
      </w:tr>
      <w:tr w:rsidR="00E47FE3" w:rsidRPr="00C87D3A" w:rsidTr="00D86BBB">
        <w:tc>
          <w:tcPr>
            <w:tcW w:w="737" w:type="dxa"/>
            <w:shd w:val="clear" w:color="auto" w:fill="auto"/>
            <w:vAlign w:val="center"/>
          </w:tcPr>
          <w:p w:rsidR="00E47FE3" w:rsidRDefault="00E47FE3" w:rsidP="00D86BBB">
            <w:pPr>
              <w:pStyle w:val="142"/>
              <w:ind w:left="647" w:hanging="647"/>
              <w:jc w:val="center"/>
            </w:pPr>
            <w:r>
              <w:rPr>
                <w:rFonts w:hint="eastAsia"/>
              </w:rPr>
              <w:t>1</w:t>
            </w:r>
            <w:r>
              <w:t>15</w:t>
            </w:r>
          </w:p>
        </w:tc>
        <w:tc>
          <w:tcPr>
            <w:tcW w:w="1417" w:type="dxa"/>
            <w:shd w:val="clear" w:color="auto" w:fill="auto"/>
            <w:vAlign w:val="center"/>
          </w:tcPr>
          <w:p w:rsidR="00E47FE3" w:rsidRDefault="00E47FE3" w:rsidP="00D86BBB">
            <w:pPr>
              <w:pStyle w:val="142"/>
              <w:ind w:left="647" w:hanging="647"/>
              <w:jc w:val="right"/>
            </w:pPr>
            <w:r>
              <w:t>5,</w:t>
            </w:r>
            <w:r>
              <w:rPr>
                <w:rFonts w:hint="eastAsia"/>
              </w:rPr>
              <w:t>000</w:t>
            </w:r>
            <w:r>
              <w:t>,</w:t>
            </w:r>
            <w:r>
              <w:rPr>
                <w:rFonts w:hint="eastAsia"/>
              </w:rPr>
              <w:t>000</w:t>
            </w:r>
          </w:p>
        </w:tc>
        <w:tc>
          <w:tcPr>
            <w:tcW w:w="1417" w:type="dxa"/>
            <w:shd w:val="clear" w:color="auto" w:fill="auto"/>
            <w:vAlign w:val="center"/>
          </w:tcPr>
          <w:p w:rsidR="00E47FE3" w:rsidRDefault="00E47FE3" w:rsidP="00D86BBB">
            <w:pPr>
              <w:pStyle w:val="142"/>
              <w:ind w:left="647" w:hanging="647"/>
              <w:jc w:val="right"/>
            </w:pPr>
            <w:r>
              <w:rPr>
                <w:rFonts w:hint="eastAsia"/>
              </w:rPr>
              <w:t>-</w:t>
            </w:r>
          </w:p>
        </w:tc>
        <w:tc>
          <w:tcPr>
            <w:tcW w:w="1417" w:type="dxa"/>
            <w:shd w:val="clear" w:color="auto" w:fill="auto"/>
            <w:vAlign w:val="center"/>
          </w:tcPr>
          <w:p w:rsidR="00E47FE3" w:rsidRDefault="00E47FE3" w:rsidP="00D86BBB">
            <w:pPr>
              <w:pStyle w:val="142"/>
              <w:ind w:left="647" w:hanging="647"/>
              <w:jc w:val="right"/>
            </w:pPr>
            <w:r>
              <w:rPr>
                <w:rFonts w:hint="eastAsia"/>
              </w:rPr>
              <w:t>-</w:t>
            </w:r>
          </w:p>
        </w:tc>
        <w:tc>
          <w:tcPr>
            <w:tcW w:w="1417" w:type="dxa"/>
            <w:shd w:val="clear" w:color="auto" w:fill="auto"/>
            <w:vAlign w:val="center"/>
          </w:tcPr>
          <w:p w:rsidR="00E47FE3" w:rsidRDefault="00E47FE3" w:rsidP="00D86BBB">
            <w:pPr>
              <w:pStyle w:val="142"/>
              <w:ind w:left="647" w:hanging="647"/>
              <w:jc w:val="right"/>
            </w:pPr>
            <w:r>
              <w:rPr>
                <w:rFonts w:hint="eastAsia"/>
              </w:rPr>
              <w:t>-</w:t>
            </w:r>
          </w:p>
        </w:tc>
        <w:tc>
          <w:tcPr>
            <w:tcW w:w="964" w:type="dxa"/>
            <w:vAlign w:val="center"/>
          </w:tcPr>
          <w:p w:rsidR="00E47FE3" w:rsidRDefault="00E47FE3" w:rsidP="00D86BBB">
            <w:pPr>
              <w:pStyle w:val="142"/>
              <w:ind w:left="647" w:hanging="647"/>
              <w:jc w:val="right"/>
              <w:rPr>
                <w:rFonts w:hAnsi="標楷體"/>
                <w:color w:val="000000"/>
              </w:rPr>
            </w:pPr>
            <w:r>
              <w:rPr>
                <w:rFonts w:hAnsi="標楷體" w:hint="eastAsia"/>
                <w:color w:val="000000"/>
              </w:rPr>
              <w:t>-</w:t>
            </w:r>
          </w:p>
        </w:tc>
        <w:tc>
          <w:tcPr>
            <w:tcW w:w="1074" w:type="dxa"/>
            <w:shd w:val="clear" w:color="auto" w:fill="auto"/>
            <w:vAlign w:val="center"/>
          </w:tcPr>
          <w:p w:rsidR="00E47FE3" w:rsidRDefault="00E47FE3" w:rsidP="00D86BBB">
            <w:pPr>
              <w:pStyle w:val="142"/>
              <w:ind w:left="647" w:hanging="647"/>
              <w:jc w:val="right"/>
            </w:pPr>
            <w:r>
              <w:rPr>
                <w:rFonts w:hint="eastAsia"/>
              </w:rPr>
              <w:t>-</w:t>
            </w:r>
          </w:p>
        </w:tc>
      </w:tr>
    </w:tbl>
    <w:p w:rsidR="00E47FE3" w:rsidRDefault="00E47FE3" w:rsidP="00D86BBB">
      <w:pPr>
        <w:pStyle w:val="142"/>
        <w:ind w:left="1191" w:hanging="1191"/>
      </w:pPr>
      <w:r>
        <w:rPr>
          <w:rFonts w:hint="eastAsia"/>
        </w:rPr>
        <w:t>說    明：115年度為預算案數；另114年度決算數係截至第3季(9月底止)執行數，占累計分配數0.41億元之95.12%。</w:t>
      </w:r>
    </w:p>
    <w:p w:rsidR="00E47FE3" w:rsidRDefault="00E47FE3" w:rsidP="00D86BBB">
      <w:pPr>
        <w:pStyle w:val="142"/>
        <w:ind w:left="1191" w:hanging="1191"/>
      </w:pPr>
      <w:r>
        <w:rPr>
          <w:rFonts w:hint="eastAsia"/>
        </w:rPr>
        <w:t>資料來源：歷年中央政府總決算審核報告及114年度中央政府總預算截至第3季執行情形書面報告，本中心整理。</w:t>
      </w:r>
    </w:p>
    <w:p w:rsidR="00E47FE3" w:rsidRDefault="00E47FE3" w:rsidP="00D86BBB">
      <w:pPr>
        <w:ind w:left="566" w:firstLine="566"/>
      </w:pPr>
      <w:r>
        <w:rPr>
          <w:rFonts w:hint="eastAsia"/>
        </w:rPr>
        <w:t>綜上，本特別條預算案編列預備金15億元，惟其屬備用性質，未有相關災後復原重建計畫為編列準據，容與本特別條例及預算法規定未盡相合；又本特別預算案編列預備金占比為5.6%，較丹娜絲特別預算之占比高出0.6個百分點，且對照其他</w:t>
      </w:r>
      <w:r w:rsidRPr="00890929">
        <w:rPr>
          <w:rFonts w:hint="eastAsia"/>
        </w:rPr>
        <w:t>歷次災害特別預算及中央政府總預算之預備金占比，</w:t>
      </w:r>
      <w:r>
        <w:rPr>
          <w:rFonts w:hint="eastAsia"/>
        </w:rPr>
        <w:t>亦有偏高之虞，</w:t>
      </w:r>
      <w:r w:rsidRPr="00890929">
        <w:rPr>
          <w:rFonts w:hint="eastAsia"/>
        </w:rPr>
        <w:t>其</w:t>
      </w:r>
      <w:r>
        <w:rPr>
          <w:rFonts w:hint="eastAsia"/>
        </w:rPr>
        <w:t>妥適</w:t>
      </w:r>
      <w:r w:rsidRPr="00890929">
        <w:rPr>
          <w:rFonts w:hint="eastAsia"/>
        </w:rPr>
        <w:t>性容</w:t>
      </w:r>
      <w:r>
        <w:rPr>
          <w:rFonts w:hint="eastAsia"/>
        </w:rPr>
        <w:t>可詳加審酌；此外，</w:t>
      </w:r>
      <w:r w:rsidRPr="00F860A3">
        <w:rPr>
          <w:rFonts w:hint="eastAsia"/>
        </w:rPr>
        <w:t>災害防救法及</w:t>
      </w:r>
      <w:r>
        <w:rPr>
          <w:rFonts w:hint="eastAsia"/>
        </w:rPr>
        <w:t>本</w:t>
      </w:r>
      <w:r w:rsidRPr="00F860A3">
        <w:rPr>
          <w:rFonts w:hint="eastAsia"/>
        </w:rPr>
        <w:t>特別條例均</w:t>
      </w:r>
      <w:r>
        <w:rPr>
          <w:rFonts w:hint="eastAsia"/>
        </w:rPr>
        <w:t>訂</w:t>
      </w:r>
      <w:r w:rsidRPr="00F860A3">
        <w:rPr>
          <w:rFonts w:hint="eastAsia"/>
        </w:rPr>
        <w:t>有移緩濟急之</w:t>
      </w:r>
      <w:r>
        <w:rPr>
          <w:rFonts w:hint="eastAsia"/>
        </w:rPr>
        <w:t>經費運用</w:t>
      </w:r>
      <w:r w:rsidRPr="00F860A3">
        <w:rPr>
          <w:rFonts w:hint="eastAsia"/>
        </w:rPr>
        <w:t>措施</w:t>
      </w:r>
      <w:r>
        <w:rPr>
          <w:rFonts w:hint="eastAsia"/>
        </w:rPr>
        <w:t>，且近年災害準備金執行情形除113年度外均有賸餘數</w:t>
      </w:r>
      <w:r w:rsidRPr="00B65503">
        <w:rPr>
          <w:rFonts w:hint="eastAsia"/>
        </w:rPr>
        <w:t>，</w:t>
      </w:r>
      <w:r>
        <w:rPr>
          <w:rFonts w:hint="eastAsia"/>
        </w:rPr>
        <w:t>114年度為因應</w:t>
      </w:r>
      <w:r>
        <w:t>極端氣候</w:t>
      </w:r>
      <w:r>
        <w:rPr>
          <w:rFonts w:hint="eastAsia"/>
        </w:rPr>
        <w:t>可能致災之</w:t>
      </w:r>
      <w:r>
        <w:t>影響</w:t>
      </w:r>
      <w:r>
        <w:rPr>
          <w:rFonts w:hint="eastAsia"/>
        </w:rPr>
        <w:t>增編至50億元，惟截至第3季止，尚有49.59億元未動支，允</w:t>
      </w:r>
      <w:r w:rsidRPr="00F860A3">
        <w:rPr>
          <w:rFonts w:hint="eastAsia"/>
        </w:rPr>
        <w:t>宜妥善運用</w:t>
      </w:r>
      <w:r>
        <w:rPr>
          <w:rFonts w:hint="eastAsia"/>
        </w:rPr>
        <w:t>現行彈性預算</w:t>
      </w:r>
      <w:r w:rsidRPr="00F860A3">
        <w:rPr>
          <w:rFonts w:hint="eastAsia"/>
        </w:rPr>
        <w:t>機制</w:t>
      </w:r>
      <w:r>
        <w:rPr>
          <w:rFonts w:hint="eastAsia"/>
        </w:rPr>
        <w:t>，以因應各項災害防救經費所需。</w:t>
      </w:r>
    </w:p>
    <w:p w:rsidR="00E47FE3" w:rsidRPr="00890929" w:rsidRDefault="00E47FE3" w:rsidP="00D86BBB">
      <w:pPr>
        <w:pStyle w:val="ae"/>
        <w:wordWrap w:val="0"/>
      </w:pPr>
      <w:r>
        <w:rPr>
          <w:rFonts w:hint="eastAsia"/>
        </w:rPr>
        <w:t>(分機：1934 劉宜姈)</w:t>
      </w:r>
    </w:p>
    <w:sectPr w:rsidR="00E47FE3" w:rsidRPr="00890929" w:rsidSect="00223E5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14BD" w:rsidRDefault="009C14BD">
      <w:pPr>
        <w:spacing w:line="240" w:lineRule="auto"/>
        <w:ind w:left="560" w:firstLine="560"/>
      </w:pPr>
      <w:r>
        <w:separator/>
      </w:r>
    </w:p>
  </w:endnote>
  <w:endnote w:type="continuationSeparator" w:id="0">
    <w:p w:rsidR="009C14BD" w:rsidRDefault="009C14B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223E50">
    <w:pPr>
      <w:pStyle w:val="af4"/>
      <w:framePr w:wrap="around" w:vAnchor="text" w:hAnchor="margin" w:xAlign="center"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AF6915">
      <w:rPr>
        <w:rStyle w:val="afd"/>
        <w:noProof/>
      </w:rPr>
      <w:t>3</w:t>
    </w:r>
    <w:r>
      <w:rPr>
        <w:rStyle w:val="afd"/>
      </w:rPr>
      <w:fldChar w:fldCharType="end"/>
    </w:r>
  </w:p>
  <w:p w:rsidR="00D86BBB" w:rsidRPr="00223E50" w:rsidRDefault="00D86BBB" w:rsidP="00223E50">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14BD" w:rsidRDefault="009C14BD">
      <w:pPr>
        <w:spacing w:line="240" w:lineRule="auto"/>
        <w:ind w:left="560" w:firstLine="560"/>
      </w:pPr>
      <w:r>
        <w:separator/>
      </w:r>
    </w:p>
  </w:footnote>
  <w:footnote w:type="continuationSeparator" w:id="0">
    <w:p w:rsidR="009C14BD" w:rsidRDefault="009C14BD">
      <w:pPr>
        <w:spacing w:line="240" w:lineRule="auto"/>
        <w:ind w:left="560" w:firstLine="560"/>
      </w:pPr>
      <w:r>
        <w:continuationSeparator/>
      </w:r>
    </w:p>
  </w:footnote>
  <w:footnote w:id="1">
    <w:p w:rsidR="00D86BBB" w:rsidRPr="00B47C86" w:rsidRDefault="00D86BBB" w:rsidP="00D86BBB">
      <w:pPr>
        <w:pStyle w:val="142"/>
      </w:pPr>
      <w:r w:rsidRPr="00B47C86">
        <w:rPr>
          <w:rStyle w:val="af8"/>
        </w:rPr>
        <w:footnoteRef/>
      </w:r>
      <w:r w:rsidRPr="00B47C86">
        <w:t xml:space="preserve"> </w:t>
      </w:r>
      <w:r w:rsidRPr="00B47C86">
        <w:rPr>
          <w:rFonts w:hint="eastAsia"/>
        </w:rPr>
        <w:t>參本特別預算</w:t>
      </w:r>
      <w:r>
        <w:rPr>
          <w:rFonts w:hint="eastAsia"/>
        </w:rPr>
        <w:t>案</w:t>
      </w:r>
      <w:r w:rsidRPr="00B47C86">
        <w:rPr>
          <w:rFonts w:hint="eastAsia"/>
        </w:rPr>
        <w:t>第</w:t>
      </w:r>
      <w:r>
        <w:rPr>
          <w:rFonts w:hint="eastAsia"/>
        </w:rPr>
        <w:t>41</w:t>
      </w:r>
      <w:r w:rsidRPr="00B47C86">
        <w:rPr>
          <w:rFonts w:hint="eastAsia"/>
        </w:rPr>
        <w:t>頁。</w:t>
      </w:r>
    </w:p>
  </w:footnote>
  <w:footnote w:id="2">
    <w:p w:rsidR="00D86BBB" w:rsidRDefault="00D86BBB" w:rsidP="00D86BBB">
      <w:pPr>
        <w:pStyle w:val="142"/>
        <w:ind w:left="170" w:hangingChars="70" w:hanging="170"/>
        <w:jc w:val="both"/>
      </w:pPr>
      <w:r>
        <w:rPr>
          <w:rStyle w:val="af8"/>
        </w:rPr>
        <w:footnoteRef/>
      </w:r>
      <w:r>
        <w:t xml:space="preserve"> </w:t>
      </w:r>
      <w:r w:rsidRPr="00F5057C">
        <w:rPr>
          <w:rFonts w:hint="eastAsia"/>
        </w:rPr>
        <w:t>花蓮馬太鞍溪堰塞湖災後重建特別條例</w:t>
      </w:r>
      <w:r>
        <w:rPr>
          <w:rFonts w:hint="eastAsia"/>
        </w:rPr>
        <w:t>第7</w:t>
      </w:r>
      <w:r>
        <w:rPr>
          <w:rFonts w:hint="eastAsia"/>
        </w:rPr>
        <w:t>條第1項規定：「本條例所需經費上限為新臺幣300億元，得視情勢變化擬訂相關計畫，分期編列特別預算；其預算編製與執行不受預算法第23條、第62條及第63條規定之限制。」</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framePr w:wrap="around" w:vAnchor="text" w:hAnchor="margin" w:xAlign="right" w:y="1"/>
      <w:ind w:left="560" w:firstLine="400"/>
      <w:textDirection w:val="btLr"/>
      <w:rPr>
        <w:rStyle w:val="afd"/>
      </w:rPr>
    </w:pPr>
    <w:r>
      <w:rPr>
        <w:rStyle w:val="afd"/>
      </w:rPr>
      <w:fldChar w:fldCharType="begin"/>
    </w:r>
    <w:r>
      <w:rPr>
        <w:rStyle w:val="afd"/>
      </w:rPr>
      <w:instrText xml:space="preserve">PAGE  </w:instrText>
    </w:r>
    <w:r>
      <w:rPr>
        <w:rStyle w:val="afd"/>
      </w:rPr>
      <w:fldChar w:fldCharType="end"/>
    </w:r>
  </w:p>
  <w:p w:rsidR="00D86BBB" w:rsidRDefault="00D86BBB" w:rsidP="00D86BBB">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Pr="00223E50" w:rsidRDefault="00D86BBB" w:rsidP="00223E50">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BBB" w:rsidRDefault="00D86BBB" w:rsidP="00D86BBB">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B445D"/>
    <w:rsid w:val="00223E50"/>
    <w:rsid w:val="00254F0A"/>
    <w:rsid w:val="002E361A"/>
    <w:rsid w:val="003437C5"/>
    <w:rsid w:val="00345226"/>
    <w:rsid w:val="0048248B"/>
    <w:rsid w:val="005D285A"/>
    <w:rsid w:val="006B3F61"/>
    <w:rsid w:val="00852180"/>
    <w:rsid w:val="00917D2E"/>
    <w:rsid w:val="009C14BD"/>
    <w:rsid w:val="00A27869"/>
    <w:rsid w:val="00AF6915"/>
    <w:rsid w:val="00B64A21"/>
    <w:rsid w:val="00BF19FE"/>
    <w:rsid w:val="00D66FA9"/>
    <w:rsid w:val="00D86BBB"/>
    <w:rsid w:val="00DD6363"/>
    <w:rsid w:val="00E47FE3"/>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7385AAD-B071-4C83-B501-8F9A53B24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47FE3"/>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E47FE3"/>
    <w:pPr>
      <w:keepNext/>
      <w:spacing w:line="720" w:lineRule="atLeast"/>
      <w:outlineLvl w:val="1"/>
    </w:pPr>
    <w:rPr>
      <w:rFonts w:ascii="Arial" w:eastAsia="新細明體" w:hAnsi="Arial"/>
      <w:b/>
      <w:bCs/>
      <w:sz w:val="48"/>
      <w:szCs w:val="48"/>
    </w:rPr>
  </w:style>
  <w:style w:type="paragraph" w:styleId="4">
    <w:name w:val="heading 4"/>
    <w:basedOn w:val="a0"/>
    <w:next w:val="a0"/>
    <w:link w:val="40"/>
    <w:uiPriority w:val="9"/>
    <w:semiHidden/>
    <w:unhideWhenUsed/>
    <w:qFormat/>
    <w:rsid w:val="00254F0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pPr>
      <w:ind w:left="300" w:hangingChars="100" w:hanging="100"/>
    </w:pPr>
  </w:style>
  <w:style w:type="paragraph" w:customStyle="1" w:styleId="a7">
    <w:name w:val="(一)下內文"/>
    <w:basedOn w:val="a6"/>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nhideWhenUsed/>
    <w:rsid w:val="006B3F61"/>
    <w:pPr>
      <w:tabs>
        <w:tab w:val="center" w:pos="4153"/>
        <w:tab w:val="right" w:pos="8306"/>
      </w:tabs>
      <w:snapToGrid w:val="0"/>
    </w:pPr>
    <w:rPr>
      <w:sz w:val="20"/>
      <w:szCs w:val="20"/>
    </w:rPr>
  </w:style>
  <w:style w:type="paragraph" w:styleId="ac">
    <w:name w:val="table of figures"/>
    <w:basedOn w:val="a0"/>
    <w:next w:val="a0"/>
    <w:link w:val="af3"/>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5D285A"/>
    <w:pPr>
      <w:tabs>
        <w:tab w:val="right" w:leader="hyphen" w:pos="8490"/>
      </w:tabs>
      <w:ind w:leftChars="0" w:left="487" w:hangingChars="200" w:hanging="487"/>
      <w:jc w:val="right"/>
    </w:pPr>
    <w:rPr>
      <w:b/>
      <w:sz w:val="24"/>
      <w:szCs w:val="24"/>
    </w:rPr>
  </w:style>
  <w:style w:type="paragraph" w:styleId="24">
    <w:name w:val="toc 2"/>
    <w:basedOn w:val="a0"/>
    <w:next w:val="a0"/>
    <w:autoRedefine/>
    <w:uiPriority w:val="39"/>
    <w:pPr>
      <w:tabs>
        <w:tab w:val="right" w:leader="hyphen" w:pos="8490"/>
      </w:tabs>
      <w:ind w:leftChars="0" w:left="566" w:hangingChars="200" w:hanging="566"/>
    </w:pPr>
  </w:style>
  <w:style w:type="character" w:customStyle="1" w:styleId="af2">
    <w:name w:val="頁首 字元"/>
    <w:basedOn w:val="a1"/>
    <w:link w:val="af1"/>
    <w:uiPriority w:val="99"/>
    <w:rsid w:val="006B3F61"/>
    <w:rPr>
      <w:rFonts w:ascii="標楷體" w:eastAsia="標楷體"/>
      <w:snapToGrid w:val="0"/>
      <w:kern w:val="2"/>
    </w:rPr>
  </w:style>
  <w:style w:type="paragraph" w:styleId="af4">
    <w:name w:val="footer"/>
    <w:basedOn w:val="a0"/>
    <w:link w:val="af5"/>
    <w:unhideWhenUsed/>
    <w:rsid w:val="006B3F61"/>
    <w:pPr>
      <w:tabs>
        <w:tab w:val="center" w:pos="4153"/>
        <w:tab w:val="right" w:pos="8306"/>
      </w:tabs>
      <w:snapToGrid w:val="0"/>
    </w:pPr>
    <w:rPr>
      <w:sz w:val="20"/>
      <w:szCs w:val="20"/>
    </w:rPr>
  </w:style>
  <w:style w:type="character" w:customStyle="1" w:styleId="af5">
    <w:name w:val="頁尾 字元"/>
    <w:basedOn w:val="a1"/>
    <w:link w:val="af4"/>
    <w:uiPriority w:val="99"/>
    <w:rsid w:val="006B3F61"/>
    <w:rPr>
      <w:rFonts w:ascii="標楷體" w:eastAsia="標楷體"/>
      <w:snapToGrid w:val="0"/>
      <w:kern w:val="2"/>
    </w:rPr>
  </w:style>
  <w:style w:type="paragraph" w:styleId="af6">
    <w:name w:val="footnote text"/>
    <w:basedOn w:val="a0"/>
    <w:link w:val="af7"/>
    <w:unhideWhenUsed/>
    <w:rsid w:val="00B64A21"/>
    <w:pPr>
      <w:snapToGrid w:val="0"/>
      <w:jc w:val="left"/>
    </w:pPr>
    <w:rPr>
      <w:sz w:val="20"/>
      <w:szCs w:val="20"/>
    </w:rPr>
  </w:style>
  <w:style w:type="character" w:customStyle="1" w:styleId="af7">
    <w:name w:val="註腳文字 字元"/>
    <w:basedOn w:val="a1"/>
    <w:link w:val="af6"/>
    <w:rsid w:val="00B64A21"/>
    <w:rPr>
      <w:rFonts w:ascii="標楷體" w:eastAsia="標楷體"/>
      <w:snapToGrid w:val="0"/>
      <w:kern w:val="2"/>
    </w:rPr>
  </w:style>
  <w:style w:type="character" w:styleId="af8">
    <w:name w:val="footnote reference"/>
    <w:aliases w:val="4_G,FR,Ref,de nota al pie,註腳內容,Error-Fußnotenzeichen5,Error-Fußnotenzeichen6,Error-Fußnotenzeichen3,FZ,Error-Fusnotßnotenzeichen5,Error-Fußnotenzeic"/>
    <w:unhideWhenUsed/>
    <w:qFormat/>
    <w:rsid w:val="00B64A21"/>
    <w:rPr>
      <w:vertAlign w:val="superscript"/>
    </w:rPr>
  </w:style>
  <w:style w:type="character" w:customStyle="1" w:styleId="143">
    <w:name w:val="表格內文(14行高) 字元"/>
    <w:link w:val="142"/>
    <w:qFormat/>
    <w:rsid w:val="00B64A21"/>
    <w:rPr>
      <w:rFonts w:ascii="標楷體" w:eastAsia="標楷體"/>
      <w:snapToGrid w:val="0"/>
      <w:kern w:val="2"/>
      <w:sz w:val="24"/>
      <w:szCs w:val="28"/>
    </w:rPr>
  </w:style>
  <w:style w:type="paragraph" w:customStyle="1" w:styleId="af9">
    <w:name w:val="表格標題"/>
    <w:basedOn w:val="a0"/>
    <w:qFormat/>
    <w:rsid w:val="00B64A21"/>
    <w:pPr>
      <w:ind w:leftChars="0" w:left="1134" w:hangingChars="400" w:hanging="1134"/>
    </w:pPr>
    <w:rPr>
      <w:b/>
    </w:rPr>
  </w:style>
  <w:style w:type="table" w:styleId="afa">
    <w:name w:val="Table Grid"/>
    <w:basedOn w:val="a2"/>
    <w:uiPriority w:val="59"/>
    <w:rsid w:val="00B64A21"/>
    <w:pPr>
      <w:jc w:val="both"/>
    </w:pPr>
    <w:rPr>
      <w:rFonts w:ascii="Calibri" w:hAnsi="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Balloon Text"/>
    <w:basedOn w:val="a0"/>
    <w:link w:val="afc"/>
    <w:uiPriority w:val="99"/>
    <w:unhideWhenUsed/>
    <w:rsid w:val="00B64A21"/>
    <w:pPr>
      <w:spacing w:line="240" w:lineRule="auto"/>
    </w:pPr>
    <w:rPr>
      <w:rFonts w:ascii="Calibri Light" w:eastAsia="新細明體" w:hAnsi="Calibri Light"/>
      <w:sz w:val="18"/>
      <w:szCs w:val="18"/>
    </w:rPr>
  </w:style>
  <w:style w:type="character" w:customStyle="1" w:styleId="afc">
    <w:name w:val="註解方塊文字 字元"/>
    <w:basedOn w:val="a1"/>
    <w:link w:val="afb"/>
    <w:uiPriority w:val="99"/>
    <w:rsid w:val="00B64A21"/>
    <w:rPr>
      <w:rFonts w:ascii="Calibri Light" w:hAnsi="Calibri Light"/>
      <w:snapToGrid w:val="0"/>
      <w:kern w:val="2"/>
      <w:sz w:val="18"/>
      <w:szCs w:val="18"/>
    </w:rPr>
  </w:style>
  <w:style w:type="character" w:customStyle="1" w:styleId="140">
    <w:name w:val="第二層(14號字) 字元"/>
    <w:link w:val="14"/>
    <w:rsid w:val="00B64A21"/>
    <w:rPr>
      <w:rFonts w:ascii="標楷體" w:eastAsia="標楷體"/>
      <w:b/>
      <w:snapToGrid w:val="0"/>
      <w:kern w:val="2"/>
      <w:sz w:val="28"/>
    </w:rPr>
  </w:style>
  <w:style w:type="character" w:customStyle="1" w:styleId="23">
    <w:name w:val="(一)下內文縮2 字元"/>
    <w:link w:val="22"/>
    <w:qFormat/>
    <w:rsid w:val="00B64A21"/>
    <w:rPr>
      <w:rFonts w:ascii="標楷體" w:eastAsia="標楷體"/>
      <w:snapToGrid w:val="0"/>
      <w:kern w:val="2"/>
      <w:sz w:val="28"/>
      <w:szCs w:val="28"/>
    </w:rPr>
  </w:style>
  <w:style w:type="character" w:customStyle="1" w:styleId="21">
    <w:name w:val="(一)(二)(三) 字元2"/>
    <w:link w:val="a6"/>
    <w:qFormat/>
    <w:rsid w:val="00B64A21"/>
    <w:rPr>
      <w:rFonts w:ascii="標楷體" w:eastAsia="標楷體"/>
      <w:snapToGrid w:val="0"/>
      <w:kern w:val="2"/>
      <w:sz w:val="28"/>
      <w:szCs w:val="28"/>
    </w:rPr>
  </w:style>
  <w:style w:type="character" w:styleId="afd">
    <w:name w:val="page number"/>
    <w:basedOn w:val="a1"/>
    <w:unhideWhenUsed/>
    <w:rsid w:val="00B64A21"/>
  </w:style>
  <w:style w:type="character" w:customStyle="1" w:styleId="af">
    <w:name w:val="姓名及分機 字元"/>
    <w:link w:val="ae"/>
    <w:rsid w:val="00B64A21"/>
    <w:rPr>
      <w:rFonts w:ascii="標楷體" w:eastAsia="標楷體"/>
      <w:snapToGrid w:val="0"/>
      <w:kern w:val="2"/>
      <w:sz w:val="24"/>
      <w:szCs w:val="28"/>
    </w:rPr>
  </w:style>
  <w:style w:type="character" w:customStyle="1" w:styleId="1230">
    <w:name w:val="1.2.3. 字元"/>
    <w:link w:val="123"/>
    <w:rsid w:val="00B64A21"/>
    <w:rPr>
      <w:rFonts w:ascii="標楷體" w:eastAsia="標楷體"/>
      <w:snapToGrid w:val="0"/>
      <w:kern w:val="2"/>
      <w:sz w:val="28"/>
      <w:szCs w:val="28"/>
    </w:rPr>
  </w:style>
  <w:style w:type="character" w:customStyle="1" w:styleId="10">
    <w:name w:val="標題 1 字元"/>
    <w:basedOn w:val="a1"/>
    <w:link w:val="1"/>
    <w:uiPriority w:val="9"/>
    <w:rsid w:val="00E47FE3"/>
    <w:rPr>
      <w:rFonts w:ascii="Arial" w:hAnsi="Arial"/>
      <w:b/>
      <w:bCs/>
      <w:snapToGrid w:val="0"/>
      <w:kern w:val="52"/>
      <w:sz w:val="52"/>
      <w:szCs w:val="52"/>
    </w:rPr>
  </w:style>
  <w:style w:type="character" w:customStyle="1" w:styleId="20">
    <w:name w:val="標題 2 字元"/>
    <w:basedOn w:val="a1"/>
    <w:link w:val="2"/>
    <w:uiPriority w:val="9"/>
    <w:rsid w:val="00E47FE3"/>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E47FE3"/>
    <w:rPr>
      <w:rFonts w:ascii="標楷體" w:eastAsia="標楷體"/>
      <w:b/>
      <w:snapToGrid w:val="0"/>
      <w:kern w:val="2"/>
      <w:sz w:val="32"/>
    </w:rPr>
  </w:style>
  <w:style w:type="character" w:customStyle="1" w:styleId="afe">
    <w:name w:val="(一)(二)(三) 字元"/>
    <w:rsid w:val="00E47FE3"/>
    <w:rPr>
      <w:rFonts w:ascii="標楷體" w:eastAsia="標楷體"/>
      <w:snapToGrid w:val="0"/>
      <w:kern w:val="2"/>
      <w:sz w:val="28"/>
      <w:szCs w:val="28"/>
    </w:rPr>
  </w:style>
  <w:style w:type="character" w:customStyle="1" w:styleId="a8">
    <w:name w:val="(一)下內文 字元"/>
    <w:link w:val="a7"/>
    <w:rsid w:val="00E47FE3"/>
    <w:rPr>
      <w:rFonts w:ascii="標楷體" w:eastAsia="標楷體"/>
      <w:snapToGrid w:val="0"/>
      <w:kern w:val="2"/>
      <w:sz w:val="28"/>
      <w:szCs w:val="28"/>
    </w:rPr>
  </w:style>
  <w:style w:type="character" w:customStyle="1" w:styleId="145">
    <w:name w:val="第一層(14號字) 字元"/>
    <w:link w:val="144"/>
    <w:rsid w:val="00E47FE3"/>
    <w:rPr>
      <w:rFonts w:ascii="標楷體" w:eastAsia="標楷體"/>
      <w:b/>
      <w:snapToGrid w:val="0"/>
      <w:kern w:val="2"/>
      <w:sz w:val="28"/>
    </w:rPr>
  </w:style>
  <w:style w:type="character" w:customStyle="1" w:styleId="af3">
    <w:name w:val="圖表目錄 字元"/>
    <w:link w:val="ac"/>
    <w:semiHidden/>
    <w:rsid w:val="00E47FE3"/>
    <w:rPr>
      <w:rFonts w:ascii="標楷體" w:eastAsia="標楷體"/>
      <w:snapToGrid w:val="0"/>
      <w:kern w:val="2"/>
      <w:sz w:val="28"/>
      <w:szCs w:val="28"/>
    </w:rPr>
  </w:style>
  <w:style w:type="character" w:styleId="aff">
    <w:name w:val="annotation reference"/>
    <w:uiPriority w:val="99"/>
    <w:semiHidden/>
    <w:rsid w:val="00E47FE3"/>
    <w:rPr>
      <w:sz w:val="18"/>
      <w:szCs w:val="18"/>
    </w:rPr>
  </w:style>
  <w:style w:type="paragraph" w:styleId="aff0">
    <w:name w:val="annotation text"/>
    <w:basedOn w:val="a0"/>
    <w:link w:val="aff1"/>
    <w:uiPriority w:val="99"/>
    <w:semiHidden/>
    <w:rsid w:val="00E47FE3"/>
    <w:pPr>
      <w:jc w:val="left"/>
    </w:pPr>
  </w:style>
  <w:style w:type="character" w:customStyle="1" w:styleId="aff1">
    <w:name w:val="註解文字 字元"/>
    <w:basedOn w:val="a1"/>
    <w:link w:val="aff0"/>
    <w:uiPriority w:val="99"/>
    <w:semiHidden/>
    <w:rsid w:val="00E47FE3"/>
    <w:rPr>
      <w:rFonts w:ascii="標楷體" w:eastAsia="標楷體"/>
      <w:snapToGrid w:val="0"/>
      <w:kern w:val="2"/>
      <w:sz w:val="28"/>
      <w:szCs w:val="28"/>
    </w:rPr>
  </w:style>
  <w:style w:type="paragraph" w:styleId="aff2">
    <w:name w:val="annotation subject"/>
    <w:basedOn w:val="aff0"/>
    <w:next w:val="aff0"/>
    <w:link w:val="aff3"/>
    <w:uiPriority w:val="99"/>
    <w:semiHidden/>
    <w:rsid w:val="00E47FE3"/>
    <w:rPr>
      <w:b/>
      <w:bCs/>
    </w:rPr>
  </w:style>
  <w:style w:type="character" w:customStyle="1" w:styleId="aff3">
    <w:name w:val="註解主旨 字元"/>
    <w:basedOn w:val="aff1"/>
    <w:link w:val="aff2"/>
    <w:uiPriority w:val="99"/>
    <w:semiHidden/>
    <w:rsid w:val="00E47FE3"/>
    <w:rPr>
      <w:rFonts w:ascii="標楷體" w:eastAsia="標楷體"/>
      <w:b/>
      <w:bCs/>
      <w:snapToGrid w:val="0"/>
      <w:kern w:val="2"/>
      <w:sz w:val="28"/>
      <w:szCs w:val="28"/>
    </w:rPr>
  </w:style>
  <w:style w:type="paragraph" w:customStyle="1" w:styleId="aff4">
    <w:name w:val="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E47FE3"/>
    <w:rPr>
      <w:rFonts w:ascii="標楷體" w:eastAsia="標楷體"/>
      <w:snapToGrid w:val="0"/>
      <w:kern w:val="2"/>
      <w:sz w:val="28"/>
      <w:szCs w:val="28"/>
    </w:rPr>
  </w:style>
  <w:style w:type="paragraph" w:customStyle="1" w:styleId="aff9">
    <w:name w:val="章戳"/>
    <w:basedOn w:val="a0"/>
    <w:qFormat/>
    <w:rsid w:val="00E47FE3"/>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a">
    <w:name w:val="FollowedHyperlink"/>
    <w:uiPriority w:val="99"/>
    <w:semiHidden/>
    <w:unhideWhenUsed/>
    <w:rsid w:val="00E47FE3"/>
    <w:rPr>
      <w:color w:val="800080"/>
      <w:u w:val="single"/>
    </w:rPr>
  </w:style>
  <w:style w:type="character" w:customStyle="1" w:styleId="1410">
    <w:name w:val="第二層(14號字) 字元1"/>
    <w:rsid w:val="00E47FE3"/>
    <w:rPr>
      <w:rFonts w:ascii="標楷體" w:eastAsia="標楷體"/>
      <w:b/>
      <w:snapToGrid w:val="0"/>
      <w:kern w:val="2"/>
      <w:sz w:val="28"/>
    </w:rPr>
  </w:style>
  <w:style w:type="paragraph" w:styleId="a">
    <w:name w:val="List Bullet"/>
    <w:basedOn w:val="a0"/>
    <w:uiPriority w:val="99"/>
    <w:unhideWhenUsed/>
    <w:rsid w:val="00E47FE3"/>
    <w:pPr>
      <w:numPr>
        <w:numId w:val="1"/>
      </w:numPr>
      <w:contextualSpacing/>
    </w:pPr>
  </w:style>
  <w:style w:type="character" w:customStyle="1" w:styleId="201">
    <w:name w:val="表格內文(20行高) 字元"/>
    <w:link w:val="200"/>
    <w:rsid w:val="00E47FE3"/>
    <w:rPr>
      <w:rFonts w:ascii="標楷體" w:eastAsia="標楷體"/>
      <w:snapToGrid w:val="0"/>
      <w:kern w:val="2"/>
      <w:sz w:val="24"/>
      <w:szCs w:val="28"/>
    </w:rPr>
  </w:style>
  <w:style w:type="paragraph" w:customStyle="1" w:styleId="28">
    <w:name w:val="字元 字元2 字元 字元 字元"/>
    <w:basedOn w:val="a0"/>
    <w:semiHidden/>
    <w:rsid w:val="00E47F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20">
    <w:name w:val="(一)下內文縮2 字元2"/>
    <w:rsid w:val="00E47FE3"/>
    <w:rPr>
      <w:rFonts w:ascii="標楷體" w:eastAsia="標楷體"/>
      <w:snapToGrid w:val="0"/>
      <w:kern w:val="2"/>
      <w:sz w:val="28"/>
      <w:szCs w:val="28"/>
    </w:rPr>
  </w:style>
  <w:style w:type="character" w:customStyle="1" w:styleId="1411">
    <w:name w:val="表格內文(14行高) 字元1"/>
    <w:rsid w:val="00E47FE3"/>
    <w:rPr>
      <w:rFonts w:ascii="標楷體" w:eastAsia="標楷體"/>
      <w:snapToGrid w:val="0"/>
      <w:kern w:val="2"/>
      <w:sz w:val="24"/>
      <w:szCs w:val="28"/>
    </w:rPr>
  </w:style>
  <w:style w:type="character" w:customStyle="1" w:styleId="a5">
    <w:name w:val="預備金及追加預算標題 字元"/>
    <w:link w:val="a4"/>
    <w:rsid w:val="00E47FE3"/>
    <w:rPr>
      <w:rFonts w:ascii="標楷體" w:eastAsia="標楷體"/>
      <w:b/>
      <w:snapToGrid w:val="0"/>
      <w:kern w:val="2"/>
      <w:sz w:val="28"/>
    </w:rPr>
  </w:style>
  <w:style w:type="character" w:customStyle="1" w:styleId="40">
    <w:name w:val="標題 4 字元"/>
    <w:basedOn w:val="a1"/>
    <w:link w:val="4"/>
    <w:uiPriority w:val="9"/>
    <w:semiHidden/>
    <w:rsid w:val="00254F0A"/>
    <w:rPr>
      <w:rFonts w:ascii="Calibri Light" w:hAnsi="Calibri Light"/>
      <w:snapToGrid w:val="0"/>
      <w:kern w:val="2"/>
      <w:sz w:val="36"/>
      <w:szCs w:val="36"/>
    </w:rPr>
  </w:style>
  <w:style w:type="paragraph" w:customStyle="1" w:styleId="15">
    <w:name w:val="字元 字元 字元 字元 字元 字元 字元 字元 字元1 字元 字元 字元 字元 字元"/>
    <w:basedOn w:val="a0"/>
    <w:semiHidden/>
    <w:rsid w:val="00254F0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254F0A"/>
    <w:rPr>
      <w:rFonts w:ascii="標楷體" w:eastAsia="標楷體"/>
      <w:snapToGrid w:val="0"/>
      <w:kern w:val="2"/>
      <w:sz w:val="28"/>
      <w:szCs w:val="28"/>
    </w:rPr>
  </w:style>
  <w:style w:type="paragraph" w:styleId="HTML">
    <w:name w:val="HTML Preformatted"/>
    <w:basedOn w:val="a0"/>
    <w:link w:val="HTML0"/>
    <w:rsid w:val="00254F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basedOn w:val="a1"/>
    <w:link w:val="HTML"/>
    <w:rsid w:val="00254F0A"/>
    <w:rPr>
      <w:rFonts w:ascii="Arial Unicode MS" w:eastAsia="Arial Unicode MS" w:hAnsi="Arial Unicode MS" w:cs="Arial Unicode MS"/>
      <w:color w:val="000000"/>
    </w:rPr>
  </w:style>
  <w:style w:type="character" w:styleId="affb">
    <w:name w:val="Hyperlink"/>
    <w:uiPriority w:val="99"/>
    <w:rsid w:val="00254F0A"/>
    <w:rPr>
      <w:rFonts w:ascii="Arial" w:hAnsi="Arial" w:cs="Arial" w:hint="default"/>
      <w:strike w:val="0"/>
      <w:dstrike w:val="0"/>
      <w:color w:val="0066CC"/>
      <w:sz w:val="23"/>
      <w:szCs w:val="23"/>
      <w:u w:val="none"/>
      <w:effect w:val="none"/>
    </w:rPr>
  </w:style>
  <w:style w:type="character" w:customStyle="1" w:styleId="categoryright1">
    <w:name w:val="categoryright1"/>
    <w:rsid w:val="00254F0A"/>
    <w:rPr>
      <w:b w:val="0"/>
      <w:bCs w:val="0"/>
    </w:rPr>
  </w:style>
  <w:style w:type="character" w:customStyle="1" w:styleId="h11">
    <w:name w:val="h11"/>
    <w:rsid w:val="00254F0A"/>
    <w:rPr>
      <w:b/>
      <w:bCs/>
      <w:color w:val="FF6600"/>
      <w:sz w:val="24"/>
      <w:szCs w:val="24"/>
    </w:rPr>
  </w:style>
  <w:style w:type="paragraph" w:styleId="3">
    <w:name w:val="toc 3"/>
    <w:basedOn w:val="a0"/>
    <w:next w:val="a0"/>
    <w:autoRedefine/>
    <w:uiPriority w:val="39"/>
    <w:rsid w:val="00254F0A"/>
    <w:pPr>
      <w:ind w:leftChars="400" w:left="960"/>
    </w:pPr>
  </w:style>
  <w:style w:type="paragraph" w:styleId="41">
    <w:name w:val="toc 4"/>
    <w:basedOn w:val="a0"/>
    <w:next w:val="a0"/>
    <w:autoRedefine/>
    <w:semiHidden/>
    <w:rsid w:val="00254F0A"/>
    <w:pPr>
      <w:ind w:leftChars="600" w:left="1440"/>
    </w:pPr>
  </w:style>
  <w:style w:type="paragraph" w:styleId="5">
    <w:name w:val="toc 5"/>
    <w:basedOn w:val="a0"/>
    <w:next w:val="a0"/>
    <w:autoRedefine/>
    <w:semiHidden/>
    <w:rsid w:val="00254F0A"/>
    <w:pPr>
      <w:ind w:leftChars="800" w:left="1920"/>
    </w:pPr>
  </w:style>
  <w:style w:type="paragraph" w:styleId="6">
    <w:name w:val="toc 6"/>
    <w:basedOn w:val="a0"/>
    <w:next w:val="a0"/>
    <w:autoRedefine/>
    <w:semiHidden/>
    <w:rsid w:val="00254F0A"/>
    <w:pPr>
      <w:ind w:leftChars="1000" w:left="2400"/>
    </w:pPr>
  </w:style>
  <w:style w:type="paragraph" w:styleId="7">
    <w:name w:val="toc 7"/>
    <w:basedOn w:val="a0"/>
    <w:next w:val="a0"/>
    <w:autoRedefine/>
    <w:semiHidden/>
    <w:rsid w:val="00254F0A"/>
    <w:pPr>
      <w:ind w:leftChars="1200" w:left="2880"/>
    </w:pPr>
  </w:style>
  <w:style w:type="paragraph" w:styleId="8">
    <w:name w:val="toc 8"/>
    <w:basedOn w:val="a0"/>
    <w:next w:val="a0"/>
    <w:autoRedefine/>
    <w:semiHidden/>
    <w:rsid w:val="00254F0A"/>
    <w:pPr>
      <w:ind w:leftChars="1400" w:left="3360"/>
    </w:pPr>
  </w:style>
  <w:style w:type="paragraph" w:styleId="9">
    <w:name w:val="toc 9"/>
    <w:basedOn w:val="a0"/>
    <w:next w:val="a0"/>
    <w:autoRedefine/>
    <w:semiHidden/>
    <w:rsid w:val="00254F0A"/>
    <w:pPr>
      <w:ind w:leftChars="1600" w:left="3840"/>
    </w:pPr>
  </w:style>
  <w:style w:type="paragraph" w:customStyle="1" w:styleId="29">
    <w:name w:val="內文2(預備金及追加用)"/>
    <w:rsid w:val="00254F0A"/>
    <w:pPr>
      <w:spacing w:line="480" w:lineRule="exact"/>
      <w:ind w:left="200" w:hangingChars="200" w:hanging="200"/>
    </w:pPr>
    <w:rPr>
      <w:rFonts w:eastAsia="標楷體"/>
      <w:sz w:val="28"/>
    </w:rPr>
  </w:style>
  <w:style w:type="paragraph" w:styleId="affc">
    <w:name w:val="Body Text"/>
    <w:basedOn w:val="a0"/>
    <w:link w:val="affd"/>
    <w:rsid w:val="00254F0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d">
    <w:name w:val="本文 字元"/>
    <w:basedOn w:val="a1"/>
    <w:link w:val="affc"/>
    <w:rsid w:val="00254F0A"/>
    <w:rPr>
      <w:rFonts w:ascii="Arial" w:hAnsi="Arial"/>
      <w:spacing w:val="-5"/>
      <w:sz w:val="18"/>
    </w:rPr>
  </w:style>
  <w:style w:type="paragraph" w:customStyle="1" w:styleId="affe">
    <w:name w:val="字元 字元 字元 字元 字元 字元"/>
    <w:basedOn w:val="a0"/>
    <w:semiHidden/>
    <w:rsid w:val="00254F0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254F0A"/>
    <w:pPr>
      <w:wordWrap w:val="0"/>
      <w:ind w:leftChars="-15" w:left="153" w:hangingChars="80" w:hanging="195"/>
      <w:jc w:val="both"/>
    </w:pPr>
  </w:style>
  <w:style w:type="paragraph" w:customStyle="1" w:styleId="afff">
    <w:name w:val="註腳"/>
    <w:basedOn w:val="af6"/>
    <w:qFormat/>
    <w:rsid w:val="00254F0A"/>
    <w:pPr>
      <w:spacing w:line="260" w:lineRule="exact"/>
      <w:ind w:leftChars="0" w:left="251" w:hangingChars="103" w:hanging="251"/>
      <w:jc w:val="both"/>
    </w:pPr>
    <w:rPr>
      <w:sz w:val="24"/>
      <w:szCs w:val="24"/>
    </w:rPr>
  </w:style>
  <w:style w:type="paragraph" w:styleId="afff0">
    <w:name w:val="TOC Heading"/>
    <w:basedOn w:val="1"/>
    <w:next w:val="a0"/>
    <w:uiPriority w:val="39"/>
    <w:unhideWhenUsed/>
    <w:qFormat/>
    <w:rsid w:val="00254F0A"/>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customStyle="1" w:styleId="Default">
    <w:name w:val="Default"/>
    <w:rsid w:val="00254F0A"/>
    <w:pPr>
      <w:widowControl w:val="0"/>
      <w:autoSpaceDE w:val="0"/>
      <w:autoSpaceDN w:val="0"/>
      <w:adjustRightInd w:val="0"/>
    </w:pPr>
    <w:rPr>
      <w:rFonts w:ascii="標楷體" w:eastAsia="標楷體" w:cs="標楷體"/>
      <w:color w:val="000000"/>
      <w:sz w:val="24"/>
      <w:szCs w:val="24"/>
    </w:rPr>
  </w:style>
  <w:style w:type="table" w:customStyle="1" w:styleId="17">
    <w:name w:val="表格格線1"/>
    <w:basedOn w:val="a2"/>
    <w:next w:val="afa"/>
    <w:uiPriority w:val="39"/>
    <w:rsid w:val="00254F0A"/>
    <w:pPr>
      <w:widowControl w:val="0"/>
      <w:suppressAutoHyphens/>
      <w:autoSpaceDN w:val="0"/>
      <w:textAlignment w:val="baseline"/>
    </w:pPr>
    <w:rPr>
      <w:rFonts w:ascii="Liberation Serif" w:hAnsi="Liberation Serif" w:cs="Lucida Sans"/>
      <w:kern w:val="3"/>
      <w:sz w:val="24"/>
      <w:szCs w:val="24"/>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ED06D-644B-49BD-85DD-E9B0B5E7E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507</Words>
  <Characters>2896</Characters>
  <Application>Microsoft Office Word</Application>
  <DocSecurity>0</DocSecurity>
  <Lines>24</Lines>
  <Paragraphs>6</Paragraphs>
  <ScaleCrop>false</ScaleCrop>
  <Company>HOME</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2025-11-16T04:07:00Z</cp:lastPrinted>
  <dcterms:created xsi:type="dcterms:W3CDTF">2025-11-17T06:44:00Z</dcterms:created>
  <dcterms:modified xsi:type="dcterms:W3CDTF">2025-11-17T06:44:00Z</dcterms:modified>
</cp:coreProperties>
</file>