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7C33C4" w:rsidRPr="00CE624A" w:rsidRDefault="006A4FF2" w:rsidP="003A710E">
      <w:pPr>
        <w:pStyle w:val="14"/>
        <w:rPr>
          <w:snapToGrid/>
        </w:rPr>
      </w:pPr>
      <w:bookmarkStart w:id="6" w:name="_Toc214529667"/>
      <w:bookmarkEnd w:id="0"/>
      <w:bookmarkEnd w:id="1"/>
      <w:bookmarkEnd w:id="2"/>
      <w:bookmarkEnd w:id="3"/>
      <w:bookmarkEnd w:id="4"/>
      <w:r w:rsidRPr="00CE624A">
        <w:rPr>
          <w:rFonts w:hint="eastAsia"/>
          <w:snapToGrid/>
        </w:rPr>
        <w:t>五、</w:t>
      </w:r>
      <w:r w:rsidR="000D5C84" w:rsidRPr="00CE624A">
        <w:rPr>
          <w:rFonts w:hint="eastAsia"/>
          <w:snapToGrid/>
        </w:rPr>
        <w:t>113年新興毒品致死案</w:t>
      </w:r>
      <w:r w:rsidR="00490E6E" w:rsidRPr="00CE624A">
        <w:rPr>
          <w:rFonts w:hint="eastAsia"/>
          <w:snapToGrid/>
        </w:rPr>
        <w:t>件</w:t>
      </w:r>
      <w:r w:rsidR="000D5C84" w:rsidRPr="00CE624A">
        <w:rPr>
          <w:rFonts w:hint="eastAsia"/>
          <w:snapToGrid/>
        </w:rPr>
        <w:t>為近3年最高且施用</w:t>
      </w:r>
      <w:r w:rsidR="004B7DE0" w:rsidRPr="00CE624A">
        <w:rPr>
          <w:rFonts w:hint="eastAsia"/>
          <w:snapToGrid/>
        </w:rPr>
        <w:t>者呈年輕化</w:t>
      </w:r>
      <w:r w:rsidRPr="00CE624A">
        <w:rPr>
          <w:rFonts w:hint="eastAsia"/>
          <w:snapToGrid/>
        </w:rPr>
        <w:t>，</w:t>
      </w:r>
      <w:r w:rsidR="000D5C84" w:rsidRPr="00CE624A">
        <w:rPr>
          <w:rFonts w:hint="eastAsia"/>
          <w:snapToGrid/>
        </w:rPr>
        <w:t>又</w:t>
      </w:r>
      <w:r w:rsidRPr="00CE624A">
        <w:rPr>
          <w:rFonts w:hint="eastAsia"/>
          <w:snapToGrid/>
        </w:rPr>
        <w:t>成少共犯</w:t>
      </w:r>
      <w:r w:rsidR="000D5C84" w:rsidRPr="00CE624A">
        <w:rPr>
          <w:rFonts w:hint="eastAsia"/>
          <w:snapToGrid/>
        </w:rPr>
        <w:t>問題嚴峻</w:t>
      </w:r>
      <w:r w:rsidRPr="00CE624A">
        <w:rPr>
          <w:rFonts w:hint="eastAsia"/>
          <w:snapToGrid/>
        </w:rPr>
        <w:t>影響查緝</w:t>
      </w:r>
      <w:r w:rsidR="000D5C84" w:rsidRPr="00CE624A">
        <w:rPr>
          <w:rFonts w:hint="eastAsia"/>
          <w:snapToGrid/>
        </w:rPr>
        <w:t>成效</w:t>
      </w:r>
      <w:r w:rsidRPr="00CE624A">
        <w:rPr>
          <w:rFonts w:hint="eastAsia"/>
          <w:snapToGrid/>
        </w:rPr>
        <w:t>，</w:t>
      </w:r>
      <w:r w:rsidR="000D5C84" w:rsidRPr="00CE624A">
        <w:rPr>
          <w:rFonts w:hint="eastAsia"/>
          <w:snapToGrid/>
        </w:rPr>
        <w:t>另網路販毒氾濫迄今未能有效管制，</w:t>
      </w:r>
      <w:r w:rsidRPr="00CE624A">
        <w:rPr>
          <w:rFonts w:hint="eastAsia"/>
          <w:snapToGrid/>
        </w:rPr>
        <w:t>允宜督促</w:t>
      </w:r>
      <w:r w:rsidR="00B37FC9" w:rsidRPr="00CE624A">
        <w:rPr>
          <w:rFonts w:hint="eastAsia"/>
          <w:snapToGrid/>
        </w:rPr>
        <w:t>權責機關</w:t>
      </w:r>
      <w:r w:rsidR="000D5C84" w:rsidRPr="00CE624A">
        <w:rPr>
          <w:rFonts w:hint="eastAsia"/>
          <w:snapToGrid/>
        </w:rPr>
        <w:t>積極</w:t>
      </w:r>
      <w:r w:rsidR="00B37FC9" w:rsidRPr="00CE624A">
        <w:rPr>
          <w:rFonts w:hint="eastAsia"/>
          <w:snapToGrid/>
        </w:rPr>
        <w:t>研謀完善</w:t>
      </w:r>
      <w:r w:rsidR="000D5C84" w:rsidRPr="00CE624A">
        <w:rPr>
          <w:rFonts w:hint="eastAsia"/>
          <w:snapToGrid/>
        </w:rPr>
        <w:t>毒品</w:t>
      </w:r>
      <w:r w:rsidR="00B37FC9" w:rsidRPr="00CE624A">
        <w:rPr>
          <w:rFonts w:hint="eastAsia"/>
          <w:snapToGrid/>
        </w:rPr>
        <w:t>防治機制</w:t>
      </w:r>
      <w:bookmarkEnd w:id="6"/>
    </w:p>
    <w:p w:rsidR="007C33C4" w:rsidRPr="00CE624A" w:rsidRDefault="007C33C4" w:rsidP="003A710E">
      <w:pPr>
        <w:ind w:left="566" w:firstLine="566"/>
        <w:rPr>
          <w:snapToGrid/>
          <w:color w:val="000000"/>
        </w:rPr>
      </w:pPr>
      <w:r w:rsidRPr="00CE624A">
        <w:rPr>
          <w:rFonts w:hint="eastAsia"/>
          <w:snapToGrid/>
          <w:color w:val="000000"/>
        </w:rPr>
        <w:t>行政院115年度預算案於</w:t>
      </w:r>
      <w:r w:rsidRPr="00CE624A">
        <w:rPr>
          <w:rFonts w:hAnsi="標楷體" w:hint="eastAsia"/>
          <w:snapToGrid/>
          <w:color w:val="000000"/>
        </w:rPr>
        <w:t>「</w:t>
      </w:r>
      <w:r w:rsidRPr="00CE624A">
        <w:rPr>
          <w:rFonts w:hint="eastAsia"/>
          <w:snapToGrid/>
          <w:color w:val="000000"/>
        </w:rPr>
        <w:t>新聞傳播業務-法令政策溝通</w:t>
      </w:r>
      <w:r w:rsidRPr="00CE624A">
        <w:rPr>
          <w:rFonts w:hAnsi="標楷體" w:hint="eastAsia"/>
          <w:snapToGrid/>
          <w:color w:val="000000"/>
        </w:rPr>
        <w:t>」</w:t>
      </w:r>
      <w:r w:rsidRPr="00CE624A">
        <w:rPr>
          <w:rFonts w:hint="eastAsia"/>
          <w:snapToGrid/>
          <w:color w:val="000000"/>
        </w:rPr>
        <w:t>編列</w:t>
      </w:r>
      <w:r w:rsidRPr="00CE624A">
        <w:rPr>
          <w:rFonts w:hAnsi="標楷體" w:hint="eastAsia"/>
          <w:snapToGrid/>
          <w:color w:val="000000"/>
        </w:rPr>
        <w:t>「</w:t>
      </w:r>
      <w:r w:rsidRPr="00CE624A">
        <w:rPr>
          <w:rFonts w:hint="eastAsia"/>
          <w:snapToGrid/>
          <w:color w:val="000000"/>
        </w:rPr>
        <w:t>一般事物費</w:t>
      </w:r>
      <w:r w:rsidRPr="00CE624A">
        <w:rPr>
          <w:rFonts w:hAnsi="標楷體" w:hint="eastAsia"/>
          <w:snapToGrid/>
          <w:color w:val="000000"/>
        </w:rPr>
        <w:t>」1</w:t>
      </w:r>
      <w:r w:rsidRPr="00CE624A">
        <w:rPr>
          <w:snapToGrid/>
          <w:color w:val="000000"/>
        </w:rPr>
        <w:t>,410</w:t>
      </w:r>
      <w:r w:rsidRPr="00CE624A">
        <w:rPr>
          <w:rFonts w:hint="eastAsia"/>
          <w:snapToGrid/>
          <w:color w:val="000000"/>
        </w:rPr>
        <w:t>萬元，主要係針對國家整體施政、重要政策、重大事件、災害防救與緊急應變等重大議題，策製文宣素材，運用多元媒體溝通宣導，以增進民眾對政府政策及施政措施之瞭解等費用。經查：</w:t>
      </w:r>
    </w:p>
    <w:p w:rsidR="007C33C4" w:rsidRPr="00CE624A" w:rsidRDefault="007C33C4" w:rsidP="003A710E">
      <w:pPr>
        <w:pStyle w:val="a6"/>
        <w:rPr>
          <w:color w:val="000000"/>
        </w:rPr>
      </w:pPr>
      <w:r w:rsidRPr="00CE624A">
        <w:rPr>
          <w:rFonts w:hint="eastAsia"/>
          <w:color w:val="000000"/>
        </w:rPr>
        <w:t>(一)113年</w:t>
      </w:r>
      <w:r w:rsidR="00424692" w:rsidRPr="00CE624A">
        <w:rPr>
          <w:rFonts w:hint="eastAsia"/>
          <w:color w:val="000000"/>
        </w:rPr>
        <w:t>新興毒品致死案</w:t>
      </w:r>
      <w:r w:rsidR="00CF0719" w:rsidRPr="00CE624A">
        <w:rPr>
          <w:rFonts w:hint="eastAsia"/>
          <w:color w:val="000000"/>
        </w:rPr>
        <w:t>件</w:t>
      </w:r>
      <w:r w:rsidR="00424692" w:rsidRPr="00CE624A">
        <w:rPr>
          <w:rFonts w:hint="eastAsia"/>
          <w:color w:val="000000"/>
        </w:rPr>
        <w:t>為近3年最高，且施用</w:t>
      </w:r>
      <w:r w:rsidR="004B7DE0" w:rsidRPr="00CE624A">
        <w:rPr>
          <w:rFonts w:hint="eastAsia"/>
          <w:color w:val="000000"/>
        </w:rPr>
        <w:t>者</w:t>
      </w:r>
      <w:r w:rsidR="00424692" w:rsidRPr="00CE624A">
        <w:rPr>
          <w:rFonts w:hint="eastAsia"/>
          <w:color w:val="000000"/>
        </w:rPr>
        <w:t>呈年輕化，另</w:t>
      </w:r>
      <w:r w:rsidR="00C34E54" w:rsidRPr="00CE624A">
        <w:rPr>
          <w:rFonts w:hint="eastAsia"/>
          <w:color w:val="000000"/>
        </w:rPr>
        <w:t>因</w:t>
      </w:r>
      <w:r w:rsidRPr="00CE624A">
        <w:rPr>
          <w:rFonts w:hint="eastAsia"/>
          <w:color w:val="000000"/>
        </w:rPr>
        <w:t>成少共犯</w:t>
      </w:r>
      <w:r w:rsidR="00F42519" w:rsidRPr="00CE624A">
        <w:rPr>
          <w:rFonts w:hint="eastAsia"/>
          <w:color w:val="000000"/>
        </w:rPr>
        <w:t>致</w:t>
      </w:r>
      <w:r w:rsidR="00C34E54" w:rsidRPr="00CE624A">
        <w:rPr>
          <w:rFonts w:hint="eastAsia"/>
          <w:color w:val="000000"/>
        </w:rPr>
        <w:t>偵辦</w:t>
      </w:r>
      <w:r w:rsidR="002F64A8" w:rsidRPr="00CE624A">
        <w:rPr>
          <w:rFonts w:hint="eastAsia"/>
          <w:color w:val="000000"/>
        </w:rPr>
        <w:t>陷</w:t>
      </w:r>
      <w:r w:rsidR="00C34E54" w:rsidRPr="00CE624A">
        <w:rPr>
          <w:rFonts w:hint="eastAsia"/>
          <w:color w:val="000000"/>
        </w:rPr>
        <w:t>困境</w:t>
      </w:r>
      <w:r w:rsidRPr="00CE624A">
        <w:rPr>
          <w:rFonts w:hint="eastAsia"/>
          <w:color w:val="000000"/>
        </w:rPr>
        <w:t>，允宜</w:t>
      </w:r>
      <w:r w:rsidR="00C91F55" w:rsidRPr="00CE624A">
        <w:rPr>
          <w:rFonts w:hint="eastAsia"/>
          <w:color w:val="000000"/>
        </w:rPr>
        <w:t>督促權責機關研謀完善</w:t>
      </w:r>
      <w:r w:rsidRPr="00CE624A">
        <w:rPr>
          <w:rFonts w:hint="eastAsia"/>
          <w:color w:val="000000"/>
        </w:rPr>
        <w:t>防</w:t>
      </w:r>
      <w:r w:rsidR="00C91F55" w:rsidRPr="00CE624A">
        <w:rPr>
          <w:rFonts w:hint="eastAsia"/>
          <w:color w:val="000000"/>
        </w:rPr>
        <w:t>治機制</w:t>
      </w:r>
    </w:p>
    <w:p w:rsidR="007C33C4" w:rsidRPr="00CE624A" w:rsidRDefault="007C33C4" w:rsidP="003A710E">
      <w:pPr>
        <w:pStyle w:val="22"/>
        <w:rPr>
          <w:rFonts w:hint="eastAsia"/>
        </w:rPr>
      </w:pPr>
      <w:r w:rsidRPr="00CE624A">
        <w:rPr>
          <w:rFonts w:hint="eastAsia"/>
        </w:rPr>
        <w:t>113年國內新興毒品包括喪屍煙彈、大麻煙彈、芬太尼及喵喵等毒品種類相關致死案件77件</w:t>
      </w:r>
      <w:r w:rsidR="004B7DE0" w:rsidRPr="00CE624A">
        <w:rPr>
          <w:rFonts w:hint="eastAsia"/>
        </w:rPr>
        <w:t>(</w:t>
      </w:r>
      <w:r w:rsidRPr="00CE624A">
        <w:rPr>
          <w:rFonts w:hint="eastAsia"/>
        </w:rPr>
        <w:t>詳表1</w:t>
      </w:r>
      <w:r w:rsidR="004B7DE0" w:rsidRPr="00CE624A">
        <w:rPr>
          <w:rFonts w:hint="eastAsia"/>
        </w:rPr>
        <w:t>)</w:t>
      </w:r>
      <w:r w:rsidRPr="00CE624A">
        <w:rPr>
          <w:rFonts w:hint="eastAsia"/>
        </w:rPr>
        <w:t>，為近3年最高；新興毒品使用途徑和傳統毒品不同，多以飲料及休閒食品或零食方式偽裝，吸引青少年好奇使用，致新興毒品使用人數快速增加，</w:t>
      </w:r>
      <w:r w:rsidR="004B0A6B" w:rsidRPr="00CE624A">
        <w:rPr>
          <w:rFonts w:hint="eastAsia"/>
        </w:rPr>
        <w:t>且</w:t>
      </w:r>
      <w:r w:rsidRPr="00CE624A">
        <w:rPr>
          <w:rFonts w:hint="eastAsia"/>
        </w:rPr>
        <w:t>施用</w:t>
      </w:r>
      <w:r w:rsidR="004B0A6B" w:rsidRPr="00CE624A">
        <w:rPr>
          <w:rFonts w:hint="eastAsia"/>
        </w:rPr>
        <w:t>者</w:t>
      </w:r>
      <w:r w:rsidRPr="00CE624A">
        <w:rPr>
          <w:rFonts w:hint="eastAsia"/>
        </w:rPr>
        <w:t>呈現年輕化，</w:t>
      </w:r>
      <w:r w:rsidR="004B0A6B" w:rsidRPr="00CE624A">
        <w:rPr>
          <w:rFonts w:hint="eastAsia"/>
        </w:rPr>
        <w:t>據臺灣高等檢察署</w:t>
      </w:r>
      <w:r w:rsidR="007B2F43">
        <w:rPr>
          <w:rFonts w:hint="eastAsia"/>
        </w:rPr>
        <w:t>所</w:t>
      </w:r>
      <w:r w:rsidR="004B0A6B" w:rsidRPr="00CE624A">
        <w:rPr>
          <w:rFonts w:hint="eastAsia"/>
        </w:rPr>
        <w:t>公布資料，</w:t>
      </w:r>
      <w:r w:rsidRPr="00CE624A">
        <w:rPr>
          <w:rFonts w:hint="eastAsia"/>
        </w:rPr>
        <w:t>新興毒品相關之死亡案件，平均年齡為30歲</w:t>
      </w:r>
      <w:r w:rsidRPr="00CE624A">
        <w:rPr>
          <w:vertAlign w:val="superscript"/>
        </w:rPr>
        <w:footnoteReference w:id="1"/>
      </w:r>
      <w:r w:rsidRPr="00CE624A">
        <w:rPr>
          <w:rFonts w:hint="eastAsia"/>
        </w:rPr>
        <w:t>。另青少年參與販毒、製毒之共犯比率逐年攀升，依司法院113年統計之成少共犯比例，從110年之32.2%，成長至113年39.6%</w:t>
      </w:r>
      <w:r w:rsidR="00C002ED" w:rsidRPr="00CE624A">
        <w:rPr>
          <w:rFonts w:hint="eastAsia"/>
        </w:rPr>
        <w:t>，顯示成少共犯問題嚴峻，惟</w:t>
      </w:r>
      <w:r w:rsidR="000D3FA5" w:rsidRPr="00CE624A">
        <w:rPr>
          <w:rFonts w:hint="eastAsia"/>
        </w:rPr>
        <w:t>警政署</w:t>
      </w:r>
      <w:r w:rsidR="00C002ED" w:rsidRPr="00CE624A">
        <w:rPr>
          <w:rFonts w:hint="eastAsia"/>
        </w:rPr>
        <w:t>對於吸收利用少年之成年共犯，</w:t>
      </w:r>
      <w:r w:rsidR="00F13F41" w:rsidRPr="00CE624A">
        <w:rPr>
          <w:rFonts w:hint="eastAsia"/>
        </w:rPr>
        <w:t>尚需</w:t>
      </w:r>
      <w:r w:rsidR="00C002ED" w:rsidRPr="00CE624A">
        <w:rPr>
          <w:rFonts w:hint="eastAsia"/>
        </w:rPr>
        <w:t>依少年事件法移送前程序規定，報請</w:t>
      </w:r>
      <w:r w:rsidR="00F13F41" w:rsidRPr="00CE624A">
        <w:rPr>
          <w:rFonts w:hint="eastAsia"/>
        </w:rPr>
        <w:t>由</w:t>
      </w:r>
      <w:r w:rsidR="000D3FA5" w:rsidRPr="00CE624A">
        <w:rPr>
          <w:rFonts w:hint="eastAsia"/>
        </w:rPr>
        <w:t>司法院之</w:t>
      </w:r>
      <w:r w:rsidR="00C002ED" w:rsidRPr="00CE624A">
        <w:rPr>
          <w:rFonts w:hint="eastAsia"/>
        </w:rPr>
        <w:t>少年法院法官</w:t>
      </w:r>
      <w:r w:rsidR="00C002ED" w:rsidRPr="00CE624A">
        <w:rPr>
          <w:rFonts w:hint="eastAsia"/>
        </w:rPr>
        <w:lastRenderedPageBreak/>
        <w:t>核發令狀，無法與其他成年共犯併由</w:t>
      </w:r>
      <w:r w:rsidR="000D3FA5" w:rsidRPr="00CE624A">
        <w:rPr>
          <w:rFonts w:hint="eastAsia"/>
        </w:rPr>
        <w:t>法務部之承辦</w:t>
      </w:r>
      <w:r w:rsidR="00C002ED" w:rsidRPr="00CE624A">
        <w:rPr>
          <w:rFonts w:hint="eastAsia"/>
        </w:rPr>
        <w:t>檢察官統一指揮偵辦</w:t>
      </w:r>
      <w:bookmarkStart w:id="7" w:name="_Toc147908645"/>
      <w:r w:rsidR="00E34146" w:rsidRPr="00CE624A">
        <w:rPr>
          <w:rStyle w:val="afa"/>
        </w:rPr>
        <w:footnoteReference w:id="2"/>
      </w:r>
      <w:r w:rsidR="00C002ED" w:rsidRPr="00CE624A">
        <w:rPr>
          <w:rFonts w:hint="eastAsia"/>
        </w:rPr>
        <w:t>，致案件於偵辦階段面臨</w:t>
      </w:r>
      <w:r w:rsidR="0033772C" w:rsidRPr="00CE624A">
        <w:rPr>
          <w:rFonts w:hint="eastAsia"/>
        </w:rPr>
        <w:t>亟</w:t>
      </w:r>
      <w:r w:rsidR="00E34146" w:rsidRPr="00CE624A">
        <w:rPr>
          <w:rFonts w:hint="eastAsia"/>
        </w:rPr>
        <w:t>待突</w:t>
      </w:r>
      <w:r w:rsidR="00E34146" w:rsidRPr="00CE624A">
        <w:rPr>
          <w:rFonts w:cs="新細明體" w:hint="eastAsia"/>
        </w:rPr>
        <w:t>破之困境</w:t>
      </w:r>
      <w:r w:rsidR="000E4D5D" w:rsidRPr="00CE624A">
        <w:rPr>
          <w:rFonts w:cs="新細明體" w:hint="eastAsia"/>
        </w:rPr>
        <w:t>等</w:t>
      </w:r>
      <w:r w:rsidR="00C91F55" w:rsidRPr="00CE624A">
        <w:rPr>
          <w:rFonts w:cs="新細明體" w:hint="eastAsia"/>
        </w:rPr>
        <w:t>，</w:t>
      </w:r>
      <w:r w:rsidR="00C91F55" w:rsidRPr="00CE624A">
        <w:rPr>
          <w:rFonts w:hint="eastAsia"/>
        </w:rPr>
        <w:t>基此，</w:t>
      </w:r>
      <w:r w:rsidR="00F956B7" w:rsidRPr="00CE624A">
        <w:rPr>
          <w:rFonts w:hint="eastAsia"/>
        </w:rPr>
        <w:t>允宜督促</w:t>
      </w:r>
      <w:r w:rsidR="00424692" w:rsidRPr="00CE624A">
        <w:rPr>
          <w:rFonts w:hint="eastAsia"/>
        </w:rPr>
        <w:t>權責機關就少年輔導及保護端、成少共犯等問題</w:t>
      </w:r>
      <w:r w:rsidR="00C91F55" w:rsidRPr="00CE624A">
        <w:rPr>
          <w:rFonts w:hint="eastAsia"/>
        </w:rPr>
        <w:t>積極</w:t>
      </w:r>
      <w:r w:rsidR="00F059AC" w:rsidRPr="00CE624A">
        <w:rPr>
          <w:rFonts w:hint="eastAsia"/>
        </w:rPr>
        <w:t>溝通協調，</w:t>
      </w:r>
      <w:r w:rsidR="00C91F55" w:rsidRPr="00CE624A">
        <w:rPr>
          <w:rFonts w:hint="eastAsia"/>
        </w:rPr>
        <w:t>研謀完善防治機制。</w:t>
      </w:r>
    </w:p>
    <w:p w:rsidR="007C33C4" w:rsidRPr="00CE624A" w:rsidRDefault="007C33C4" w:rsidP="00A207CD">
      <w:pPr>
        <w:adjustRightInd w:val="0"/>
        <w:snapToGrid w:val="0"/>
        <w:ind w:leftChars="300" w:left="850" w:firstLineChars="0" w:firstLine="1"/>
        <w:rPr>
          <w:rFonts w:hAnsi="標楷體"/>
          <w:b/>
          <w:snapToGrid/>
          <w:color w:val="000000"/>
        </w:rPr>
      </w:pPr>
      <w:r w:rsidRPr="00CE624A">
        <w:rPr>
          <w:rFonts w:hAnsi="標楷體" w:hint="eastAsia"/>
          <w:b/>
          <w:snapToGrid/>
          <w:color w:val="000000"/>
        </w:rPr>
        <w:t>表1  1</w:t>
      </w:r>
      <w:r w:rsidRPr="00CE624A">
        <w:rPr>
          <w:rFonts w:hAnsi="標楷體"/>
          <w:b/>
          <w:snapToGrid/>
          <w:color w:val="000000"/>
        </w:rPr>
        <w:t>11</w:t>
      </w:r>
      <w:r w:rsidRPr="00CE624A">
        <w:rPr>
          <w:rFonts w:hAnsi="標楷體" w:hint="eastAsia"/>
          <w:b/>
          <w:snapToGrid/>
          <w:color w:val="000000"/>
        </w:rPr>
        <w:t xml:space="preserve">至113年度新興毒品相關死亡案件統計表  </w:t>
      </w:r>
      <w:r w:rsidRPr="00CE624A">
        <w:rPr>
          <w:rFonts w:hAnsi="標楷體" w:hint="eastAsia"/>
          <w:snapToGrid/>
          <w:color w:val="000000"/>
          <w:sz w:val="24"/>
          <w:szCs w:val="24"/>
        </w:rPr>
        <w:t>單位：件</w:t>
      </w:r>
    </w:p>
    <w:tbl>
      <w:tblPr>
        <w:tblW w:w="7650"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19"/>
        <w:gridCol w:w="1326"/>
        <w:gridCol w:w="1326"/>
        <w:gridCol w:w="1326"/>
        <w:gridCol w:w="1326"/>
        <w:gridCol w:w="1327"/>
      </w:tblGrid>
      <w:tr w:rsidR="002F7423" w:rsidRPr="00CE624A" w:rsidTr="00A207CD">
        <w:trPr>
          <w:trHeight w:val="20"/>
          <w:tblHeader/>
        </w:trPr>
        <w:tc>
          <w:tcPr>
            <w:tcW w:w="1019" w:type="dxa"/>
            <w:tcBorders>
              <w:top w:val="single" w:sz="12"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年度</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第1季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第2季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第3季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第4季</w:t>
            </w:r>
          </w:p>
        </w:tc>
        <w:tc>
          <w:tcPr>
            <w:tcW w:w="1327" w:type="dxa"/>
            <w:tcBorders>
              <w:top w:val="single" w:sz="12"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合計</w:t>
            </w:r>
          </w:p>
        </w:tc>
      </w:tr>
      <w:tr w:rsidR="002F7423" w:rsidRPr="00CE624A" w:rsidTr="00A207CD">
        <w:trPr>
          <w:trHeight w:val="20"/>
        </w:trPr>
        <w:tc>
          <w:tcPr>
            <w:tcW w:w="1019" w:type="dxa"/>
            <w:tcBorders>
              <w:top w:val="single" w:sz="6"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111</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18</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10</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11</w:t>
            </w:r>
          </w:p>
        </w:tc>
        <w:tc>
          <w:tcPr>
            <w:tcW w:w="1327" w:type="dxa"/>
            <w:tcBorders>
              <w:top w:val="single" w:sz="6"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52</w:t>
            </w:r>
          </w:p>
        </w:tc>
      </w:tr>
      <w:tr w:rsidR="002F7423" w:rsidRPr="00CE624A" w:rsidTr="00A207CD">
        <w:trPr>
          <w:trHeight w:val="20"/>
        </w:trPr>
        <w:tc>
          <w:tcPr>
            <w:tcW w:w="1019" w:type="dxa"/>
            <w:tcBorders>
              <w:top w:val="single" w:sz="6"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112</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17</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15</w:t>
            </w:r>
          </w:p>
        </w:tc>
        <w:tc>
          <w:tcPr>
            <w:tcW w:w="1327" w:type="dxa"/>
            <w:tcBorders>
              <w:top w:val="single" w:sz="6"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68</w:t>
            </w:r>
          </w:p>
        </w:tc>
      </w:tr>
      <w:tr w:rsidR="002F7423" w:rsidRPr="00CE624A" w:rsidTr="00A207CD">
        <w:trPr>
          <w:trHeight w:val="20"/>
        </w:trPr>
        <w:tc>
          <w:tcPr>
            <w:tcW w:w="1019" w:type="dxa"/>
            <w:tcBorders>
              <w:top w:val="single" w:sz="6" w:space="0" w:color="auto"/>
              <w:left w:val="single" w:sz="12"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113</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15</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20</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23</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19</w:t>
            </w:r>
          </w:p>
        </w:tc>
        <w:tc>
          <w:tcPr>
            <w:tcW w:w="1327" w:type="dxa"/>
            <w:tcBorders>
              <w:top w:val="single" w:sz="6" w:space="0" w:color="auto"/>
              <w:left w:val="single" w:sz="6" w:space="0" w:color="auto"/>
              <w:bottom w:val="single" w:sz="12"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77</w:t>
            </w:r>
          </w:p>
        </w:tc>
      </w:tr>
    </w:tbl>
    <w:p w:rsidR="007C33C4" w:rsidRPr="00CE624A" w:rsidRDefault="007C33C4" w:rsidP="00A207CD">
      <w:pPr>
        <w:snapToGrid w:val="0"/>
        <w:spacing w:line="280" w:lineRule="exact"/>
        <w:ind w:leftChars="296" w:left="2030" w:hangingChars="490" w:hanging="1192"/>
        <w:jc w:val="left"/>
        <w:rPr>
          <w:rFonts w:hAnsi="標楷體"/>
          <w:snapToGrid/>
          <w:color w:val="000000"/>
          <w:sz w:val="24"/>
        </w:rPr>
      </w:pPr>
      <w:r w:rsidRPr="00CE624A">
        <w:rPr>
          <w:rFonts w:hAnsi="標楷體" w:hint="eastAsia"/>
          <w:snapToGrid/>
          <w:color w:val="000000"/>
          <w:sz w:val="24"/>
        </w:rPr>
        <w:t>資料來源：依臺灣高檢署114年2月13日公布之「2024年毒品情勢快速分析年報」整理。</w:t>
      </w:r>
    </w:p>
    <w:p w:rsidR="007C33C4" w:rsidRPr="00CE624A" w:rsidRDefault="007C33C4" w:rsidP="008F438D">
      <w:pPr>
        <w:pStyle w:val="a6"/>
        <w:rPr>
          <w:color w:val="000000"/>
        </w:rPr>
      </w:pPr>
      <w:r w:rsidRPr="00CE624A">
        <w:rPr>
          <w:rFonts w:hint="eastAsia"/>
          <w:color w:val="000000"/>
        </w:rPr>
        <w:t>(二)為有效降低毒品危害，落實執行網路業者應主動移除販毒網頁及採取其他必要處置之規定，允宜督促權責機關完備法制</w:t>
      </w:r>
      <w:r w:rsidR="00D859C8" w:rsidRPr="00CE624A">
        <w:rPr>
          <w:rFonts w:hint="eastAsia"/>
          <w:color w:val="000000"/>
        </w:rPr>
        <w:t>並</w:t>
      </w:r>
      <w:r w:rsidRPr="00CE624A">
        <w:rPr>
          <w:rFonts w:hint="eastAsia"/>
          <w:color w:val="000000"/>
        </w:rPr>
        <w:t>研謀改善</w:t>
      </w:r>
    </w:p>
    <w:p w:rsidR="007C33C4" w:rsidRPr="00CE624A" w:rsidRDefault="007C33C4" w:rsidP="008F438D">
      <w:pPr>
        <w:pStyle w:val="22"/>
      </w:pPr>
      <w:r w:rsidRPr="00CE624A">
        <w:rPr>
          <w:rFonts w:hint="eastAsia"/>
        </w:rPr>
        <w:t>依菸害防制法第15條</w:t>
      </w:r>
      <w:r w:rsidR="00C33DAA" w:rsidRPr="00CE624A">
        <w:rPr>
          <w:rFonts w:hint="eastAsia"/>
        </w:rPr>
        <w:t>第1項</w:t>
      </w:r>
      <w:r w:rsidRPr="00CE624A">
        <w:rPr>
          <w:rFonts w:hint="eastAsia"/>
        </w:rPr>
        <w:t>規定，電子菸等類菸品以任何方式販售，均屬違法</w:t>
      </w:r>
      <w:r w:rsidRPr="00CE624A">
        <w:rPr>
          <w:vertAlign w:val="superscript"/>
        </w:rPr>
        <w:footnoteReference w:id="3"/>
      </w:r>
      <w:r w:rsidRPr="00CE624A">
        <w:rPr>
          <w:rFonts w:hint="eastAsia"/>
        </w:rPr>
        <w:t>，惟因其於網路等地下販售情形猖獗，致以電子菸方式吸食毒品之情形嚴重，並增加查緝毒害之困難度。據警政署統計，108至113年度查獲網路毒品案件，自108年度之219件增加至113年度之708件，增加2.23倍，顯示查獲網路毒品案件快速增加</w:t>
      </w:r>
      <w:r w:rsidRPr="00CE624A">
        <w:rPr>
          <w:vertAlign w:val="superscript"/>
        </w:rPr>
        <w:footnoteReference w:id="4"/>
      </w:r>
      <w:r w:rsidRPr="00CE624A">
        <w:rPr>
          <w:rFonts w:hint="eastAsia"/>
        </w:rPr>
        <w:t>。</w:t>
      </w:r>
      <w:r w:rsidR="00D438A2" w:rsidRPr="00CE624A">
        <w:rPr>
          <w:rFonts w:hint="eastAsia"/>
        </w:rPr>
        <w:t>另</w:t>
      </w:r>
      <w:r w:rsidR="00E9252C" w:rsidRPr="00CE624A">
        <w:rPr>
          <w:rFonts w:hint="eastAsia"/>
        </w:rPr>
        <w:t>按</w:t>
      </w:r>
      <w:r w:rsidRPr="00CE624A">
        <w:rPr>
          <w:rFonts w:hint="eastAsia"/>
        </w:rPr>
        <w:t>詐欺犯罪危害防制條例及兒童及少年性剝削防制條例規定，網路業者知悉網頁內容涉及詐欺及兒少性剝削等情事，應主動移除、限制瀏覽、停止播送該廣告或採取其他必要之處置</w:t>
      </w:r>
      <w:r w:rsidRPr="00CE624A">
        <w:rPr>
          <w:vertAlign w:val="superscript"/>
        </w:rPr>
        <w:footnoteReference w:id="5"/>
      </w:r>
      <w:r w:rsidRPr="00CE624A">
        <w:rPr>
          <w:rFonts w:hint="eastAsia"/>
        </w:rPr>
        <w:t>，</w:t>
      </w:r>
      <w:bookmarkStart w:id="8" w:name="_Hlk211196892"/>
      <w:r w:rsidRPr="00CE624A">
        <w:rPr>
          <w:rFonts w:hint="eastAsia"/>
        </w:rPr>
        <w:t>惟目前針對網頁之販毒訊息，迄未</w:t>
      </w:r>
      <w:r w:rsidRPr="00CE624A">
        <w:rPr>
          <w:rFonts w:hint="eastAsia"/>
        </w:rPr>
        <w:lastRenderedPageBreak/>
        <w:t>要求網路業者應主動移除販毒網頁及採取其他必要處置之規定</w:t>
      </w:r>
      <w:bookmarkEnd w:id="8"/>
      <w:r w:rsidR="00E2723A" w:rsidRPr="00CE624A">
        <w:rPr>
          <w:rFonts w:hint="eastAsia"/>
        </w:rPr>
        <w:t>，</w:t>
      </w:r>
      <w:r w:rsidRPr="00CE624A">
        <w:rPr>
          <w:rFonts w:hint="eastAsia"/>
        </w:rPr>
        <w:t>允宜督促權責機關研謀完善相關法制，並研謀跨部會合作，以提高毒品犯罪之查緝量能。</w:t>
      </w:r>
    </w:p>
    <w:p w:rsidR="007C33C4" w:rsidRPr="00CE624A" w:rsidRDefault="007C33C4" w:rsidP="008F438D">
      <w:pPr>
        <w:ind w:left="566" w:firstLine="566"/>
        <w:rPr>
          <w:snapToGrid/>
          <w:color w:val="000000"/>
        </w:rPr>
      </w:pPr>
      <w:r w:rsidRPr="00CE624A">
        <w:rPr>
          <w:rFonts w:hint="eastAsia"/>
          <w:snapToGrid/>
          <w:color w:val="000000"/>
        </w:rPr>
        <w:t>綜上，</w:t>
      </w:r>
      <w:r w:rsidR="00C91F55" w:rsidRPr="00CE624A">
        <w:rPr>
          <w:rFonts w:hint="eastAsia"/>
          <w:snapToGrid/>
          <w:color w:val="000000"/>
        </w:rPr>
        <w:t>113年新興毒品致死案件77件，為近3年</w:t>
      </w:r>
      <w:r w:rsidR="00032AF7" w:rsidRPr="00CE624A">
        <w:rPr>
          <w:rFonts w:hint="eastAsia"/>
          <w:snapToGrid/>
          <w:color w:val="000000"/>
        </w:rPr>
        <w:t>(111至113年)</w:t>
      </w:r>
      <w:r w:rsidR="00C91F55" w:rsidRPr="00CE624A">
        <w:rPr>
          <w:rFonts w:hint="eastAsia"/>
          <w:snapToGrid/>
          <w:color w:val="000000"/>
        </w:rPr>
        <w:t>最高，且施用</w:t>
      </w:r>
      <w:r w:rsidR="00C62B48" w:rsidRPr="00CE624A">
        <w:rPr>
          <w:rFonts w:hint="eastAsia"/>
          <w:snapToGrid/>
          <w:color w:val="000000"/>
        </w:rPr>
        <w:t>者</w:t>
      </w:r>
      <w:r w:rsidR="00C91F55" w:rsidRPr="00CE624A">
        <w:rPr>
          <w:rFonts w:hint="eastAsia"/>
          <w:snapToGrid/>
          <w:color w:val="000000"/>
        </w:rPr>
        <w:t>呈年輕化</w:t>
      </w:r>
      <w:r w:rsidR="00DF31E4" w:rsidRPr="00CE624A">
        <w:rPr>
          <w:rFonts w:hint="eastAsia"/>
          <w:snapToGrid/>
          <w:color w:val="000000"/>
        </w:rPr>
        <w:t>，嚴重戕害青少年身心健康</w:t>
      </w:r>
      <w:r w:rsidR="00C91F55" w:rsidRPr="00CE624A">
        <w:rPr>
          <w:rFonts w:hint="eastAsia"/>
          <w:snapToGrid/>
          <w:color w:val="000000"/>
        </w:rPr>
        <w:t>，另成少共犯</w:t>
      </w:r>
      <w:r w:rsidR="000D3FA5" w:rsidRPr="00CE624A">
        <w:rPr>
          <w:rFonts w:hint="eastAsia"/>
          <w:snapToGrid/>
          <w:color w:val="000000"/>
        </w:rPr>
        <w:t>問題嚴峻</w:t>
      </w:r>
      <w:r w:rsidR="006F2E3B" w:rsidRPr="00CE624A">
        <w:rPr>
          <w:rFonts w:hint="eastAsia"/>
          <w:snapToGrid/>
          <w:color w:val="000000"/>
        </w:rPr>
        <w:t>且面臨偵辦困境</w:t>
      </w:r>
      <w:r w:rsidR="000D3FA5" w:rsidRPr="00CE624A">
        <w:rPr>
          <w:rFonts w:hint="eastAsia"/>
          <w:snapToGrid/>
          <w:color w:val="000000"/>
        </w:rPr>
        <w:t>，</w:t>
      </w:r>
      <w:r w:rsidR="00C91F55" w:rsidRPr="00CE624A">
        <w:rPr>
          <w:rFonts w:hint="eastAsia"/>
          <w:snapToGrid/>
          <w:color w:val="000000"/>
        </w:rPr>
        <w:t>允宜</w:t>
      </w:r>
      <w:r w:rsidR="000D3FA5" w:rsidRPr="00CE624A">
        <w:rPr>
          <w:rFonts w:hint="eastAsia"/>
          <w:snapToGrid/>
          <w:color w:val="000000"/>
        </w:rPr>
        <w:t>督促權責機關</w:t>
      </w:r>
      <w:r w:rsidR="00C62B48" w:rsidRPr="00CE624A">
        <w:rPr>
          <w:rFonts w:hint="eastAsia"/>
          <w:snapToGrid/>
          <w:color w:val="000000"/>
        </w:rPr>
        <w:t>就</w:t>
      </w:r>
      <w:r w:rsidR="00C91F55" w:rsidRPr="00CE624A">
        <w:rPr>
          <w:rFonts w:hint="eastAsia"/>
          <w:snapToGrid/>
          <w:color w:val="000000"/>
        </w:rPr>
        <w:t>少年輔導及保護端</w:t>
      </w:r>
      <w:r w:rsidR="00315200" w:rsidRPr="00CE624A">
        <w:rPr>
          <w:rFonts w:hint="eastAsia"/>
          <w:snapToGrid/>
          <w:color w:val="000000"/>
        </w:rPr>
        <w:t>、</w:t>
      </w:r>
      <w:r w:rsidR="006F2E3B" w:rsidRPr="00CE624A">
        <w:rPr>
          <w:rFonts w:hint="eastAsia"/>
          <w:snapToGrid/>
          <w:color w:val="000000"/>
        </w:rPr>
        <w:t>成少共犯</w:t>
      </w:r>
      <w:r w:rsidR="00315200" w:rsidRPr="00CE624A">
        <w:rPr>
          <w:rFonts w:hint="eastAsia"/>
          <w:snapToGrid/>
          <w:color w:val="000000"/>
        </w:rPr>
        <w:t>等</w:t>
      </w:r>
      <w:r w:rsidR="006F2E3B" w:rsidRPr="00CE624A">
        <w:rPr>
          <w:rFonts w:hint="eastAsia"/>
          <w:snapToGrid/>
          <w:color w:val="000000"/>
        </w:rPr>
        <w:t>問題，積極研謀完善防治機制</w:t>
      </w:r>
      <w:r w:rsidR="00DF31E4" w:rsidRPr="00CE624A">
        <w:rPr>
          <w:rFonts w:hint="eastAsia"/>
          <w:snapToGrid/>
          <w:color w:val="000000"/>
        </w:rPr>
        <w:t>；又</w:t>
      </w:r>
      <w:r w:rsidRPr="00CE624A">
        <w:rPr>
          <w:rFonts w:hint="eastAsia"/>
          <w:snapToGrid/>
          <w:color w:val="000000"/>
        </w:rPr>
        <w:t>毒販利用網路等新型態傳播工具進行交易，</w:t>
      </w:r>
      <w:r w:rsidR="006F2E3B" w:rsidRPr="00CE624A">
        <w:rPr>
          <w:rFonts w:hint="eastAsia"/>
          <w:snapToGrid/>
          <w:color w:val="000000"/>
        </w:rPr>
        <w:t>惟</w:t>
      </w:r>
      <w:r w:rsidRPr="00CE624A">
        <w:rPr>
          <w:rFonts w:hint="eastAsia"/>
          <w:snapToGrid/>
          <w:color w:val="000000"/>
        </w:rPr>
        <w:t>目前針對網頁之販毒訊息，尚未訂定網路業者應主動移除販毒網頁及採取其他必要處置之規定</w:t>
      </w:r>
      <w:r w:rsidR="006F2E3B" w:rsidRPr="00CE624A">
        <w:rPr>
          <w:rFonts w:hint="eastAsia"/>
          <w:snapToGrid/>
          <w:color w:val="000000"/>
        </w:rPr>
        <w:t>，</w:t>
      </w:r>
      <w:r w:rsidRPr="00CE624A">
        <w:rPr>
          <w:rFonts w:hint="eastAsia"/>
          <w:snapToGrid/>
          <w:color w:val="000000"/>
        </w:rPr>
        <w:t>為提高查緝量能，允宜積極督促權責機關完備法制並研謀檢討改善，以有效降低毒品危害，確保國人健康與國家競爭力。</w:t>
      </w:r>
    </w:p>
    <w:bookmarkEnd w:id="7"/>
    <w:sectPr w:rsidR="007C33C4"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3F45AC" w:rsidRPr="003F45AC">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7C33C4" w:rsidRDefault="007C33C4" w:rsidP="004537C4">
      <w:pPr>
        <w:pStyle w:val="142"/>
        <w:ind w:leftChars="4" w:left="123" w:hangingChars="46" w:hanging="112"/>
        <w:jc w:val="both"/>
      </w:pPr>
      <w:r>
        <w:rPr>
          <w:rStyle w:val="afa"/>
        </w:rPr>
        <w:footnoteRef/>
      </w:r>
      <w:r w:rsidR="007A51A8">
        <w:rPr>
          <w:rFonts w:hint="eastAsia"/>
        </w:rPr>
        <w:t>臺</w:t>
      </w:r>
      <w:r>
        <w:rPr>
          <w:rFonts w:hint="eastAsia"/>
        </w:rPr>
        <w:t>灣高等檢察署113年6月6日新聞稿：「本署發布113年度上半年國內毒品情勢分析報告，針對卡西酮類及大麻毒品濫用提出示警及因應對策，並說明戒毒現況及達成三減目標。</w:t>
      </w:r>
      <w:r>
        <w:t>…</w:t>
      </w:r>
      <w:r>
        <w:rPr>
          <w:rFonts w:hint="eastAsia"/>
        </w:rPr>
        <w:t>108年至112年，與新興毒品相關之死亡案件，平均年齡30歲，</w:t>
      </w:r>
      <w:r>
        <w:t>…</w:t>
      </w:r>
      <w:r>
        <w:rPr>
          <w:rFonts w:hint="eastAsia"/>
        </w:rPr>
        <w:t>。」</w:t>
      </w:r>
    </w:p>
  </w:footnote>
  <w:footnote w:id="2">
    <w:p w:rsidR="00E34146" w:rsidRPr="00E34146" w:rsidRDefault="00E34146" w:rsidP="00E34146">
      <w:pPr>
        <w:pStyle w:val="af8"/>
        <w:spacing w:line="280" w:lineRule="exact"/>
        <w:ind w:leftChars="5" w:left="126" w:hangingChars="46" w:hanging="112"/>
        <w:jc w:val="both"/>
        <w:rPr>
          <w:rFonts w:hint="eastAsia"/>
          <w:sz w:val="24"/>
          <w:szCs w:val="24"/>
        </w:rPr>
      </w:pPr>
      <w:r w:rsidRPr="00E34146">
        <w:rPr>
          <w:rStyle w:val="afa"/>
          <w:sz w:val="24"/>
          <w:szCs w:val="24"/>
        </w:rPr>
        <w:footnoteRef/>
      </w:r>
      <w:r w:rsidRPr="00E34146">
        <w:rPr>
          <w:rFonts w:hint="eastAsia"/>
          <w:sz w:val="24"/>
          <w:szCs w:val="24"/>
        </w:rPr>
        <w:t>參據警政署114年6月18日第11屆第3會期司法及法制委員會第20次全體委員會議報告內容。</w:t>
      </w:r>
    </w:p>
  </w:footnote>
  <w:footnote w:id="3">
    <w:p w:rsidR="007C33C4" w:rsidRDefault="007C33C4" w:rsidP="004537C4">
      <w:pPr>
        <w:pStyle w:val="142"/>
        <w:ind w:leftChars="4" w:left="123" w:hangingChars="46" w:hanging="112"/>
        <w:jc w:val="both"/>
        <w:rPr>
          <w:rFonts w:hAnsi="標楷體"/>
        </w:rPr>
      </w:pPr>
      <w:r>
        <w:rPr>
          <w:rStyle w:val="afa"/>
        </w:rPr>
        <w:footnoteRef/>
      </w:r>
      <w:r>
        <w:rPr>
          <w:rFonts w:hint="eastAsia"/>
        </w:rPr>
        <w:t>菸害防制法第15條</w:t>
      </w:r>
      <w:r w:rsidR="00C33DAA">
        <w:rPr>
          <w:rFonts w:hint="eastAsia"/>
        </w:rPr>
        <w:t>第1項</w:t>
      </w:r>
      <w:r>
        <w:rPr>
          <w:rFonts w:hint="eastAsia"/>
        </w:rPr>
        <w:t>規定：「任何人不得製造、輸入、販賣、供應、展示或廣告下列物品：一、與菸品或菸品容器形狀近似之糖果、點心、玩具或其他物品。二、</w:t>
      </w:r>
      <w:r w:rsidRPr="004537C4">
        <w:rPr>
          <w:rFonts w:hint="eastAsia"/>
        </w:rPr>
        <w:t>類菸品或其組合元件。…。」</w:t>
      </w:r>
    </w:p>
  </w:footnote>
  <w:footnote w:id="4">
    <w:p w:rsidR="007C33C4" w:rsidRDefault="007C33C4" w:rsidP="00344070">
      <w:pPr>
        <w:pStyle w:val="142"/>
        <w:ind w:leftChars="5" w:left="172" w:hangingChars="65" w:hanging="158"/>
        <w:jc w:val="both"/>
      </w:pPr>
      <w:r>
        <w:rPr>
          <w:rStyle w:val="afa"/>
        </w:rPr>
        <w:footnoteRef/>
      </w:r>
      <w:r>
        <w:rPr>
          <w:rFonts w:hint="eastAsia"/>
        </w:rPr>
        <w:t>參</w:t>
      </w:r>
      <w:r w:rsidR="00DC6C17">
        <w:rPr>
          <w:rFonts w:hint="eastAsia"/>
        </w:rPr>
        <w:t>據</w:t>
      </w:r>
      <w:r>
        <w:rPr>
          <w:rFonts w:hint="eastAsia"/>
        </w:rPr>
        <w:t>審計部中華民國113年度中央政府總決算審核報告(第</w:t>
      </w:r>
      <w:r w:rsidR="00364C27">
        <w:rPr>
          <w:rFonts w:hint="eastAsia"/>
        </w:rPr>
        <w:t>1</w:t>
      </w:r>
      <w:r>
        <w:rPr>
          <w:rFonts w:hint="eastAsia"/>
        </w:rPr>
        <w:t>冊)第乙-130頁。</w:t>
      </w:r>
    </w:p>
  </w:footnote>
  <w:footnote w:id="5">
    <w:p w:rsidR="007C33C4" w:rsidRDefault="007C33C4" w:rsidP="006C418B">
      <w:pPr>
        <w:pStyle w:val="142"/>
        <w:ind w:left="95" w:hangingChars="39" w:hanging="95"/>
        <w:jc w:val="both"/>
      </w:pPr>
      <w:r>
        <w:rPr>
          <w:rStyle w:val="afa"/>
        </w:rPr>
        <w:footnoteRef/>
      </w:r>
      <w:r>
        <w:rPr>
          <w:rFonts w:hint="eastAsia"/>
        </w:rPr>
        <w:t>詐欺犯罪危害防制條例第32條</w:t>
      </w:r>
      <w:r w:rsidR="00C33DAA">
        <w:rPr>
          <w:rFonts w:hint="eastAsia"/>
        </w:rPr>
        <w:t>第1項</w:t>
      </w:r>
      <w:r>
        <w:rPr>
          <w:rFonts w:hint="eastAsia"/>
        </w:rPr>
        <w:t>規定：「網路廣告平臺業者知悉其刊登或推播之廣告為詐欺廣告或明顯涉及詐欺時，應依下列規定辦理：一、主動或依司法警察機關、數位經濟相關產業主管機關或各目的事業主管機關之通知期限內，移除、限制瀏覽、停止播送該廣告或採取其他必要之處置，並將該廣告之委託刊播者、出資者等資訊，及廣告內含疑似涉及詐欺之網路通訊軟體帳號、電信號碼等相關資訊提供司法警察機關。</w:t>
      </w:r>
      <w:r>
        <w:t>…</w:t>
      </w:r>
      <w:r>
        <w:rPr>
          <w:rFonts w:hint="eastAsia"/>
        </w:rPr>
        <w:t>。」及兒童及少年性剝削防制條例第8條第1項規定：「網路業者透過主管機關或其他機關，知有第四章犯罪嫌疑情事，應於24小時內限制瀏覽或移除與第四章犯罪有關之網頁資料。」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5AC"/>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F40DF82-F317-4AFC-881D-55B14C86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04BEA-15BB-4287-8D78-FCA890DB9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215</Words>
  <Characters>1227</Characters>
  <Application>Microsoft Office Word</Application>
  <DocSecurity>0</DocSecurity>
  <Lines>10</Lines>
  <Paragraphs>2</Paragraphs>
  <ScaleCrop>false</ScaleCrop>
  <Company/>
  <LinksUpToDate>false</LinksUpToDate>
  <CharactersWithSpaces>1440</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