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bookmarkStart w:id="5" w:name="_GoBack"/>
      <w:bookmarkEnd w:id="5"/>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817AEA" w:rsidRPr="00CE624A" w:rsidRDefault="00817AEA" w:rsidP="008F438D">
      <w:pPr>
        <w:pStyle w:val="14"/>
      </w:pPr>
      <w:bookmarkStart w:id="6" w:name="_Toc147908645"/>
      <w:bookmarkStart w:id="7" w:name="_Toc214529668"/>
      <w:bookmarkEnd w:id="0"/>
      <w:bookmarkEnd w:id="1"/>
      <w:bookmarkEnd w:id="2"/>
      <w:bookmarkEnd w:id="3"/>
      <w:bookmarkEnd w:id="4"/>
      <w:r w:rsidRPr="00CE624A">
        <w:rPr>
          <w:rFonts w:hint="eastAsia"/>
        </w:rPr>
        <w:t>六、</w:t>
      </w:r>
      <w:bookmarkStart w:id="8" w:name="OLE_LINK4"/>
      <w:bookmarkStart w:id="9" w:name="OLE_LINK5"/>
      <w:r w:rsidRPr="00CE624A">
        <w:rPr>
          <w:rFonts w:hint="eastAsia"/>
        </w:rPr>
        <w:t>為提升源頭管制成效，5</w:t>
      </w:r>
      <w:r w:rsidRPr="00CE624A">
        <w:t>7</w:t>
      </w:r>
      <w:r w:rsidRPr="00CE624A">
        <w:rPr>
          <w:rFonts w:hint="eastAsia"/>
        </w:rPr>
        <w:t>種</w:t>
      </w:r>
      <w:r w:rsidRPr="00CE624A">
        <w:t>具</w:t>
      </w:r>
      <w:r w:rsidRPr="00CE624A">
        <w:rPr>
          <w:rFonts w:hint="eastAsia"/>
        </w:rPr>
        <w:t>食安疑慮化學物質及「永久性化學品」</w:t>
      </w:r>
      <w:r w:rsidRPr="00CE624A">
        <w:t>PFAS</w:t>
      </w:r>
      <w:r w:rsidRPr="00CE624A">
        <w:rPr>
          <w:rFonts w:hint="eastAsia"/>
        </w:rPr>
        <w:t>尚未有效列管，允宜</w:t>
      </w:r>
      <w:r w:rsidRPr="00CE624A">
        <w:rPr>
          <w:rStyle w:val="1410"/>
          <w:rFonts w:hint="eastAsia"/>
          <w:b/>
          <w:bCs/>
        </w:rPr>
        <w:t>督促</w:t>
      </w:r>
      <w:r w:rsidRPr="00CE624A">
        <w:rPr>
          <w:rFonts w:hint="eastAsia"/>
        </w:rPr>
        <w:t>權責機關研謀改善</w:t>
      </w:r>
      <w:bookmarkEnd w:id="7"/>
    </w:p>
    <w:bookmarkEnd w:id="8"/>
    <w:bookmarkEnd w:id="9"/>
    <w:p w:rsidR="00C1186E" w:rsidRPr="00CE624A" w:rsidRDefault="00C1186E" w:rsidP="008F438D">
      <w:pPr>
        <w:ind w:left="566" w:firstLine="566"/>
        <w:rPr>
          <w:color w:val="000000"/>
        </w:rPr>
      </w:pPr>
      <w:r w:rsidRPr="00CE624A">
        <w:rPr>
          <w:rFonts w:hint="eastAsia"/>
          <w:color w:val="000000"/>
        </w:rPr>
        <w:t>行政院11</w:t>
      </w:r>
      <w:r w:rsidRPr="00CE624A">
        <w:rPr>
          <w:color w:val="000000"/>
        </w:rPr>
        <w:t>5</w:t>
      </w:r>
      <w:r w:rsidRPr="00CE624A">
        <w:rPr>
          <w:rFonts w:hint="eastAsia"/>
          <w:color w:val="000000"/>
        </w:rPr>
        <w:t>年度預算案「消保及食安業務」項下「食品安全業務」編列180萬7千元，係督導協調權責機關持續精進落實食安五環各項推動政策，以及強化食安風險預警、食安聯合稽查、食品雲資訊運用等業務所需經費。經查：</w:t>
      </w:r>
    </w:p>
    <w:p w:rsidR="00C1186E" w:rsidRPr="00CE624A" w:rsidRDefault="008F438D" w:rsidP="008F438D">
      <w:pPr>
        <w:pStyle w:val="a6"/>
        <w:rPr>
          <w:color w:val="000000"/>
        </w:rPr>
      </w:pPr>
      <w:bookmarkStart w:id="10" w:name="_Toc13470274"/>
      <w:bookmarkStart w:id="11" w:name="_Hlk210814911"/>
      <w:r w:rsidRPr="00CE624A">
        <w:rPr>
          <w:rFonts w:hint="eastAsia"/>
          <w:color w:val="000000"/>
        </w:rPr>
        <w:t>(一)</w:t>
      </w:r>
      <w:r w:rsidR="003C43B0" w:rsidRPr="00CE624A">
        <w:rPr>
          <w:rFonts w:hint="eastAsia"/>
          <w:color w:val="000000"/>
        </w:rPr>
        <w:t>為</w:t>
      </w:r>
      <w:r w:rsidR="003C43B0" w:rsidRPr="00CE624A">
        <w:rPr>
          <w:color w:val="000000"/>
        </w:rPr>
        <w:t>落實具食安風險疑慮化學物質之源頭管理</w:t>
      </w:r>
      <w:r w:rsidR="00134119" w:rsidRPr="00CE624A">
        <w:rPr>
          <w:rFonts w:hint="eastAsia"/>
          <w:color w:val="000000"/>
        </w:rPr>
        <w:t>而</w:t>
      </w:r>
      <w:r w:rsidR="00C1186E" w:rsidRPr="00CE624A">
        <w:rPr>
          <w:rFonts w:hint="eastAsia"/>
          <w:color w:val="000000"/>
        </w:rPr>
        <w:t>成立</w:t>
      </w:r>
      <w:r w:rsidR="00C1186E" w:rsidRPr="00CE624A">
        <w:rPr>
          <w:color w:val="000000"/>
        </w:rPr>
        <w:t>專責管理機關</w:t>
      </w:r>
      <w:r w:rsidR="00C1186E" w:rsidRPr="00CE624A">
        <w:rPr>
          <w:rFonts w:hint="eastAsia"/>
          <w:color w:val="000000"/>
        </w:rPr>
        <w:t>，惟5</w:t>
      </w:r>
      <w:r w:rsidR="00C1186E" w:rsidRPr="00CE624A">
        <w:rPr>
          <w:color w:val="000000"/>
        </w:rPr>
        <w:t>7種具</w:t>
      </w:r>
      <w:r w:rsidR="00C1186E" w:rsidRPr="00CE624A">
        <w:rPr>
          <w:rFonts w:hint="eastAsia"/>
          <w:color w:val="000000"/>
        </w:rPr>
        <w:t>食安疑慮化學物質未</w:t>
      </w:r>
      <w:r w:rsidR="003C43B0" w:rsidRPr="00CE624A">
        <w:rPr>
          <w:rFonts w:hint="eastAsia"/>
          <w:color w:val="000000"/>
        </w:rPr>
        <w:t>有效</w:t>
      </w:r>
      <w:r w:rsidR="00C1186E" w:rsidRPr="00CE624A">
        <w:rPr>
          <w:rFonts w:hint="eastAsia"/>
          <w:color w:val="000000"/>
        </w:rPr>
        <w:t>列管，允宜督促切實完善管理機制</w:t>
      </w:r>
    </w:p>
    <w:bookmarkEnd w:id="11"/>
    <w:p w:rsidR="00C1186E" w:rsidRPr="00CE624A" w:rsidRDefault="00C1186E" w:rsidP="008F438D">
      <w:pPr>
        <w:pStyle w:val="22"/>
      </w:pPr>
      <w:r w:rsidRPr="00CE624A">
        <w:rPr>
          <w:rFonts w:hint="eastAsia"/>
        </w:rPr>
        <w:lastRenderedPageBreak/>
        <w:t>為強化食安五環源頭管理，行政院於102年即選定國內及鄰近國家曾發生食安事件之57種具食安風險疑慮化學物質，並於1</w:t>
      </w:r>
      <w:r w:rsidR="003C43B0" w:rsidRPr="00CE624A">
        <w:rPr>
          <w:rFonts w:hint="eastAsia"/>
        </w:rPr>
        <w:t>0</w:t>
      </w:r>
      <w:r w:rsidRPr="00CE624A">
        <w:t>5</w:t>
      </w:r>
      <w:r w:rsidRPr="00CE624A">
        <w:rPr>
          <w:rFonts w:hint="eastAsia"/>
        </w:rPr>
        <w:t>年</w:t>
      </w:r>
      <w:r w:rsidRPr="00CE624A">
        <w:t>為落實具食安風險疑慮化學物質之源頭管理而成立</w:t>
      </w:r>
      <w:r w:rsidRPr="00CE624A">
        <w:rPr>
          <w:rFonts w:hint="eastAsia"/>
        </w:rPr>
        <w:t>環境部化學物質管理署</w:t>
      </w:r>
      <w:r w:rsidR="00134119" w:rsidRPr="00CE624A">
        <w:rPr>
          <w:rFonts w:hint="eastAsia"/>
        </w:rPr>
        <w:t>(以下簡稱化學署)</w:t>
      </w:r>
      <w:r w:rsidRPr="00CE624A">
        <w:rPr>
          <w:rFonts w:hint="eastAsia"/>
        </w:rPr>
        <w:t>。惟迄今5</w:t>
      </w:r>
      <w:r w:rsidRPr="00CE624A">
        <w:t>7</w:t>
      </w:r>
      <w:r w:rsidRPr="00CE624A">
        <w:rPr>
          <w:rFonts w:hint="eastAsia"/>
        </w:rPr>
        <w:t>種</w:t>
      </w:r>
      <w:r w:rsidRPr="00CE624A">
        <w:t>具</w:t>
      </w:r>
      <w:r w:rsidRPr="00CE624A">
        <w:rPr>
          <w:rFonts w:hint="eastAsia"/>
        </w:rPr>
        <w:t>食安疑慮化學物質仍分散於各部會管理（詳圖1），未能統一列管。由</w:t>
      </w:r>
      <w:r w:rsidRPr="00CE624A">
        <w:rPr>
          <w:rFonts w:hint="eastAsia"/>
          <w:bCs/>
        </w:rPr>
        <w:t>化學署依毒性及關注化學物質管理法管理者計35種，由農業部依農藥管理法管理者計3種，至於衛生福利部依食品安全衛生管理法管理者計16種</w:t>
      </w:r>
      <w:r w:rsidR="00134119" w:rsidRPr="00CE624A">
        <w:rPr>
          <w:rFonts w:hint="eastAsia"/>
          <w:bCs/>
        </w:rPr>
        <w:t>食品添加物</w:t>
      </w:r>
      <w:r w:rsidRPr="00CE624A">
        <w:rPr>
          <w:rFonts w:hint="eastAsia"/>
          <w:bCs/>
        </w:rPr>
        <w:t>及1種</w:t>
      </w:r>
      <w:r w:rsidR="00134119" w:rsidRPr="00CE624A">
        <w:rPr>
          <w:rFonts w:hint="eastAsia"/>
          <w:bCs/>
        </w:rPr>
        <w:t>食品用清潔劑</w:t>
      </w:r>
      <w:r w:rsidRPr="00CE624A">
        <w:rPr>
          <w:rFonts w:hint="eastAsia"/>
          <w:bCs/>
        </w:rPr>
        <w:t>，而經濟部僅依工廠申報內部調查作業程序管理者為水楊酸、硼砂與甲醇3種；另</w:t>
      </w:r>
      <w:r w:rsidRPr="00CE624A">
        <w:rPr>
          <w:rFonts w:hint="eastAsia"/>
        </w:rPr>
        <w:t>洽據化學署說明，57種具食安風險疑慮化學物質中，未由環境部公告列管或列為農藥之化學物質，而曾為業者誤用於食品者有20種（詳表1），其中有水楊酸被添加</w:t>
      </w:r>
      <w:r w:rsidRPr="00CE624A">
        <w:rPr>
          <w:rFonts w:hint="eastAsia"/>
          <w:spacing w:val="-4"/>
        </w:rPr>
        <w:t>於酒、醋等產品做為防腐劑，與</w:t>
      </w:r>
      <w:r w:rsidRPr="00CE624A">
        <w:rPr>
          <w:rFonts w:hint="eastAsia"/>
        </w:rPr>
        <w:t>硼砂</w:t>
      </w:r>
      <w:r w:rsidRPr="00CE624A">
        <w:rPr>
          <w:rFonts w:hint="eastAsia"/>
          <w:spacing w:val="-4"/>
        </w:rPr>
        <w:t>添加於貢丸、麵粉及麵粉製品等，及</w:t>
      </w:r>
      <w:r w:rsidRPr="00CE624A">
        <w:rPr>
          <w:rFonts w:hint="eastAsia"/>
        </w:rPr>
        <w:t>甲</w:t>
      </w:r>
      <w:r w:rsidRPr="00CE624A">
        <w:rPr>
          <w:rFonts w:hint="eastAsia"/>
        </w:rPr>
        <w:lastRenderedPageBreak/>
        <w:t>醇添加於私釀米酒，前開3種目前因無法源可列管</w:t>
      </w:r>
      <w:r w:rsidRPr="00CE624A">
        <w:rPr>
          <w:vertAlign w:val="superscript"/>
        </w:rPr>
        <w:footnoteReference w:id="1"/>
      </w:r>
      <w:r w:rsidRPr="00CE624A">
        <w:rPr>
          <w:rFonts w:hint="eastAsia"/>
        </w:rPr>
        <w:t>，</w:t>
      </w:r>
      <w:r w:rsidR="00134119" w:rsidRPr="00CE624A">
        <w:rPr>
          <w:rFonts w:hint="eastAsia"/>
        </w:rPr>
        <w:t>環境部目前</w:t>
      </w:r>
      <w:r w:rsidRPr="00CE624A">
        <w:rPr>
          <w:rFonts w:hint="eastAsia"/>
        </w:rPr>
        <w:t>仍採持續評估之作法。為確保國人飲食安全，允宜督促權責機關持續加強跨部會合作並完備法制，並研謀擴大列管具食安疑慮化學物質，以落實源頭管理。</w:t>
      </w:r>
    </w:p>
    <w:p w:rsidR="00A2067A" w:rsidRDefault="00A2067A" w:rsidP="00A207CD">
      <w:pPr>
        <w:adjustRightInd w:val="0"/>
        <w:ind w:leftChars="0" w:left="0" w:firstLineChars="0" w:firstLine="0"/>
        <w:rPr>
          <w:rFonts w:hAnsi="標楷體"/>
          <w:b/>
          <w:color w:val="000000"/>
        </w:rPr>
      </w:pPr>
    </w:p>
    <w:p w:rsidR="00A2067A" w:rsidRDefault="00A2067A" w:rsidP="00A207CD">
      <w:pPr>
        <w:adjustRightInd w:val="0"/>
        <w:ind w:leftChars="0" w:left="0" w:firstLineChars="0" w:firstLine="0"/>
        <w:rPr>
          <w:rFonts w:hAnsi="標楷體"/>
          <w:b/>
          <w:color w:val="000000"/>
        </w:rPr>
      </w:pPr>
    </w:p>
    <w:p w:rsidR="00A2067A" w:rsidRDefault="00A2067A" w:rsidP="00A207CD">
      <w:pPr>
        <w:adjustRightInd w:val="0"/>
        <w:ind w:leftChars="0" w:left="0" w:firstLineChars="0" w:firstLine="0"/>
        <w:rPr>
          <w:rFonts w:hAnsi="標楷體"/>
          <w:b/>
          <w:color w:val="000000"/>
        </w:rPr>
      </w:pPr>
    </w:p>
    <w:p w:rsidR="00A2067A" w:rsidRDefault="00A2067A" w:rsidP="00A207CD">
      <w:pPr>
        <w:adjustRightInd w:val="0"/>
        <w:ind w:leftChars="0" w:left="0" w:firstLineChars="0" w:firstLine="0"/>
        <w:rPr>
          <w:rFonts w:hAnsi="標楷體"/>
          <w:b/>
          <w:color w:val="000000"/>
        </w:rPr>
      </w:pPr>
    </w:p>
    <w:p w:rsidR="00C1186E" w:rsidRPr="00CE624A" w:rsidRDefault="00EB5C15" w:rsidP="00A207CD">
      <w:pPr>
        <w:adjustRightInd w:val="0"/>
        <w:ind w:leftChars="0" w:left="0" w:firstLineChars="0" w:firstLine="0"/>
        <w:rPr>
          <w:rFonts w:hAnsi="標楷體"/>
          <w:color w:val="000000"/>
        </w:rPr>
      </w:pPr>
      <w:r w:rsidRPr="00CE624A">
        <w:rPr>
          <w:noProof/>
          <w:color w:val="000000"/>
        </w:rPr>
        <w:lastRenderedPageBreak/>
        <w:drawing>
          <wp:anchor distT="0" distB="0" distL="114300" distR="114300" simplePos="0" relativeHeight="251657728" behindDoc="1" locked="0" layoutInCell="1" allowOverlap="1">
            <wp:simplePos x="0" y="0"/>
            <wp:positionH relativeFrom="column">
              <wp:posOffset>-11430</wp:posOffset>
            </wp:positionH>
            <wp:positionV relativeFrom="paragraph">
              <wp:posOffset>353060</wp:posOffset>
            </wp:positionV>
            <wp:extent cx="5306695" cy="3354705"/>
            <wp:effectExtent l="0" t="0" r="0" b="0"/>
            <wp:wrapTight wrapText="bothSides">
              <wp:wrapPolygon edited="0">
                <wp:start x="0" y="0"/>
                <wp:lineTo x="0" y="21465"/>
                <wp:lineTo x="21556" y="21465"/>
                <wp:lineTo x="21556" y="0"/>
                <wp:lineTo x="0" y="0"/>
              </wp:wrapPolygon>
            </wp:wrapTight>
            <wp:docPr id="3"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6695" cy="3354705"/>
                    </a:xfrm>
                    <a:prstGeom prst="rect">
                      <a:avLst/>
                    </a:prstGeom>
                    <a:noFill/>
                    <a:ln>
                      <a:noFill/>
                    </a:ln>
                  </pic:spPr>
                </pic:pic>
              </a:graphicData>
            </a:graphic>
            <wp14:sizeRelH relativeFrom="page">
              <wp14:pctWidth>0</wp14:pctWidth>
            </wp14:sizeRelH>
            <wp14:sizeRelV relativeFrom="page">
              <wp14:pctHeight>0</wp14:pctHeight>
            </wp14:sizeRelV>
          </wp:anchor>
        </w:drawing>
      </w:r>
      <w:r w:rsidR="00C1186E" w:rsidRPr="00CE624A">
        <w:rPr>
          <w:rFonts w:hAnsi="標楷體" w:hint="eastAsia"/>
          <w:b/>
          <w:color w:val="000000"/>
        </w:rPr>
        <w:t>圖1 57種食安疑慮化學物質相關部會管理概況圖</w:t>
      </w:r>
    </w:p>
    <w:p w:rsidR="00C1186E" w:rsidRPr="00CE624A" w:rsidRDefault="00C1186E" w:rsidP="00A207CD">
      <w:pPr>
        <w:adjustRightInd w:val="0"/>
        <w:spacing w:line="280" w:lineRule="exact"/>
        <w:ind w:leftChars="-100" w:left="1176" w:hangingChars="600" w:hanging="1459"/>
        <w:rPr>
          <w:rFonts w:hAnsi="標楷體"/>
          <w:bCs/>
          <w:color w:val="000000"/>
          <w:sz w:val="24"/>
          <w:szCs w:val="24"/>
        </w:rPr>
      </w:pPr>
      <w:r w:rsidRPr="00CE624A">
        <w:rPr>
          <w:rFonts w:hAnsi="標楷體" w:hint="eastAsia"/>
          <w:bCs/>
          <w:color w:val="000000"/>
          <w:sz w:val="24"/>
          <w:szCs w:val="24"/>
        </w:rPr>
        <w:t xml:space="preserve">  資料來源：行政院食品安全辦公室食品安全資訊網：105</w:t>
      </w:r>
      <w:r w:rsidR="007F73E6">
        <w:rPr>
          <w:rFonts w:hAnsi="標楷體" w:hint="eastAsia"/>
          <w:bCs/>
          <w:color w:val="000000"/>
          <w:sz w:val="24"/>
          <w:szCs w:val="24"/>
        </w:rPr>
        <w:t>至</w:t>
      </w:r>
      <w:r w:rsidRPr="00CE624A">
        <w:rPr>
          <w:rFonts w:hAnsi="標楷體" w:hint="eastAsia"/>
          <w:bCs/>
          <w:color w:val="000000"/>
          <w:sz w:val="24"/>
          <w:szCs w:val="24"/>
        </w:rPr>
        <w:t>112年食安五環政策推動成果簡報，</w:t>
      </w:r>
      <w:r w:rsidRPr="00CE624A">
        <w:rPr>
          <w:rFonts w:hAnsi="標楷體"/>
          <w:bCs/>
          <w:color w:val="000000"/>
          <w:sz w:val="24"/>
          <w:szCs w:val="24"/>
        </w:rPr>
        <w:t>https://www.ey.gov.tw/ofs/4638C2C19609D54A</w:t>
      </w:r>
      <w:r w:rsidRPr="00CE624A">
        <w:rPr>
          <w:rFonts w:hAnsi="標楷體" w:hint="eastAsia"/>
          <w:bCs/>
          <w:color w:val="000000"/>
          <w:sz w:val="24"/>
          <w:szCs w:val="24"/>
        </w:rPr>
        <w:t xml:space="preserve"> (最後瀏覽日:114年9月8日</w:t>
      </w:r>
      <w:r w:rsidRPr="00CE624A">
        <w:rPr>
          <w:rFonts w:hAnsi="標楷體"/>
          <w:bCs/>
          <w:color w:val="000000"/>
          <w:sz w:val="24"/>
          <w:szCs w:val="24"/>
        </w:rPr>
        <w:t>)</w:t>
      </w:r>
      <w:r w:rsidRPr="00CE624A">
        <w:rPr>
          <w:rFonts w:hAnsi="標楷體" w:hint="eastAsia"/>
          <w:bCs/>
          <w:color w:val="000000"/>
          <w:sz w:val="24"/>
          <w:szCs w:val="24"/>
        </w:rPr>
        <w:t>。</w:t>
      </w:r>
    </w:p>
    <w:p w:rsidR="00C1186E" w:rsidRPr="00CE624A" w:rsidRDefault="00C1186E" w:rsidP="00981547">
      <w:pPr>
        <w:adjustRightInd w:val="0"/>
        <w:spacing w:beforeLines="20" w:before="100"/>
        <w:ind w:leftChars="-4" w:left="647" w:hangingChars="232" w:hanging="658"/>
        <w:rPr>
          <w:rFonts w:hAnsi="標楷體"/>
          <w:b/>
          <w:bCs/>
          <w:color w:val="000000"/>
        </w:rPr>
      </w:pPr>
      <w:r w:rsidRPr="00CE624A">
        <w:rPr>
          <w:rFonts w:hAnsi="標楷體"/>
          <w:b/>
          <w:color w:val="000000"/>
        </w:rPr>
        <w:t>表</w:t>
      </w:r>
      <w:r w:rsidRPr="00CE624A">
        <w:rPr>
          <w:rFonts w:hAnsi="標楷體" w:hint="eastAsia"/>
          <w:b/>
          <w:color w:val="000000"/>
        </w:rPr>
        <w:t>1</w:t>
      </w:r>
      <w:r w:rsidRPr="00CE624A">
        <w:rPr>
          <w:rFonts w:hAnsi="標楷體"/>
          <w:b/>
          <w:color w:val="000000"/>
        </w:rPr>
        <w:t xml:space="preserve"> </w:t>
      </w:r>
      <w:r w:rsidRPr="00CE624A">
        <w:rPr>
          <w:rFonts w:hAnsi="標楷體" w:hint="eastAsia"/>
          <w:b/>
          <w:color w:val="000000"/>
        </w:rPr>
        <w:t>具食安疑慮且未由化學署列管或列為農藥之化學物質用途、誤用於食品情形及由各部會管理概況表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701"/>
        <w:gridCol w:w="3544"/>
        <w:gridCol w:w="1984"/>
      </w:tblGrid>
      <w:tr w:rsidR="002F7423" w:rsidRPr="00CE624A" w:rsidTr="00A207CD">
        <w:trPr>
          <w:tblHeader/>
        </w:trPr>
        <w:tc>
          <w:tcPr>
            <w:tcW w:w="1276" w:type="dxa"/>
            <w:vAlign w:val="center"/>
          </w:tcPr>
          <w:p w:rsidR="00C1186E" w:rsidRPr="00A2067A" w:rsidRDefault="00C1186E" w:rsidP="00A207CD">
            <w:pPr>
              <w:spacing w:line="280" w:lineRule="exact"/>
              <w:ind w:leftChars="0" w:left="0" w:firstLineChars="0" w:firstLine="0"/>
              <w:jc w:val="center"/>
              <w:rPr>
                <w:rFonts w:hAnsi="標楷體"/>
                <w:b/>
                <w:snapToGrid/>
                <w:color w:val="000000"/>
                <w:spacing w:val="-4"/>
                <w:sz w:val="24"/>
                <w:szCs w:val="24"/>
              </w:rPr>
            </w:pPr>
            <w:r w:rsidRPr="00A2067A">
              <w:rPr>
                <w:rFonts w:hAnsi="標楷體" w:hint="eastAsia"/>
                <w:b/>
                <w:color w:val="000000"/>
                <w:spacing w:val="-8"/>
                <w:sz w:val="24"/>
                <w:szCs w:val="24"/>
              </w:rPr>
              <w:lastRenderedPageBreak/>
              <w:t>化學物質品名</w:t>
            </w:r>
          </w:p>
        </w:tc>
        <w:tc>
          <w:tcPr>
            <w:tcW w:w="1701" w:type="dxa"/>
            <w:vAlign w:val="center"/>
          </w:tcPr>
          <w:p w:rsidR="00C1186E" w:rsidRPr="00A2067A" w:rsidRDefault="00C1186E" w:rsidP="00A207CD">
            <w:pPr>
              <w:spacing w:line="280" w:lineRule="exact"/>
              <w:ind w:leftChars="0" w:left="0" w:firstLineChars="0" w:firstLine="0"/>
              <w:jc w:val="center"/>
              <w:rPr>
                <w:rFonts w:hAnsi="標楷體"/>
                <w:b/>
                <w:snapToGrid/>
                <w:color w:val="000000"/>
                <w:spacing w:val="-4"/>
                <w:sz w:val="24"/>
                <w:szCs w:val="24"/>
              </w:rPr>
            </w:pPr>
            <w:r w:rsidRPr="00A2067A">
              <w:rPr>
                <w:rFonts w:hAnsi="標楷體" w:hint="eastAsia"/>
                <w:b/>
                <w:color w:val="000000"/>
                <w:spacing w:val="-8"/>
                <w:sz w:val="24"/>
                <w:szCs w:val="24"/>
              </w:rPr>
              <w:t>主要用途</w:t>
            </w:r>
          </w:p>
        </w:tc>
        <w:tc>
          <w:tcPr>
            <w:tcW w:w="3544" w:type="dxa"/>
            <w:vAlign w:val="center"/>
          </w:tcPr>
          <w:p w:rsidR="00C1186E" w:rsidRPr="00A2067A" w:rsidRDefault="00C1186E" w:rsidP="00A207CD">
            <w:pPr>
              <w:spacing w:line="280" w:lineRule="exact"/>
              <w:ind w:leftChars="0" w:left="0" w:firstLineChars="0" w:firstLine="0"/>
              <w:jc w:val="center"/>
              <w:rPr>
                <w:rFonts w:hAnsi="標楷體"/>
                <w:b/>
                <w:color w:val="000000"/>
                <w:spacing w:val="-8"/>
                <w:sz w:val="24"/>
                <w:szCs w:val="24"/>
              </w:rPr>
            </w:pPr>
            <w:r w:rsidRPr="00A2067A">
              <w:rPr>
                <w:rFonts w:hAnsi="標楷體" w:hint="eastAsia"/>
                <w:b/>
                <w:color w:val="000000"/>
                <w:spacing w:val="-8"/>
                <w:sz w:val="24"/>
                <w:szCs w:val="24"/>
              </w:rPr>
              <w:t>曾有業者誤用於食品情形</w:t>
            </w:r>
          </w:p>
        </w:tc>
        <w:tc>
          <w:tcPr>
            <w:tcW w:w="1984" w:type="dxa"/>
            <w:vAlign w:val="center"/>
          </w:tcPr>
          <w:p w:rsidR="00C1186E" w:rsidRPr="00A2067A" w:rsidRDefault="00C1186E" w:rsidP="00A207CD">
            <w:pPr>
              <w:spacing w:line="280" w:lineRule="exact"/>
              <w:ind w:leftChars="0" w:left="0" w:firstLineChars="0" w:firstLine="0"/>
              <w:jc w:val="center"/>
              <w:rPr>
                <w:rFonts w:hAnsi="標楷體"/>
                <w:b/>
                <w:color w:val="000000"/>
                <w:spacing w:val="-8"/>
                <w:sz w:val="24"/>
                <w:szCs w:val="24"/>
              </w:rPr>
            </w:pPr>
            <w:r w:rsidRPr="00A2067A">
              <w:rPr>
                <w:rFonts w:hAnsi="標楷體" w:hint="eastAsia"/>
                <w:b/>
                <w:color w:val="000000"/>
                <w:spacing w:val="-8"/>
                <w:sz w:val="24"/>
                <w:szCs w:val="24"/>
              </w:rPr>
              <w:t>管理現況</w:t>
            </w:r>
          </w:p>
        </w:tc>
      </w:tr>
      <w:tr w:rsidR="002F7423" w:rsidRPr="00CE624A" w:rsidTr="00A207CD">
        <w:trPr>
          <w:trHeight w:val="353"/>
        </w:trPr>
        <w:tc>
          <w:tcPr>
            <w:tcW w:w="8505" w:type="dxa"/>
            <w:gridSpan w:val="4"/>
            <w:vAlign w:val="center"/>
          </w:tcPr>
          <w:p w:rsidR="00C1186E" w:rsidRPr="00CE624A" w:rsidRDefault="00C1186E" w:rsidP="00A207CD">
            <w:pPr>
              <w:spacing w:line="280" w:lineRule="exact"/>
              <w:ind w:leftChars="0" w:left="0" w:firstLineChars="0" w:firstLine="0"/>
              <w:rPr>
                <w:rFonts w:hAnsi="標楷體"/>
                <w:b/>
                <w:color w:val="000000"/>
                <w:spacing w:val="-8"/>
                <w:sz w:val="24"/>
                <w:szCs w:val="24"/>
              </w:rPr>
            </w:pPr>
            <w:r w:rsidRPr="00CE624A">
              <w:rPr>
                <w:rFonts w:hAnsi="標楷體" w:hint="eastAsia"/>
                <w:b/>
                <w:color w:val="000000"/>
                <w:spacing w:val="-8"/>
                <w:sz w:val="24"/>
                <w:szCs w:val="24"/>
              </w:rPr>
              <w:t>與食品添加物同品項之化學物質：</w:t>
            </w:r>
            <w:r w:rsidRPr="00CE624A">
              <w:rPr>
                <w:rFonts w:hAnsi="標楷體" w:hint="eastAsia"/>
                <w:b/>
                <w:color w:val="000000"/>
                <w:sz w:val="24"/>
                <w:szCs w:val="24"/>
              </w:rPr>
              <w:t>1</w:t>
            </w:r>
            <w:r w:rsidRPr="00CE624A">
              <w:rPr>
                <w:rFonts w:hAnsi="標楷體"/>
                <w:b/>
                <w:color w:val="000000"/>
                <w:sz w:val="24"/>
                <w:szCs w:val="24"/>
              </w:rPr>
              <w:t>6</w:t>
            </w:r>
            <w:r w:rsidRPr="00CE624A">
              <w:rPr>
                <w:rFonts w:hAnsi="標楷體" w:hint="eastAsia"/>
                <w:b/>
                <w:color w:val="000000"/>
                <w:sz w:val="24"/>
                <w:szCs w:val="24"/>
              </w:rPr>
              <w:t>種</w:t>
            </w:r>
          </w:p>
        </w:tc>
      </w:tr>
      <w:tr w:rsidR="002F7423" w:rsidRPr="00CE624A" w:rsidTr="00A207CD">
        <w:trPr>
          <w:trHeight w:val="376"/>
        </w:trPr>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亞硫酸鈉</w:t>
            </w:r>
          </w:p>
        </w:tc>
        <w:tc>
          <w:tcPr>
            <w:tcW w:w="1701" w:type="dxa"/>
            <w:vMerge w:val="restart"/>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經衛福部查驗登記者為准用食品添加物。</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使用工業用亞硫酸鈉泡洗海帶。</w:t>
            </w:r>
          </w:p>
        </w:tc>
        <w:tc>
          <w:tcPr>
            <w:tcW w:w="1984" w:type="dxa"/>
            <w:vMerge w:val="restart"/>
            <w:vAlign w:val="center"/>
          </w:tcPr>
          <w:p w:rsidR="00C1186E" w:rsidRPr="00CE624A" w:rsidRDefault="00C1186E" w:rsidP="00A207CD">
            <w:pPr>
              <w:spacing w:line="280" w:lineRule="exact"/>
              <w:ind w:leftChars="0" w:left="227" w:hangingChars="100" w:hanging="227"/>
              <w:jc w:val="left"/>
              <w:rPr>
                <w:rFonts w:hAnsi="標楷體"/>
                <w:bCs/>
                <w:color w:val="000000"/>
                <w:spacing w:val="-8"/>
                <w:sz w:val="24"/>
                <w:szCs w:val="24"/>
              </w:rPr>
            </w:pPr>
            <w:r w:rsidRPr="00CE624A">
              <w:rPr>
                <w:rFonts w:hAnsi="標楷體" w:hint="eastAsia"/>
                <w:bCs/>
                <w:color w:val="000000"/>
                <w:spacing w:val="-8"/>
                <w:sz w:val="24"/>
                <w:szCs w:val="24"/>
              </w:rPr>
              <w:t>1.由衛福部依「食品安全衛生管理法」管理，未經衛福部查驗登記者不得添加於食品。</w:t>
            </w:r>
          </w:p>
          <w:p w:rsidR="00C1186E" w:rsidRPr="00CE624A" w:rsidRDefault="00C1186E" w:rsidP="00A207CD">
            <w:pPr>
              <w:spacing w:line="280" w:lineRule="exact"/>
              <w:ind w:leftChars="0" w:left="227" w:hangingChars="100" w:hanging="227"/>
              <w:rPr>
                <w:rFonts w:hAnsi="標楷體"/>
                <w:bCs/>
                <w:color w:val="000000"/>
                <w:spacing w:val="-8"/>
                <w:sz w:val="24"/>
                <w:szCs w:val="24"/>
              </w:rPr>
            </w:pPr>
            <w:r w:rsidRPr="00CE624A">
              <w:rPr>
                <w:rFonts w:hAnsi="標楷體" w:hint="eastAsia"/>
                <w:bCs/>
                <w:color w:val="000000"/>
                <w:spacing w:val="-8"/>
                <w:sz w:val="24"/>
                <w:szCs w:val="24"/>
              </w:rPr>
              <w:t>2.由經濟部依「經濟部辦理及督導生產選定化學物質工廠申報調查作業程序」管理。</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亞硝酸鉀</w:t>
            </w:r>
          </w:p>
        </w:tc>
        <w:tc>
          <w:tcPr>
            <w:tcW w:w="1701"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使用工業用亞硝酸鉀添加於火腿、培根、熱狗、鹹菜等產品。</w:t>
            </w:r>
          </w:p>
        </w:tc>
        <w:tc>
          <w:tcPr>
            <w:tcW w:w="1984"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亞硝酸鈉</w:t>
            </w:r>
          </w:p>
        </w:tc>
        <w:tc>
          <w:tcPr>
            <w:tcW w:w="1701" w:type="dxa"/>
            <w:vMerge/>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使用工業用亞硝酸鈉添加於火腿、培根、熱狗、鹹菜等產品。</w:t>
            </w:r>
          </w:p>
        </w:tc>
        <w:tc>
          <w:tcPr>
            <w:tcW w:w="1984"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r>
      <w:tr w:rsidR="002F7423" w:rsidRPr="00CE624A" w:rsidTr="00A207CD">
        <w:trPr>
          <w:trHeight w:val="696"/>
        </w:trPr>
        <w:tc>
          <w:tcPr>
            <w:tcW w:w="1276" w:type="dxa"/>
            <w:vAlign w:val="center"/>
          </w:tcPr>
          <w:p w:rsidR="00C1186E" w:rsidRPr="00CE624A" w:rsidRDefault="00C1186E" w:rsidP="00A207CD">
            <w:pPr>
              <w:spacing w:line="280" w:lineRule="exact"/>
              <w:ind w:leftChars="0" w:left="0" w:firstLineChars="0" w:firstLine="0"/>
              <w:jc w:val="center"/>
              <w:rPr>
                <w:rFonts w:hAnsi="標楷體"/>
                <w:bCs/>
                <w:color w:val="000000"/>
                <w:spacing w:val="-8"/>
                <w:sz w:val="24"/>
                <w:szCs w:val="24"/>
              </w:rPr>
            </w:pPr>
            <w:r w:rsidRPr="00CE624A">
              <w:rPr>
                <w:rFonts w:hAnsi="標楷體" w:hint="eastAsia"/>
                <w:bCs/>
                <w:color w:val="000000"/>
                <w:spacing w:val="-8"/>
                <w:sz w:val="24"/>
                <w:szCs w:val="24"/>
              </w:rPr>
              <w:t>碳酸氫鈉</w:t>
            </w:r>
          </w:p>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（小蘇打）</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Cs/>
                <w:color w:val="000000"/>
                <w:spacing w:val="-8"/>
                <w:sz w:val="24"/>
                <w:szCs w:val="24"/>
              </w:rPr>
              <w:t>使用工業用碳酸氫鈉添加於油條、包子、麵包、蛋糕等。</w:t>
            </w:r>
          </w:p>
        </w:tc>
        <w:tc>
          <w:tcPr>
            <w:tcW w:w="1984"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鈉明礬（硫酸鋁鈉）</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使用工業用鈉明礬添加於油條、包子、麵包、蛋糕等。</w:t>
            </w:r>
          </w:p>
        </w:tc>
        <w:tc>
          <w:tcPr>
            <w:tcW w:w="1984" w:type="dxa"/>
            <w:vMerge/>
            <w:vAlign w:val="center"/>
          </w:tcPr>
          <w:p w:rsidR="00C1186E" w:rsidRPr="00CE624A" w:rsidRDefault="00C1186E" w:rsidP="00A207CD">
            <w:pPr>
              <w:spacing w:line="280" w:lineRule="exact"/>
              <w:ind w:left="566" w:firstLine="470"/>
              <w:jc w:val="center"/>
              <w:rPr>
                <w:rFonts w:hAnsi="標楷體"/>
                <w:snapToGrid/>
                <w:color w:val="000000"/>
                <w:spacing w:val="-4"/>
                <w:sz w:val="24"/>
                <w:szCs w:val="24"/>
              </w:rPr>
            </w:pP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鉀明礬(硫酸鋁鉀)</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p>
        </w:tc>
        <w:tc>
          <w:tcPr>
            <w:tcW w:w="3544" w:type="dxa"/>
            <w:vAlign w:val="center"/>
          </w:tcPr>
          <w:p w:rsidR="00C1186E" w:rsidRPr="00CE624A" w:rsidRDefault="00C1186E" w:rsidP="00A207CD">
            <w:pPr>
              <w:spacing w:line="280" w:lineRule="exact"/>
              <w:ind w:leftChars="0" w:left="0" w:firstLineChars="0" w:firstLine="0"/>
              <w:jc w:val="left"/>
              <w:rPr>
                <w:rFonts w:hAnsi="標楷體"/>
                <w:snapToGrid/>
                <w:color w:val="000000"/>
                <w:spacing w:val="-4"/>
                <w:sz w:val="24"/>
                <w:szCs w:val="24"/>
              </w:rPr>
            </w:pPr>
            <w:r w:rsidRPr="00CE624A">
              <w:rPr>
                <w:rFonts w:hAnsi="標楷體" w:hint="eastAsia"/>
                <w:snapToGrid/>
                <w:color w:val="000000"/>
                <w:spacing w:val="-4"/>
                <w:sz w:val="24"/>
                <w:szCs w:val="24"/>
              </w:rPr>
              <w:t>使用工業用鉀明礬添加於油條、包子、麵包、蛋糕等。</w:t>
            </w:r>
          </w:p>
        </w:tc>
        <w:tc>
          <w:tcPr>
            <w:tcW w:w="1984" w:type="dxa"/>
            <w:vMerge/>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p>
        </w:tc>
      </w:tr>
      <w:tr w:rsidR="002F7423" w:rsidRPr="00CE624A" w:rsidTr="00A207CD">
        <w:tc>
          <w:tcPr>
            <w:tcW w:w="1276" w:type="dxa"/>
            <w:vAlign w:val="center"/>
          </w:tcPr>
          <w:p w:rsidR="00C1186E" w:rsidRPr="00CE624A" w:rsidRDefault="00C1186E" w:rsidP="00A207CD">
            <w:pPr>
              <w:spacing w:line="280" w:lineRule="exact"/>
              <w:ind w:leftChars="-20" w:left="-57" w:rightChars="-20" w:right="-57" w:firstLineChars="0" w:firstLine="0"/>
              <w:jc w:val="left"/>
              <w:rPr>
                <w:rFonts w:hAnsi="標楷體"/>
                <w:snapToGrid/>
                <w:color w:val="000000"/>
                <w:spacing w:val="-4"/>
                <w:sz w:val="24"/>
                <w:szCs w:val="24"/>
              </w:rPr>
            </w:pPr>
            <w:r w:rsidRPr="00CE624A">
              <w:rPr>
                <w:rFonts w:hAnsi="標楷體" w:hint="eastAsia"/>
                <w:snapToGrid/>
                <w:color w:val="000000"/>
                <w:spacing w:val="-4"/>
                <w:sz w:val="24"/>
                <w:szCs w:val="24"/>
              </w:rPr>
              <w:t>氫氧化鈉</w:t>
            </w:r>
          </w:p>
          <w:p w:rsidR="00C1186E" w:rsidRPr="00CE624A" w:rsidRDefault="00C1186E" w:rsidP="00A207CD">
            <w:pPr>
              <w:spacing w:line="280" w:lineRule="exact"/>
              <w:ind w:leftChars="-30" w:left="-85" w:rightChars="-50" w:right="-142" w:firstLineChars="0" w:firstLine="0"/>
              <w:jc w:val="left"/>
              <w:rPr>
                <w:rFonts w:hAnsi="標楷體"/>
                <w:snapToGrid/>
                <w:color w:val="000000"/>
                <w:spacing w:val="-4"/>
                <w:sz w:val="22"/>
                <w:szCs w:val="22"/>
              </w:rPr>
            </w:pPr>
            <w:r w:rsidRPr="00CE624A">
              <w:rPr>
                <w:rFonts w:hAnsi="標楷體" w:hint="eastAsia"/>
                <w:snapToGrid/>
                <w:color w:val="000000"/>
                <w:spacing w:val="-4"/>
                <w:sz w:val="22"/>
                <w:szCs w:val="22"/>
              </w:rPr>
              <w:t>(燒鹼</w:t>
            </w:r>
            <w:r w:rsidRPr="00CE624A">
              <w:rPr>
                <w:rFonts w:hAnsi="標楷體"/>
                <w:snapToGrid/>
                <w:color w:val="000000"/>
                <w:spacing w:val="-4"/>
                <w:sz w:val="22"/>
                <w:szCs w:val="22"/>
              </w:rPr>
              <w:t>/</w:t>
            </w:r>
            <w:r w:rsidRPr="00CE624A">
              <w:rPr>
                <w:rFonts w:hAnsi="標楷體" w:hint="eastAsia"/>
                <w:snapToGrid/>
                <w:color w:val="000000"/>
                <w:spacing w:val="-4"/>
                <w:sz w:val="22"/>
                <w:szCs w:val="22"/>
              </w:rPr>
              <w:t>火碱)</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r w:rsidRPr="00CE624A">
              <w:rPr>
                <w:rFonts w:hAnsi="標楷體" w:hint="eastAsia"/>
                <w:snapToGrid/>
                <w:color w:val="000000"/>
                <w:spacing w:val="-4"/>
                <w:sz w:val="24"/>
                <w:szCs w:val="24"/>
              </w:rPr>
              <w:t>。</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使用工業用氫氧化鈉用於洗滌發泡乾魷魚。</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lastRenderedPageBreak/>
              <w:t>碳酸鈣</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r w:rsidRPr="00CE624A">
              <w:rPr>
                <w:rFonts w:hAnsi="標楷體" w:hint="eastAsia"/>
                <w:snapToGrid/>
                <w:color w:val="000000"/>
                <w:spacing w:val="-4"/>
                <w:sz w:val="24"/>
                <w:szCs w:val="24"/>
              </w:rPr>
              <w:t>。</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使用工業用碳酸鈣添加於奶粉、飲料、糕點、奶片等製品。</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氯化鎂</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使用工業用氯化鎂用於滷水製作豆腐。</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硫酸銅</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bCs/>
                <w:color w:val="000000"/>
                <w:spacing w:val="-8"/>
                <w:sz w:val="24"/>
                <w:szCs w:val="24"/>
              </w:rPr>
              <w:t>同上</w:t>
            </w:r>
            <w:r w:rsidRPr="00CE624A">
              <w:rPr>
                <w:rFonts w:hAnsi="標楷體" w:hint="eastAsia"/>
                <w:snapToGrid/>
                <w:color w:val="000000"/>
                <w:spacing w:val="-4"/>
                <w:sz w:val="24"/>
                <w:szCs w:val="24"/>
              </w:rPr>
              <w:t>。</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使用工業用硫酸銅添加至保健食品。</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硼酸</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使用工業用硼酸添加於米、麵製品類、魚類加工食品類等食品。</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碳酸鎂</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使用工業用碳酸鎂曾添加於胡椒粉、辣椒粉、咖哩粉等調味粉內。</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喹啉黃</w:t>
            </w:r>
          </w:p>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（奎黃）</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用於腐皮、豆干等豆製品食品染色增加賣相。</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檸檬酸</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使用工業用檸檬酸漂白蓮藕及清洗生薑、馬鈴薯。</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醋酸</w:t>
            </w:r>
          </w:p>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(乙酸)</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以工業用醋酸取代醋精，也有業者使用工業用醋酸浸泡海參。</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1276"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矽酸鈉</w:t>
            </w:r>
          </w:p>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（泡化鹼/水玻璃）</w:t>
            </w:r>
          </w:p>
        </w:tc>
        <w:tc>
          <w:tcPr>
            <w:tcW w:w="1701"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曾有業者用於雞蛋延長保鮮。</w:t>
            </w:r>
          </w:p>
        </w:tc>
        <w:tc>
          <w:tcPr>
            <w:tcW w:w="1984" w:type="dxa"/>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同上</w:t>
            </w:r>
          </w:p>
        </w:tc>
      </w:tr>
      <w:tr w:rsidR="002F7423" w:rsidRPr="00CE624A" w:rsidTr="00A207CD">
        <w:tc>
          <w:tcPr>
            <w:tcW w:w="8505" w:type="dxa"/>
            <w:gridSpan w:val="4"/>
            <w:vAlign w:val="center"/>
          </w:tcPr>
          <w:p w:rsidR="00C1186E" w:rsidRPr="00CE624A" w:rsidRDefault="00C1186E" w:rsidP="00A207CD">
            <w:pPr>
              <w:spacing w:line="280" w:lineRule="exact"/>
              <w:ind w:leftChars="0" w:left="0" w:firstLineChars="0" w:firstLine="0"/>
              <w:rPr>
                <w:rFonts w:hAnsi="標楷體"/>
                <w:b/>
                <w:color w:val="000000"/>
                <w:spacing w:val="-8"/>
                <w:sz w:val="24"/>
                <w:szCs w:val="24"/>
              </w:rPr>
            </w:pPr>
            <w:r w:rsidRPr="00CE624A">
              <w:rPr>
                <w:rFonts w:hAnsi="標楷體" w:hint="eastAsia"/>
                <w:b/>
                <w:color w:val="000000"/>
                <w:spacing w:val="-8"/>
                <w:sz w:val="24"/>
                <w:szCs w:val="24"/>
              </w:rPr>
              <w:t>其他化學物質：4種</w:t>
            </w:r>
          </w:p>
        </w:tc>
      </w:tr>
      <w:tr w:rsidR="002F7423" w:rsidRPr="00CE624A" w:rsidTr="00080F9D">
        <w:tc>
          <w:tcPr>
            <w:tcW w:w="1276" w:type="dxa"/>
            <w:vAlign w:val="center"/>
          </w:tcPr>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水楊酸</w:t>
            </w:r>
          </w:p>
        </w:tc>
        <w:tc>
          <w:tcPr>
            <w:tcW w:w="1701"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用於植物激素、藥用具緩解疼痛、發燒及消炎作用。</w:t>
            </w:r>
          </w:p>
        </w:tc>
        <w:tc>
          <w:tcPr>
            <w:tcW w:w="3544" w:type="dxa"/>
            <w:vAlign w:val="center"/>
          </w:tcPr>
          <w:p w:rsidR="00C1186E" w:rsidRPr="00CE624A" w:rsidRDefault="00C1186E" w:rsidP="00A207CD">
            <w:pPr>
              <w:spacing w:line="280" w:lineRule="exact"/>
              <w:ind w:leftChars="0" w:left="0" w:firstLineChars="0" w:firstLine="0"/>
              <w:rPr>
                <w:rFonts w:hAnsi="標楷體"/>
                <w:b/>
                <w:bCs/>
                <w:snapToGrid/>
                <w:color w:val="000000"/>
                <w:spacing w:val="-4"/>
                <w:sz w:val="24"/>
                <w:szCs w:val="24"/>
              </w:rPr>
            </w:pPr>
            <w:r w:rsidRPr="00CE624A">
              <w:rPr>
                <w:rFonts w:hAnsi="標楷體" w:hint="eastAsia"/>
                <w:b/>
                <w:bCs/>
                <w:snapToGrid/>
                <w:color w:val="000000"/>
                <w:spacing w:val="-4"/>
                <w:sz w:val="24"/>
                <w:szCs w:val="24"/>
              </w:rPr>
              <w:t>曾有業者</w:t>
            </w:r>
            <w:bookmarkStart w:id="12" w:name="_Hlk210818750"/>
            <w:r w:rsidRPr="00CE624A">
              <w:rPr>
                <w:rFonts w:hAnsi="標楷體" w:hint="eastAsia"/>
                <w:b/>
                <w:bCs/>
                <w:snapToGrid/>
                <w:color w:val="000000"/>
                <w:spacing w:val="-4"/>
                <w:sz w:val="24"/>
                <w:szCs w:val="24"/>
              </w:rPr>
              <w:t>添加於酒、醋等產品做為防腐劑</w:t>
            </w:r>
            <w:bookmarkEnd w:id="12"/>
            <w:r w:rsidRPr="00CE624A">
              <w:rPr>
                <w:rFonts w:hAnsi="標楷體" w:hint="eastAsia"/>
                <w:b/>
                <w:bCs/>
                <w:snapToGrid/>
                <w:color w:val="000000"/>
                <w:spacing w:val="-4"/>
                <w:sz w:val="24"/>
                <w:szCs w:val="24"/>
              </w:rPr>
              <w:t>。</w:t>
            </w:r>
          </w:p>
        </w:tc>
        <w:tc>
          <w:tcPr>
            <w:tcW w:w="1984" w:type="dxa"/>
            <w:vMerge w:val="restart"/>
            <w:vAlign w:val="center"/>
          </w:tcPr>
          <w:p w:rsidR="000F5612" w:rsidRDefault="000F5612" w:rsidP="000F5612">
            <w:pPr>
              <w:spacing w:line="280" w:lineRule="exact"/>
              <w:ind w:leftChars="0" w:left="0" w:firstLineChars="0" w:firstLine="0"/>
              <w:rPr>
                <w:rFonts w:hAnsi="標楷體"/>
                <w:b/>
                <w:bCs/>
                <w:snapToGrid/>
                <w:color w:val="000000"/>
                <w:spacing w:val="-4"/>
                <w:sz w:val="24"/>
                <w:szCs w:val="24"/>
              </w:rPr>
            </w:pPr>
          </w:p>
          <w:p w:rsidR="000F5612" w:rsidRDefault="000F5612" w:rsidP="000F5612">
            <w:pPr>
              <w:spacing w:line="280" w:lineRule="exact"/>
              <w:ind w:leftChars="0" w:left="0" w:firstLineChars="0" w:firstLine="0"/>
              <w:rPr>
                <w:rFonts w:hAnsi="標楷體"/>
                <w:b/>
                <w:bCs/>
                <w:snapToGrid/>
                <w:color w:val="000000"/>
                <w:spacing w:val="-4"/>
                <w:sz w:val="24"/>
                <w:szCs w:val="24"/>
              </w:rPr>
            </w:pPr>
          </w:p>
          <w:p w:rsidR="00C1186E" w:rsidRPr="00CE624A" w:rsidRDefault="00C1186E" w:rsidP="000F5612">
            <w:pPr>
              <w:spacing w:line="280" w:lineRule="exact"/>
              <w:ind w:leftChars="0" w:left="0" w:firstLineChars="0" w:firstLine="0"/>
              <w:rPr>
                <w:rFonts w:hAnsi="標楷體"/>
                <w:snapToGrid/>
                <w:color w:val="000000"/>
                <w:spacing w:val="-4"/>
                <w:szCs w:val="24"/>
              </w:rPr>
            </w:pPr>
            <w:r w:rsidRPr="00CE624A">
              <w:rPr>
                <w:rFonts w:hAnsi="標楷體" w:hint="eastAsia"/>
                <w:b/>
                <w:bCs/>
                <w:snapToGrid/>
                <w:color w:val="000000"/>
                <w:spacing w:val="-4"/>
                <w:sz w:val="24"/>
                <w:szCs w:val="24"/>
              </w:rPr>
              <w:t>目前無特定法管理，環境部持續評估中。</w:t>
            </w:r>
          </w:p>
        </w:tc>
      </w:tr>
      <w:tr w:rsidR="002F7423" w:rsidRPr="00CE624A" w:rsidTr="00080F9D">
        <w:tc>
          <w:tcPr>
            <w:tcW w:w="1276" w:type="dxa"/>
            <w:vAlign w:val="center"/>
          </w:tcPr>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四硼酸鈉</w:t>
            </w:r>
          </w:p>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(硼砂)</w:t>
            </w:r>
          </w:p>
        </w:tc>
        <w:tc>
          <w:tcPr>
            <w:tcW w:w="1701" w:type="dxa"/>
            <w:vAlign w:val="center"/>
          </w:tcPr>
          <w:p w:rsidR="00C1186E" w:rsidRPr="00CE624A" w:rsidRDefault="00C1186E" w:rsidP="00A207CD">
            <w:pPr>
              <w:spacing w:line="280" w:lineRule="exact"/>
              <w:ind w:leftChars="0" w:left="0" w:firstLineChars="0" w:firstLine="0"/>
              <w:rPr>
                <w:rFonts w:hAnsi="標楷體"/>
                <w:snapToGrid/>
                <w:color w:val="000000"/>
                <w:spacing w:val="-10"/>
                <w:sz w:val="24"/>
                <w:szCs w:val="24"/>
              </w:rPr>
            </w:pPr>
            <w:r w:rsidRPr="00CE624A">
              <w:rPr>
                <w:rFonts w:hAnsi="標楷體" w:hint="eastAsia"/>
                <w:snapToGrid/>
                <w:color w:val="000000"/>
                <w:spacing w:val="-10"/>
                <w:sz w:val="24"/>
                <w:szCs w:val="24"/>
              </w:rPr>
              <w:t>用於光學玻璃等，具有防腐作用。加膠水混合成果凍狀玩</w:t>
            </w:r>
            <w:r w:rsidRPr="00CE624A">
              <w:rPr>
                <w:rFonts w:hAnsi="標楷體" w:hint="eastAsia"/>
                <w:snapToGrid/>
                <w:color w:val="000000"/>
                <w:spacing w:val="-10"/>
                <w:sz w:val="24"/>
                <w:szCs w:val="24"/>
              </w:rPr>
              <w:lastRenderedPageBreak/>
              <w:t>具，稱鬼口水（史萊姆）。</w:t>
            </w:r>
          </w:p>
        </w:tc>
        <w:tc>
          <w:tcPr>
            <w:tcW w:w="3544" w:type="dxa"/>
            <w:vAlign w:val="center"/>
          </w:tcPr>
          <w:p w:rsidR="00C1186E" w:rsidRPr="00CE624A" w:rsidRDefault="00C1186E" w:rsidP="00A207CD">
            <w:pPr>
              <w:spacing w:line="280" w:lineRule="exact"/>
              <w:ind w:leftChars="0" w:left="0" w:firstLineChars="0" w:firstLine="0"/>
              <w:rPr>
                <w:rFonts w:hAnsi="標楷體"/>
                <w:b/>
                <w:bCs/>
                <w:snapToGrid/>
                <w:color w:val="000000"/>
                <w:spacing w:val="-4"/>
                <w:sz w:val="24"/>
                <w:szCs w:val="24"/>
              </w:rPr>
            </w:pPr>
            <w:r w:rsidRPr="00CE624A">
              <w:rPr>
                <w:rFonts w:hAnsi="標楷體" w:hint="eastAsia"/>
                <w:b/>
                <w:bCs/>
                <w:snapToGrid/>
                <w:color w:val="000000"/>
                <w:spacing w:val="-4"/>
                <w:sz w:val="24"/>
                <w:szCs w:val="24"/>
              </w:rPr>
              <w:lastRenderedPageBreak/>
              <w:t>曾有業者</w:t>
            </w:r>
            <w:bookmarkStart w:id="13" w:name="_Hlk210818803"/>
            <w:r w:rsidRPr="00CE624A">
              <w:rPr>
                <w:rFonts w:hAnsi="標楷體" w:hint="eastAsia"/>
                <w:b/>
                <w:bCs/>
                <w:snapToGrid/>
                <w:color w:val="000000"/>
                <w:spacing w:val="-4"/>
                <w:sz w:val="24"/>
                <w:szCs w:val="24"/>
              </w:rPr>
              <w:t>添加於貢丸、麵粉及麵粉製品</w:t>
            </w:r>
            <w:bookmarkEnd w:id="13"/>
            <w:r w:rsidRPr="00CE624A">
              <w:rPr>
                <w:rFonts w:hAnsi="標楷體" w:hint="eastAsia"/>
                <w:b/>
                <w:bCs/>
                <w:snapToGrid/>
                <w:color w:val="000000"/>
                <w:spacing w:val="-4"/>
                <w:sz w:val="24"/>
                <w:szCs w:val="24"/>
              </w:rPr>
              <w:t>、血製品（豬血、鴨血）、魩仔魚</w:t>
            </w:r>
            <w:r w:rsidRPr="00CE624A">
              <w:rPr>
                <w:rFonts w:hAnsi="標楷體"/>
                <w:b/>
                <w:bCs/>
                <w:snapToGrid/>
                <w:color w:val="000000"/>
                <w:spacing w:val="-4"/>
                <w:sz w:val="24"/>
                <w:szCs w:val="24"/>
              </w:rPr>
              <w:t xml:space="preserve"> (</w:t>
            </w:r>
            <w:r w:rsidRPr="00CE624A">
              <w:rPr>
                <w:rFonts w:hAnsi="標楷體" w:hint="eastAsia"/>
                <w:b/>
                <w:bCs/>
                <w:snapToGrid/>
                <w:color w:val="000000"/>
                <w:spacing w:val="-4"/>
                <w:sz w:val="24"/>
                <w:szCs w:val="24"/>
              </w:rPr>
              <w:t>吻仔魚</w:t>
            </w:r>
            <w:r w:rsidRPr="00CE624A">
              <w:rPr>
                <w:rFonts w:hAnsi="標楷體"/>
                <w:b/>
                <w:bCs/>
                <w:snapToGrid/>
                <w:color w:val="000000"/>
                <w:spacing w:val="-4"/>
                <w:sz w:val="24"/>
                <w:szCs w:val="24"/>
              </w:rPr>
              <w:t>)</w:t>
            </w:r>
            <w:r w:rsidRPr="00CE624A">
              <w:rPr>
                <w:rFonts w:hAnsi="標楷體" w:hint="eastAsia"/>
                <w:b/>
                <w:bCs/>
                <w:snapToGrid/>
                <w:color w:val="000000"/>
                <w:spacing w:val="-4"/>
                <w:sz w:val="24"/>
                <w:szCs w:val="24"/>
              </w:rPr>
              <w:t>、麵</w:t>
            </w:r>
            <w:r w:rsidRPr="00CE624A">
              <w:rPr>
                <w:rFonts w:hAnsi="標楷體"/>
                <w:b/>
                <w:bCs/>
                <w:snapToGrid/>
                <w:color w:val="000000"/>
                <w:spacing w:val="-4"/>
                <w:sz w:val="24"/>
                <w:szCs w:val="24"/>
              </w:rPr>
              <w:t xml:space="preserve"> (</w:t>
            </w:r>
            <w:r w:rsidRPr="00CE624A">
              <w:rPr>
                <w:rFonts w:hAnsi="標楷體" w:hint="eastAsia"/>
                <w:b/>
                <w:bCs/>
                <w:snapToGrid/>
                <w:color w:val="000000"/>
                <w:spacing w:val="-4"/>
                <w:sz w:val="24"/>
                <w:szCs w:val="24"/>
              </w:rPr>
              <w:t>黃油麵、烏龍麵等</w:t>
            </w:r>
            <w:r w:rsidRPr="00CE624A">
              <w:rPr>
                <w:rFonts w:hAnsi="標楷體"/>
                <w:b/>
                <w:bCs/>
                <w:snapToGrid/>
                <w:color w:val="000000"/>
                <w:spacing w:val="-4"/>
                <w:sz w:val="24"/>
                <w:szCs w:val="24"/>
              </w:rPr>
              <w:t>)</w:t>
            </w:r>
            <w:r w:rsidRPr="00CE624A">
              <w:rPr>
                <w:rFonts w:hAnsi="標楷體" w:hint="eastAsia"/>
                <w:b/>
                <w:bCs/>
                <w:snapToGrid/>
                <w:color w:val="000000"/>
                <w:spacing w:val="-4"/>
                <w:sz w:val="24"/>
                <w:szCs w:val="24"/>
              </w:rPr>
              <w:t>、薑絲。</w:t>
            </w:r>
          </w:p>
        </w:tc>
        <w:tc>
          <w:tcPr>
            <w:tcW w:w="1984" w:type="dxa"/>
            <w:vMerge/>
            <w:vAlign w:val="center"/>
          </w:tcPr>
          <w:p w:rsidR="00C1186E" w:rsidRPr="00CE624A" w:rsidRDefault="00C1186E" w:rsidP="00A207CD">
            <w:pPr>
              <w:spacing w:line="280" w:lineRule="exact"/>
              <w:ind w:leftChars="0" w:left="0" w:firstLineChars="0" w:firstLine="0"/>
              <w:jc w:val="center"/>
              <w:rPr>
                <w:rFonts w:hAnsi="標楷體"/>
                <w:snapToGrid/>
                <w:color w:val="000000"/>
                <w:spacing w:val="-4"/>
                <w:sz w:val="24"/>
                <w:szCs w:val="24"/>
              </w:rPr>
            </w:pPr>
          </w:p>
        </w:tc>
      </w:tr>
      <w:tr w:rsidR="002F7423" w:rsidRPr="00CE624A" w:rsidTr="00080F9D">
        <w:tc>
          <w:tcPr>
            <w:tcW w:w="1276" w:type="dxa"/>
            <w:vAlign w:val="center"/>
          </w:tcPr>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甲醇</w:t>
            </w:r>
          </w:p>
        </w:tc>
        <w:tc>
          <w:tcPr>
            <w:tcW w:w="1701"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為工業酒精用於化學合成品之原料。</w:t>
            </w:r>
          </w:p>
        </w:tc>
        <w:tc>
          <w:tcPr>
            <w:tcW w:w="3544" w:type="dxa"/>
            <w:vAlign w:val="center"/>
          </w:tcPr>
          <w:p w:rsidR="00C1186E" w:rsidRPr="00CE624A" w:rsidRDefault="00C1186E" w:rsidP="00A207CD">
            <w:pPr>
              <w:spacing w:line="280" w:lineRule="exact"/>
              <w:ind w:leftChars="0" w:left="0" w:firstLineChars="0" w:firstLine="0"/>
              <w:rPr>
                <w:rFonts w:hAnsi="標楷體"/>
                <w:b/>
                <w:bCs/>
                <w:snapToGrid/>
                <w:color w:val="000000"/>
                <w:spacing w:val="-4"/>
                <w:sz w:val="24"/>
                <w:szCs w:val="24"/>
              </w:rPr>
            </w:pPr>
            <w:r w:rsidRPr="00CE624A">
              <w:rPr>
                <w:rFonts w:hAnsi="標楷體" w:hint="eastAsia"/>
                <w:b/>
                <w:bCs/>
                <w:snapToGrid/>
                <w:color w:val="000000"/>
                <w:spacing w:val="-4"/>
                <w:sz w:val="24"/>
                <w:szCs w:val="24"/>
              </w:rPr>
              <w:t>用於私釀米酒。</w:t>
            </w:r>
          </w:p>
        </w:tc>
        <w:tc>
          <w:tcPr>
            <w:tcW w:w="1984" w:type="dxa"/>
            <w:vMerge/>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p>
        </w:tc>
      </w:tr>
      <w:tr w:rsidR="002F7423" w:rsidRPr="00CE624A" w:rsidTr="00080F9D">
        <w:tc>
          <w:tcPr>
            <w:tcW w:w="1276" w:type="dxa"/>
            <w:vAlign w:val="center"/>
          </w:tcPr>
          <w:p w:rsidR="00C1186E" w:rsidRPr="00CE624A" w:rsidRDefault="00C1186E" w:rsidP="00A207CD">
            <w:pPr>
              <w:spacing w:line="28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二氧化氯</w:t>
            </w:r>
          </w:p>
        </w:tc>
        <w:tc>
          <w:tcPr>
            <w:tcW w:w="1701" w:type="dxa"/>
            <w:tcMar>
              <w:left w:w="0" w:type="dxa"/>
              <w:right w:w="0" w:type="dxa"/>
            </w:tcMar>
            <w:vAlign w:val="center"/>
          </w:tcPr>
          <w:p w:rsidR="00C1186E" w:rsidRPr="00CE624A" w:rsidRDefault="00C1186E" w:rsidP="00A207CD">
            <w:pPr>
              <w:spacing w:line="280" w:lineRule="exact"/>
              <w:ind w:leftChars="0" w:left="0" w:firstLineChars="0" w:firstLine="0"/>
              <w:rPr>
                <w:rFonts w:hAnsi="標楷體"/>
                <w:snapToGrid/>
                <w:color w:val="000000"/>
                <w:spacing w:val="-10"/>
                <w:sz w:val="24"/>
                <w:szCs w:val="24"/>
              </w:rPr>
            </w:pPr>
            <w:r w:rsidRPr="00CE624A">
              <w:rPr>
                <w:rFonts w:hAnsi="標楷體" w:hint="eastAsia"/>
                <w:snapToGrid/>
                <w:color w:val="000000"/>
                <w:spacing w:val="-10"/>
                <w:sz w:val="24"/>
                <w:szCs w:val="24"/>
              </w:rPr>
              <w:t>用於清洗食品之主要消毒成分，其成分限制、殘留濃度及使用範圍，依「用於清洗食品之主要消毒成分修正規定」。</w:t>
            </w:r>
          </w:p>
        </w:tc>
        <w:tc>
          <w:tcPr>
            <w:tcW w:w="354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b/>
                <w:bCs/>
                <w:snapToGrid/>
                <w:color w:val="000000"/>
                <w:spacing w:val="-4"/>
                <w:sz w:val="24"/>
                <w:szCs w:val="24"/>
              </w:rPr>
              <w:t>曾有業者添加於製麵</w:t>
            </w:r>
            <w:r w:rsidRPr="00CE624A">
              <w:rPr>
                <w:rFonts w:hAnsi="標楷體" w:hint="eastAsia"/>
                <w:snapToGrid/>
                <w:color w:val="000000"/>
                <w:spacing w:val="-4"/>
                <w:sz w:val="24"/>
                <w:szCs w:val="24"/>
              </w:rPr>
              <w:t>。</w:t>
            </w:r>
          </w:p>
        </w:tc>
        <w:tc>
          <w:tcPr>
            <w:tcW w:w="1984" w:type="dxa"/>
            <w:vAlign w:val="center"/>
          </w:tcPr>
          <w:p w:rsidR="00C1186E" w:rsidRPr="00CE624A" w:rsidRDefault="00C1186E" w:rsidP="00A207CD">
            <w:pPr>
              <w:spacing w:line="280" w:lineRule="exact"/>
              <w:ind w:leftChars="0" w:left="0" w:firstLineChars="0" w:firstLine="0"/>
              <w:rPr>
                <w:rFonts w:hAnsi="標楷體"/>
                <w:snapToGrid/>
                <w:color w:val="000000"/>
                <w:spacing w:val="-4"/>
                <w:sz w:val="24"/>
                <w:szCs w:val="24"/>
              </w:rPr>
            </w:pPr>
            <w:r w:rsidRPr="00CE624A">
              <w:rPr>
                <w:rFonts w:hAnsi="標楷體" w:hint="eastAsia"/>
                <w:snapToGrid/>
                <w:color w:val="000000"/>
                <w:spacing w:val="-4"/>
                <w:sz w:val="24"/>
                <w:szCs w:val="24"/>
              </w:rPr>
              <w:t>依衛福部「食品用洗潔劑衛生標準」規定管理。</w:t>
            </w:r>
          </w:p>
        </w:tc>
      </w:tr>
    </w:tbl>
    <w:p w:rsidR="00C1186E" w:rsidRPr="00CE624A" w:rsidRDefault="00C1186E" w:rsidP="00A207CD">
      <w:pPr>
        <w:widowControl/>
        <w:spacing w:line="280" w:lineRule="exact"/>
        <w:ind w:leftChars="-5" w:left="1204" w:hangingChars="501" w:hanging="1218"/>
        <w:jc w:val="left"/>
        <w:rPr>
          <w:color w:val="000000"/>
        </w:rPr>
      </w:pPr>
      <w:r w:rsidRPr="00CE624A">
        <w:rPr>
          <w:rFonts w:hAnsi="標楷體" w:cs="新細明體" w:hint="eastAsia"/>
          <w:snapToGrid/>
          <w:color w:val="000000"/>
          <w:kern w:val="0"/>
          <w:sz w:val="24"/>
          <w:szCs w:val="24"/>
        </w:rPr>
        <w:t>資料來源：化學署網站(</w:t>
      </w:r>
      <w:r w:rsidRPr="00CE624A">
        <w:rPr>
          <w:rFonts w:hAnsi="標楷體" w:cs="新細明體"/>
          <w:color w:val="000000"/>
          <w:kern w:val="0"/>
          <w:sz w:val="24"/>
          <w:szCs w:val="24"/>
        </w:rPr>
        <w:t>https://www.cha.gov.tw/lp-338-1.html</w:t>
      </w:r>
      <w:r w:rsidRPr="00CE624A">
        <w:rPr>
          <w:rFonts w:hAnsi="標楷體" w:cs="新細明體" w:hint="eastAsia"/>
          <w:snapToGrid/>
          <w:color w:val="000000"/>
          <w:kern w:val="0"/>
          <w:sz w:val="24"/>
          <w:szCs w:val="24"/>
        </w:rPr>
        <w:t>(最後瀏覽日：114年9月8日)；本中心彙製。</w:t>
      </w:r>
    </w:p>
    <w:p w:rsidR="00C1186E" w:rsidRPr="00CE624A" w:rsidRDefault="00C1186E" w:rsidP="008F438D">
      <w:pPr>
        <w:pStyle w:val="a6"/>
        <w:rPr>
          <w:color w:val="000000"/>
        </w:rPr>
      </w:pPr>
      <w:bookmarkStart w:id="14" w:name="_Hlk210819242"/>
      <w:r w:rsidRPr="00CE624A">
        <w:rPr>
          <w:rFonts w:hint="eastAsia"/>
          <w:color w:val="000000"/>
        </w:rPr>
        <w:lastRenderedPageBreak/>
        <w:t>(二)廣泛用於食品包材之「永久性化學品」</w:t>
      </w:r>
      <w:r w:rsidRPr="00CE624A">
        <w:rPr>
          <w:color w:val="000000"/>
        </w:rPr>
        <w:t>PFAS</w:t>
      </w:r>
      <w:r w:rsidRPr="00CE624A">
        <w:rPr>
          <w:rFonts w:hint="eastAsia"/>
          <w:color w:val="000000"/>
        </w:rPr>
        <w:t>尚未全面列管，允宜全面盤點對人體有害之毒化物質，積極檢討改善</w:t>
      </w:r>
      <w:bookmarkEnd w:id="10"/>
    </w:p>
    <w:bookmarkEnd w:id="14"/>
    <w:p w:rsidR="00C1186E" w:rsidRPr="00CE624A" w:rsidRDefault="00C1186E" w:rsidP="008F438D">
      <w:pPr>
        <w:pStyle w:val="22"/>
      </w:pPr>
      <w:r w:rsidRPr="00CE624A">
        <w:rPr>
          <w:rFonts w:hint="eastAsia"/>
        </w:rPr>
        <w:t>依</w:t>
      </w:r>
      <w:r w:rsidRPr="00CE624A">
        <w:rPr>
          <w:rFonts w:hint="eastAsia"/>
          <w:bCs/>
        </w:rPr>
        <w:t>化學署網站</w:t>
      </w:r>
      <w:r w:rsidRPr="00CE624A">
        <w:rPr>
          <w:rFonts w:hint="eastAsia"/>
        </w:rPr>
        <w:t>毒性化學物質分類得知，在環境中不易分解或因生物蓄積等作用，致污染環境或危害人體健康者，屬於對環境污染最嚴重之</w:t>
      </w:r>
      <w:r w:rsidR="006C3260" w:rsidRPr="00CE624A">
        <w:rPr>
          <w:rFonts w:hint="eastAsia"/>
        </w:rPr>
        <w:t>第一類</w:t>
      </w:r>
      <w:r w:rsidRPr="00CE624A">
        <w:rPr>
          <w:rFonts w:hint="eastAsia"/>
        </w:rPr>
        <w:t>毒化物(詳表2)。而近年廣泛被使用在食品包材上，號稱「永久化學品」之</w:t>
      </w:r>
      <w:r w:rsidRPr="00CE624A">
        <w:rPr>
          <w:rFonts w:hint="eastAsia"/>
          <w:bCs/>
        </w:rPr>
        <w:t>PFAS</w:t>
      </w:r>
      <w:r w:rsidRPr="00CE624A">
        <w:rPr>
          <w:bCs/>
          <w:vertAlign w:val="superscript"/>
        </w:rPr>
        <w:footnoteReference w:id="2"/>
      </w:r>
      <w:r w:rsidRPr="00CE624A">
        <w:rPr>
          <w:rFonts w:hint="eastAsia"/>
          <w:bCs/>
        </w:rPr>
        <w:t>(</w:t>
      </w:r>
      <w:r w:rsidRPr="00CE624A">
        <w:rPr>
          <w:rFonts w:hint="eastAsia"/>
        </w:rPr>
        <w:t>全氟/多氟烷基物質)即屬於此類物質。另聯合國制定斯德哥爾摩公約，即致力於消除、限制及減少持久性有機污染物，</w:t>
      </w:r>
      <w:r w:rsidRPr="00CE624A">
        <w:rPr>
          <w:rFonts w:hint="eastAsia"/>
          <w:bCs/>
        </w:rPr>
        <w:t>保護人類健康及環境，且</w:t>
      </w:r>
      <w:r w:rsidRPr="00CE624A">
        <w:rPr>
          <w:rFonts w:hint="eastAsia"/>
        </w:rPr>
        <w:t>歐盟成員國亦於2023年向歐洲化學品管理署(</w:t>
      </w:r>
      <w:r w:rsidRPr="00CE624A">
        <w:rPr>
          <w:rFonts w:hint="eastAsia"/>
          <w:spacing w:val="-20"/>
        </w:rPr>
        <w:t>European Chemicals Agency</w:t>
      </w:r>
      <w:r w:rsidRPr="00CE624A">
        <w:rPr>
          <w:rFonts w:hint="eastAsia"/>
        </w:rPr>
        <w:t>)提案，要求「化學品註冊、評估、許可及限制法規」(Registration,Evaluation, Authorisation and Restriction of Chemicals)全面管制約1萬多種PFAS，以減少PFAS對環境污染</w:t>
      </w:r>
      <w:r w:rsidRPr="00CE624A">
        <w:rPr>
          <w:bCs/>
          <w:vertAlign w:val="superscript"/>
        </w:rPr>
        <w:footnoteReference w:id="3"/>
      </w:r>
      <w:r w:rsidRPr="00CE624A">
        <w:rPr>
          <w:rFonts w:hint="eastAsia"/>
        </w:rPr>
        <w:t>。</w:t>
      </w:r>
    </w:p>
    <w:p w:rsidR="00C1186E" w:rsidRPr="00CE624A" w:rsidRDefault="00FC628F" w:rsidP="008F438D">
      <w:pPr>
        <w:pStyle w:val="22"/>
      </w:pPr>
      <w:r w:rsidRPr="00CE624A">
        <w:rPr>
          <w:rFonts w:hint="eastAsia"/>
        </w:rPr>
        <w:lastRenderedPageBreak/>
        <w:t>鑑於</w:t>
      </w:r>
      <w:r w:rsidR="00C1186E" w:rsidRPr="00CE624A">
        <w:rPr>
          <w:rFonts w:hint="eastAsia"/>
        </w:rPr>
        <w:t>全球性環保組織「國際污染物消除網絡(International Pollutants Elimination Network)」2022年啟動之食品包材PFAS含量跨國調查計畫，涵蓋17個國家或地區中</w:t>
      </w:r>
      <w:r w:rsidR="008169DB" w:rsidRPr="00CE624A">
        <w:rPr>
          <w:rFonts w:hint="eastAsia"/>
        </w:rPr>
        <w:t>，</w:t>
      </w:r>
      <w:r w:rsidR="00C1186E" w:rsidRPr="00CE624A">
        <w:rPr>
          <w:rFonts w:hint="eastAsia"/>
        </w:rPr>
        <w:t>共119個食品包材樣本(包括包裝紙或容器)送驗，其中有64個樣本驗出PFAS，平均驗出率53.8%，臺灣亦有8個樣本送驗，7個驗出PFAS，驗出率為87.5%，次於埃及之90.9%，調查結果詳表3。為確保國人食品健康，禁用永久化學物質，接軌國際公約，允宜賡續督促權責機關蒐集國外管制動態與國內</w:t>
      </w:r>
      <w:r w:rsidR="00C1186E" w:rsidRPr="00CE624A">
        <w:rPr>
          <w:rFonts w:hint="eastAsia"/>
        </w:rPr>
        <w:lastRenderedPageBreak/>
        <w:t>運作情形，研謀改善評估列管事宜。</w:t>
      </w:r>
    </w:p>
    <w:p w:rsidR="00C1186E" w:rsidRPr="00CE624A" w:rsidRDefault="00C1186E" w:rsidP="008E4496">
      <w:pPr>
        <w:adjustRightInd w:val="0"/>
        <w:ind w:leftChars="0" w:left="0" w:firstLineChars="0" w:firstLine="0"/>
        <w:rPr>
          <w:rFonts w:hAnsi="標楷體"/>
          <w:b/>
          <w:color w:val="000000"/>
        </w:rPr>
      </w:pPr>
      <w:r w:rsidRPr="00CE624A">
        <w:rPr>
          <w:rFonts w:hAnsi="標楷體" w:hint="eastAsia"/>
          <w:b/>
          <w:color w:val="000000"/>
        </w:rPr>
        <w:t>表2 毒性化學物質分類架構一覽表</w:t>
      </w:r>
    </w:p>
    <w:tbl>
      <w:tblPr>
        <w:tblW w:w="8847"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8"/>
        <w:gridCol w:w="2492"/>
        <w:gridCol w:w="1843"/>
        <w:gridCol w:w="1701"/>
        <w:gridCol w:w="1873"/>
      </w:tblGrid>
      <w:tr w:rsidR="002F7423" w:rsidRPr="00CE624A" w:rsidTr="00A207CD">
        <w:tc>
          <w:tcPr>
            <w:tcW w:w="938"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毒化物類別</w:t>
            </w:r>
          </w:p>
        </w:tc>
        <w:tc>
          <w:tcPr>
            <w:tcW w:w="2492"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color w:val="000000"/>
                <w:sz w:val="24"/>
                <w:szCs w:val="24"/>
              </w:rPr>
            </w:pPr>
            <w:r w:rsidRPr="00CE624A">
              <w:rPr>
                <w:rFonts w:hAnsi="標楷體"/>
                <w:color w:val="000000"/>
                <w:sz w:val="24"/>
                <w:szCs w:val="24"/>
              </w:rPr>
              <w:t>第一類</w:t>
            </w:r>
          </w:p>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(難分解物質)</w:t>
            </w:r>
          </w:p>
        </w:tc>
        <w:tc>
          <w:tcPr>
            <w:tcW w:w="1843"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color w:val="000000"/>
                <w:sz w:val="24"/>
                <w:szCs w:val="24"/>
              </w:rPr>
            </w:pPr>
            <w:r w:rsidRPr="00CE624A">
              <w:rPr>
                <w:rFonts w:hAnsi="標楷體"/>
                <w:color w:val="000000"/>
                <w:sz w:val="24"/>
                <w:szCs w:val="24"/>
              </w:rPr>
              <w:t>第二類</w:t>
            </w:r>
          </w:p>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(慢毒性物質)</w:t>
            </w:r>
          </w:p>
        </w:tc>
        <w:tc>
          <w:tcPr>
            <w:tcW w:w="1701"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color w:val="000000"/>
                <w:sz w:val="24"/>
                <w:szCs w:val="24"/>
              </w:rPr>
            </w:pPr>
            <w:r w:rsidRPr="00CE624A">
              <w:rPr>
                <w:rFonts w:hAnsi="標楷體"/>
                <w:color w:val="000000"/>
                <w:sz w:val="24"/>
                <w:szCs w:val="24"/>
              </w:rPr>
              <w:t>第三類</w:t>
            </w:r>
          </w:p>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(急毒性物質)</w:t>
            </w:r>
          </w:p>
        </w:tc>
        <w:tc>
          <w:tcPr>
            <w:tcW w:w="1873"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hAnsi="標楷體"/>
                <w:color w:val="000000"/>
                <w:sz w:val="24"/>
                <w:szCs w:val="24"/>
              </w:rPr>
              <w:t>第四類</w:t>
            </w:r>
          </w:p>
        </w:tc>
      </w:tr>
      <w:tr w:rsidR="002F7423" w:rsidRPr="00CE624A" w:rsidTr="00A207CD">
        <w:tc>
          <w:tcPr>
            <w:tcW w:w="938" w:type="dxa"/>
            <w:shd w:val="clear" w:color="auto" w:fill="FFFFFF"/>
            <w:vAlign w:val="center"/>
          </w:tcPr>
          <w:p w:rsidR="00C1186E" w:rsidRPr="00CE624A" w:rsidRDefault="00C1186E" w:rsidP="00A207CD">
            <w:pPr>
              <w:adjustRightInd w:val="0"/>
              <w:spacing w:line="280" w:lineRule="exact"/>
              <w:ind w:leftChars="0" w:left="0" w:firstLineChars="0" w:firstLine="0"/>
              <w:jc w:val="center"/>
              <w:rPr>
                <w:rFonts w:hAnsi="標楷體"/>
                <w:bCs/>
                <w:color w:val="000000"/>
                <w:sz w:val="24"/>
                <w:szCs w:val="24"/>
              </w:rPr>
            </w:pPr>
            <w:r w:rsidRPr="00CE624A">
              <w:rPr>
                <w:rFonts w:ascii="Lato" w:hAnsi="Lato"/>
                <w:color w:val="000000"/>
                <w:sz w:val="24"/>
                <w:szCs w:val="24"/>
              </w:rPr>
              <w:t>特性</w:t>
            </w:r>
          </w:p>
        </w:tc>
        <w:tc>
          <w:tcPr>
            <w:tcW w:w="2492" w:type="dxa"/>
            <w:shd w:val="clear" w:color="auto" w:fill="FFFFFF"/>
          </w:tcPr>
          <w:p w:rsidR="00C1186E" w:rsidRPr="00CE624A" w:rsidRDefault="00C1186E" w:rsidP="00A207CD">
            <w:pPr>
              <w:adjustRightInd w:val="0"/>
              <w:spacing w:line="280" w:lineRule="exact"/>
              <w:ind w:leftChars="0" w:left="0" w:firstLineChars="0" w:firstLine="0"/>
              <w:rPr>
                <w:rFonts w:hAnsi="標楷體"/>
                <w:bCs/>
                <w:color w:val="000000"/>
                <w:sz w:val="24"/>
                <w:szCs w:val="24"/>
              </w:rPr>
            </w:pPr>
            <w:r w:rsidRPr="00CE624A">
              <w:rPr>
                <w:rFonts w:ascii="Lato" w:hAnsi="Lato" w:hint="eastAsia"/>
                <w:color w:val="000000"/>
                <w:sz w:val="24"/>
                <w:szCs w:val="24"/>
              </w:rPr>
              <w:t>在環境中不易分解或因生物蓄積、生物濃縮、生物轉化等作用，致污染環境或危害人體健康者</w:t>
            </w:r>
            <w:r w:rsidRPr="00CE624A">
              <w:rPr>
                <w:rFonts w:ascii="Lato" w:hAnsi="Lato"/>
                <w:color w:val="000000"/>
                <w:sz w:val="24"/>
                <w:szCs w:val="24"/>
              </w:rPr>
              <w:t>。</w:t>
            </w:r>
          </w:p>
        </w:tc>
        <w:tc>
          <w:tcPr>
            <w:tcW w:w="1843" w:type="dxa"/>
            <w:shd w:val="clear" w:color="auto" w:fill="FFFFFF"/>
          </w:tcPr>
          <w:p w:rsidR="00C1186E" w:rsidRPr="00CE624A" w:rsidRDefault="00C1186E" w:rsidP="00A207CD">
            <w:pPr>
              <w:adjustRightInd w:val="0"/>
              <w:spacing w:line="280" w:lineRule="exact"/>
              <w:ind w:leftChars="0" w:left="0" w:firstLineChars="0" w:firstLine="0"/>
              <w:rPr>
                <w:rFonts w:hAnsi="標楷體"/>
                <w:bCs/>
                <w:color w:val="000000"/>
                <w:sz w:val="24"/>
                <w:szCs w:val="24"/>
              </w:rPr>
            </w:pPr>
            <w:r w:rsidRPr="00CE624A">
              <w:rPr>
                <w:rFonts w:ascii="Lato" w:hAnsi="Lato"/>
                <w:color w:val="000000"/>
                <w:sz w:val="24"/>
                <w:szCs w:val="24"/>
              </w:rPr>
              <w:t>有致腫瘤、生育能力受損、畸胎、遺傳因子突變或其他慢性疾病等作用者。</w:t>
            </w:r>
          </w:p>
        </w:tc>
        <w:tc>
          <w:tcPr>
            <w:tcW w:w="1701" w:type="dxa"/>
            <w:shd w:val="clear" w:color="auto" w:fill="FFFFFF"/>
          </w:tcPr>
          <w:p w:rsidR="00C1186E" w:rsidRPr="00CE624A" w:rsidRDefault="00C1186E" w:rsidP="00A207CD">
            <w:pPr>
              <w:adjustRightInd w:val="0"/>
              <w:spacing w:line="280" w:lineRule="exact"/>
              <w:ind w:leftChars="0" w:left="0" w:firstLineChars="0" w:firstLine="0"/>
              <w:rPr>
                <w:rFonts w:hAnsi="標楷體"/>
                <w:bCs/>
                <w:color w:val="000000"/>
                <w:sz w:val="24"/>
                <w:szCs w:val="24"/>
              </w:rPr>
            </w:pPr>
            <w:r w:rsidRPr="00CE624A">
              <w:rPr>
                <w:rFonts w:ascii="Lato" w:hAnsi="Lato"/>
                <w:color w:val="000000"/>
                <w:sz w:val="24"/>
                <w:szCs w:val="24"/>
              </w:rPr>
              <w:t>化學物質經暴露，將立即危害人體健康或生物生命者。</w:t>
            </w:r>
          </w:p>
        </w:tc>
        <w:tc>
          <w:tcPr>
            <w:tcW w:w="1873" w:type="dxa"/>
            <w:shd w:val="clear" w:color="auto" w:fill="FFFFFF"/>
          </w:tcPr>
          <w:p w:rsidR="00C1186E" w:rsidRPr="00CE624A" w:rsidRDefault="00C1186E" w:rsidP="00A207CD">
            <w:pPr>
              <w:adjustRightInd w:val="0"/>
              <w:spacing w:line="280" w:lineRule="exact"/>
              <w:ind w:leftChars="0" w:left="0" w:firstLineChars="0" w:firstLine="0"/>
              <w:rPr>
                <w:rFonts w:hAnsi="標楷體"/>
                <w:bCs/>
                <w:color w:val="000000"/>
                <w:sz w:val="24"/>
                <w:szCs w:val="24"/>
              </w:rPr>
            </w:pPr>
            <w:r w:rsidRPr="00CE624A">
              <w:rPr>
                <w:rFonts w:ascii="Lato" w:hAnsi="Lato"/>
                <w:color w:val="000000"/>
                <w:sz w:val="24"/>
                <w:szCs w:val="24"/>
              </w:rPr>
              <w:t>化學物質具有內分泌干擾素特性或有污染環境、危害人體健康者。</w:t>
            </w:r>
          </w:p>
        </w:tc>
      </w:tr>
    </w:tbl>
    <w:p w:rsidR="00C1186E" w:rsidRPr="00CE624A" w:rsidRDefault="00C1186E" w:rsidP="00A207CD">
      <w:pPr>
        <w:adjustRightInd w:val="0"/>
        <w:spacing w:line="280" w:lineRule="exact"/>
        <w:ind w:leftChars="44" w:left="852" w:hangingChars="299" w:hanging="727"/>
        <w:rPr>
          <w:rFonts w:hAnsi="標楷體"/>
          <w:bCs/>
          <w:color w:val="000000"/>
          <w:sz w:val="24"/>
          <w:szCs w:val="24"/>
        </w:rPr>
      </w:pPr>
      <w:r w:rsidRPr="00CE624A">
        <w:rPr>
          <w:rFonts w:hAnsi="標楷體" w:hint="eastAsia"/>
          <w:bCs/>
          <w:color w:val="000000"/>
          <w:sz w:val="24"/>
          <w:szCs w:val="24"/>
        </w:rPr>
        <w:t>資料來源：化學署網站，</w:t>
      </w:r>
      <w:r w:rsidRPr="00CE624A">
        <w:rPr>
          <w:rFonts w:hAnsi="標楷體"/>
          <w:bCs/>
          <w:color w:val="000000"/>
          <w:sz w:val="24"/>
          <w:szCs w:val="24"/>
        </w:rPr>
        <w:t>https://www.cha.gov.tw/cp-92-3055-de28d-1.html</w:t>
      </w:r>
    </w:p>
    <w:p w:rsidR="00C1186E" w:rsidRPr="00CE624A" w:rsidRDefault="00C1186E" w:rsidP="00A207CD">
      <w:pPr>
        <w:adjustRightInd w:val="0"/>
        <w:spacing w:line="280" w:lineRule="exact"/>
        <w:ind w:leftChars="450" w:left="3098" w:hangingChars="750" w:hanging="1824"/>
        <w:rPr>
          <w:rFonts w:hAnsi="標楷體"/>
          <w:bCs/>
          <w:color w:val="000000"/>
          <w:sz w:val="24"/>
          <w:szCs w:val="24"/>
        </w:rPr>
      </w:pPr>
      <w:r w:rsidRPr="00CE624A">
        <w:rPr>
          <w:rFonts w:hAnsi="標楷體" w:hint="eastAsia"/>
          <w:bCs/>
          <w:color w:val="000000"/>
          <w:sz w:val="24"/>
          <w:szCs w:val="24"/>
        </w:rPr>
        <w:t>(</w:t>
      </w:r>
      <w:r w:rsidRPr="00CE624A">
        <w:rPr>
          <w:rFonts w:hAnsi="標楷體" w:cs="新細明體" w:hint="eastAsia"/>
          <w:snapToGrid/>
          <w:color w:val="000000"/>
          <w:kern w:val="0"/>
          <w:sz w:val="24"/>
          <w:szCs w:val="24"/>
        </w:rPr>
        <w:t>最後瀏覽日：114年9月8日</w:t>
      </w:r>
      <w:r w:rsidRPr="00CE624A">
        <w:rPr>
          <w:rFonts w:hAnsi="標楷體" w:hint="eastAsia"/>
          <w:bCs/>
          <w:color w:val="000000"/>
          <w:sz w:val="24"/>
          <w:szCs w:val="24"/>
        </w:rPr>
        <w:t>)。</w:t>
      </w:r>
    </w:p>
    <w:p w:rsidR="00C1186E" w:rsidRPr="00CE624A" w:rsidRDefault="00C1186E" w:rsidP="00472CE4">
      <w:pPr>
        <w:spacing w:line="360" w:lineRule="atLeast"/>
        <w:ind w:leftChars="0" w:left="1449" w:rightChars="-301" w:right="-852" w:hangingChars="511" w:hanging="1449"/>
        <w:rPr>
          <w:b/>
          <w:color w:val="000000"/>
        </w:rPr>
      </w:pPr>
      <w:bookmarkStart w:id="15" w:name="_Toc169178341"/>
      <w:r w:rsidRPr="00CE624A">
        <w:rPr>
          <w:rFonts w:hint="eastAsia"/>
          <w:b/>
          <w:color w:val="000000"/>
        </w:rPr>
        <w:t>表3 IPEN就選樣國家一次用食品包材含PFAS送驗樣本及檢驗情形</w:t>
      </w:r>
      <w:bookmarkEnd w:id="15"/>
      <w:r w:rsidRPr="00CE624A">
        <w:rPr>
          <w:rFonts w:hint="eastAsia"/>
          <w:b/>
          <w:color w:val="000000"/>
        </w:rPr>
        <w:t>表</w:t>
      </w:r>
    </w:p>
    <w:p w:rsidR="00C1186E" w:rsidRPr="00CE624A" w:rsidRDefault="00C1186E" w:rsidP="00472CE4">
      <w:pPr>
        <w:spacing w:line="360" w:lineRule="atLeast"/>
        <w:ind w:leftChars="-350" w:left="984" w:rightChars="-50" w:right="-142" w:hangingChars="812" w:hanging="1975"/>
        <w:jc w:val="right"/>
        <w:rPr>
          <w:b/>
          <w:bCs/>
          <w:color w:val="000000"/>
          <w:sz w:val="24"/>
          <w:szCs w:val="24"/>
        </w:rPr>
      </w:pPr>
      <w:r w:rsidRPr="00CE624A">
        <w:rPr>
          <w:rFonts w:hint="eastAsia"/>
          <w:bCs/>
          <w:color w:val="000000"/>
          <w:sz w:val="24"/>
          <w:szCs w:val="24"/>
        </w:rPr>
        <w:t>單位：個</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992"/>
        <w:gridCol w:w="709"/>
        <w:gridCol w:w="709"/>
        <w:gridCol w:w="850"/>
        <w:gridCol w:w="993"/>
        <w:gridCol w:w="992"/>
        <w:gridCol w:w="992"/>
        <w:gridCol w:w="554"/>
        <w:gridCol w:w="580"/>
        <w:gridCol w:w="709"/>
      </w:tblGrid>
      <w:tr w:rsidR="002F7423" w:rsidRPr="00CE624A" w:rsidTr="00A207CD">
        <w:trPr>
          <w:tblHeader/>
        </w:trPr>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地區</w:t>
            </w:r>
          </w:p>
        </w:tc>
        <w:tc>
          <w:tcPr>
            <w:tcW w:w="992"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國家</w:t>
            </w:r>
          </w:p>
        </w:tc>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收集</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樣本數</w:t>
            </w:r>
          </w:p>
        </w:tc>
        <w:tc>
          <w:tcPr>
            <w:tcW w:w="5670" w:type="dxa"/>
            <w:gridSpan w:val="7"/>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送驗類別及樣本數</w:t>
            </w:r>
          </w:p>
        </w:tc>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含PFAS樣本數</w:t>
            </w:r>
          </w:p>
        </w:tc>
      </w:tr>
      <w:tr w:rsidR="002F7423" w:rsidRPr="00CE624A" w:rsidTr="00A207CD">
        <w:trPr>
          <w:trHeight w:val="713"/>
          <w:tblHeader/>
        </w:trPr>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709" w:type="dxa"/>
            <w:vAlign w:val="center"/>
          </w:tcPr>
          <w:p w:rsidR="00C1186E" w:rsidRPr="00CE624A" w:rsidRDefault="00C1186E" w:rsidP="00A207CD">
            <w:pPr>
              <w:autoSpaceDE w:val="0"/>
              <w:autoSpaceDN w:val="0"/>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速食</w:t>
            </w:r>
          </w:p>
          <w:p w:rsidR="00C1186E" w:rsidRPr="00CE624A" w:rsidRDefault="00C1186E" w:rsidP="00A207CD">
            <w:pPr>
              <w:autoSpaceDE w:val="0"/>
              <w:autoSpaceDN w:val="0"/>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包裝紙</w:t>
            </w:r>
          </w:p>
        </w:tc>
        <w:tc>
          <w:tcPr>
            <w:tcW w:w="850" w:type="dxa"/>
            <w:vAlign w:val="center"/>
          </w:tcPr>
          <w:p w:rsidR="00C1186E" w:rsidRPr="00CE624A" w:rsidRDefault="00C1186E" w:rsidP="00A207CD">
            <w:pPr>
              <w:spacing w:line="240" w:lineRule="exact"/>
              <w:ind w:leftChars="-50" w:left="-142" w:rightChars="-50" w:right="-142"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微波爆米花內裝袋</w:t>
            </w:r>
          </w:p>
        </w:tc>
        <w:tc>
          <w:tcPr>
            <w:tcW w:w="993" w:type="dxa"/>
            <w:vAlign w:val="center"/>
          </w:tcPr>
          <w:p w:rsidR="00C1186E" w:rsidRPr="00CE624A" w:rsidRDefault="00C1186E" w:rsidP="00A207CD">
            <w:pPr>
              <w:spacing w:line="240" w:lineRule="exact"/>
              <w:ind w:leftChars="-50" w:left="-142" w:rightChars="-50" w:right="-142"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外帶植纖餐盒或拋棄式餐具</w:t>
            </w:r>
          </w:p>
        </w:tc>
        <w:tc>
          <w:tcPr>
            <w:tcW w:w="992" w:type="dxa"/>
            <w:vAlign w:val="center"/>
          </w:tcPr>
          <w:p w:rsidR="00C1186E" w:rsidRPr="00CE624A" w:rsidRDefault="00C1186E" w:rsidP="00A207CD">
            <w:pPr>
              <w:spacing w:line="240" w:lineRule="exact"/>
              <w:ind w:leftChars="-50" w:left="-142" w:rightChars="-50" w:right="-142"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裝油膩餐點之硬紙板包裝</w:t>
            </w:r>
          </w:p>
        </w:tc>
        <w:tc>
          <w:tcPr>
            <w:tcW w:w="992" w:type="dxa"/>
            <w:vAlign w:val="center"/>
          </w:tcPr>
          <w:p w:rsidR="00C1186E" w:rsidRPr="00CE624A" w:rsidRDefault="00C1186E" w:rsidP="00A207CD">
            <w:pPr>
              <w:spacing w:line="240" w:lineRule="exact"/>
              <w:ind w:leftChars="-50" w:left="-142" w:rightChars="-50" w:right="-142"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裝非油膩食物之再生紙包裝</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其他</w:t>
            </w:r>
          </w:p>
        </w:tc>
        <w:tc>
          <w:tcPr>
            <w:tcW w:w="580"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小計</w:t>
            </w:r>
          </w:p>
        </w:tc>
        <w:tc>
          <w:tcPr>
            <w:tcW w:w="709" w:type="dxa"/>
            <w:vMerge/>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p>
        </w:tc>
      </w:tr>
      <w:tr w:rsidR="002F7423" w:rsidRPr="00CE624A" w:rsidTr="00A207CD">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中東與</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北非</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突尼</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西亞</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580"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4</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埃及</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14</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10</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11</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0</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約旦</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7</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科威特</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摩洛哥</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伊拉克</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8</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r>
      <w:tr w:rsidR="002F7423" w:rsidRPr="00CE624A" w:rsidTr="00A207CD">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東歐</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蒙特</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內哥羅</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r>
      <w:tr w:rsidR="002F7423" w:rsidRPr="00CE624A" w:rsidTr="00A207CD">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拉丁美洲與</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加勒比海</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牙買加</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墨西哥</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r w:rsidRPr="00CE624A">
              <w:rPr>
                <w:rFonts w:hAnsi="標楷體"/>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2</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阿根廷</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6</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r>
      <w:tr w:rsidR="002F7423" w:rsidRPr="00CE624A" w:rsidTr="00A207CD">
        <w:tc>
          <w:tcPr>
            <w:tcW w:w="709" w:type="dxa"/>
            <w:vMerge w:val="restart"/>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非洲</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貝南</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7</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992" w:type="dxa"/>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尚比亞</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喀麥隆</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r w:rsidRPr="00CE624A">
              <w:rPr>
                <w:rFonts w:hAnsi="標楷體"/>
                <w:snapToGrid/>
                <w:color w:val="000000"/>
                <w:spacing w:val="-4"/>
                <w:sz w:val="24"/>
                <w:szCs w:val="24"/>
              </w:rPr>
              <w:t>4</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r>
      <w:tr w:rsidR="002F7423" w:rsidRPr="00CE624A" w:rsidTr="00A207CD">
        <w:tc>
          <w:tcPr>
            <w:tcW w:w="709" w:type="dxa"/>
            <w:vMerge w:val="restart"/>
            <w:vAlign w:val="center"/>
          </w:tcPr>
          <w:p w:rsidR="00C1186E" w:rsidRPr="00CE624A" w:rsidRDefault="00C1186E" w:rsidP="00A207CD">
            <w:pPr>
              <w:spacing w:line="240" w:lineRule="exact"/>
              <w:ind w:leftChars="-10" w:left="-28" w:rightChars="-40" w:right="-113"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南亞、</w:t>
            </w:r>
          </w:p>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東亞與東南亞</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菲律賓</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21</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12</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8</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臺灣</w:t>
            </w:r>
          </w:p>
        </w:tc>
        <w:tc>
          <w:tcPr>
            <w:tcW w:w="709"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17</w:t>
            </w:r>
          </w:p>
        </w:tc>
        <w:tc>
          <w:tcPr>
            <w:tcW w:w="709"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2</w:t>
            </w:r>
          </w:p>
        </w:tc>
        <w:tc>
          <w:tcPr>
            <w:tcW w:w="850"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2</w:t>
            </w:r>
          </w:p>
        </w:tc>
        <w:tc>
          <w:tcPr>
            <w:tcW w:w="554"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1</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8</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7</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尼泊爾</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22</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r>
      <w:tr w:rsidR="002F7423" w:rsidRPr="00CE624A" w:rsidTr="00A207CD">
        <w:tc>
          <w:tcPr>
            <w:tcW w:w="709" w:type="dxa"/>
            <w:vMerge/>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印度</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12</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4</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7</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5</w:t>
            </w:r>
          </w:p>
        </w:tc>
      </w:tr>
      <w:tr w:rsidR="002F7423" w:rsidRPr="00CE624A" w:rsidTr="00A207CD">
        <w:tc>
          <w:tcPr>
            <w:tcW w:w="1701" w:type="dxa"/>
            <w:gridSpan w:val="2"/>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總計</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245</w:t>
            </w:r>
          </w:p>
        </w:tc>
        <w:tc>
          <w:tcPr>
            <w:tcW w:w="709"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35</w:t>
            </w:r>
          </w:p>
        </w:tc>
        <w:tc>
          <w:tcPr>
            <w:tcW w:w="85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28</w:t>
            </w:r>
          </w:p>
        </w:tc>
        <w:tc>
          <w:tcPr>
            <w:tcW w:w="993"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8</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w:t>
            </w:r>
            <w:r w:rsidRPr="00CE624A">
              <w:rPr>
                <w:rFonts w:hAnsi="標楷體"/>
                <w:snapToGrid/>
                <w:color w:val="000000"/>
                <w:spacing w:val="-4"/>
                <w:sz w:val="24"/>
                <w:szCs w:val="24"/>
              </w:rPr>
              <w:t>9</w:t>
            </w:r>
          </w:p>
        </w:tc>
        <w:tc>
          <w:tcPr>
            <w:tcW w:w="992"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13</w:t>
            </w:r>
          </w:p>
        </w:tc>
        <w:tc>
          <w:tcPr>
            <w:tcW w:w="554"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16</w:t>
            </w:r>
          </w:p>
        </w:tc>
        <w:tc>
          <w:tcPr>
            <w:tcW w:w="580" w:type="dxa"/>
            <w:vAlign w:val="center"/>
          </w:tcPr>
          <w:p w:rsidR="00C1186E" w:rsidRPr="00CE624A" w:rsidRDefault="00C1186E" w:rsidP="00A207CD">
            <w:pPr>
              <w:spacing w:line="240" w:lineRule="exact"/>
              <w:ind w:leftChars="0" w:left="0" w:firstLineChars="0" w:firstLine="0"/>
              <w:jc w:val="center"/>
              <w:rPr>
                <w:rFonts w:hAnsi="標楷體"/>
                <w:snapToGrid/>
                <w:color w:val="000000"/>
                <w:spacing w:val="-4"/>
                <w:sz w:val="24"/>
                <w:szCs w:val="24"/>
              </w:rPr>
            </w:pPr>
            <w:r w:rsidRPr="00CE624A">
              <w:rPr>
                <w:rFonts w:hAnsi="標楷體" w:hint="eastAsia"/>
                <w:snapToGrid/>
                <w:color w:val="000000"/>
                <w:spacing w:val="-4"/>
                <w:sz w:val="24"/>
                <w:szCs w:val="24"/>
              </w:rPr>
              <w:t>11</w:t>
            </w:r>
            <w:r w:rsidRPr="00CE624A">
              <w:rPr>
                <w:rFonts w:hAnsi="標楷體"/>
                <w:snapToGrid/>
                <w:color w:val="000000"/>
                <w:spacing w:val="-4"/>
                <w:sz w:val="24"/>
                <w:szCs w:val="24"/>
              </w:rPr>
              <w:t>9</w:t>
            </w:r>
          </w:p>
        </w:tc>
        <w:tc>
          <w:tcPr>
            <w:tcW w:w="709" w:type="dxa"/>
            <w:vAlign w:val="center"/>
          </w:tcPr>
          <w:p w:rsidR="00C1186E" w:rsidRPr="00CE624A" w:rsidRDefault="00C1186E" w:rsidP="00A207CD">
            <w:pPr>
              <w:spacing w:line="240" w:lineRule="exact"/>
              <w:ind w:leftChars="0" w:left="0" w:firstLineChars="0" w:firstLine="0"/>
              <w:jc w:val="center"/>
              <w:rPr>
                <w:rFonts w:hAnsi="標楷體"/>
                <w:b/>
                <w:bCs/>
                <w:snapToGrid/>
                <w:color w:val="000000"/>
                <w:spacing w:val="-4"/>
                <w:sz w:val="24"/>
                <w:szCs w:val="24"/>
              </w:rPr>
            </w:pPr>
            <w:r w:rsidRPr="00CE624A">
              <w:rPr>
                <w:rFonts w:hAnsi="標楷體" w:hint="eastAsia"/>
                <w:b/>
                <w:bCs/>
                <w:snapToGrid/>
                <w:color w:val="000000"/>
                <w:spacing w:val="-4"/>
                <w:sz w:val="24"/>
                <w:szCs w:val="24"/>
              </w:rPr>
              <w:t>6</w:t>
            </w:r>
            <w:r w:rsidRPr="00CE624A">
              <w:rPr>
                <w:rFonts w:hAnsi="標楷體"/>
                <w:b/>
                <w:bCs/>
                <w:snapToGrid/>
                <w:color w:val="000000"/>
                <w:spacing w:val="-4"/>
                <w:sz w:val="24"/>
                <w:szCs w:val="24"/>
              </w:rPr>
              <w:t>4</w:t>
            </w:r>
          </w:p>
        </w:tc>
      </w:tr>
    </w:tbl>
    <w:p w:rsidR="00C1186E" w:rsidRPr="00CE624A" w:rsidRDefault="00C1186E" w:rsidP="00A207CD">
      <w:pPr>
        <w:widowControl/>
        <w:wordWrap w:val="0"/>
        <w:spacing w:line="280" w:lineRule="exact"/>
        <w:ind w:leftChars="-10" w:left="1203" w:rightChars="-106" w:right="-300" w:hangingChars="506" w:hanging="1231"/>
        <w:jc w:val="left"/>
        <w:rPr>
          <w:b/>
          <w:bCs/>
          <w:color w:val="000000"/>
          <w:sz w:val="24"/>
          <w:szCs w:val="24"/>
          <w:lang w:val="x-none"/>
        </w:rPr>
      </w:pPr>
      <w:bookmarkStart w:id="16" w:name="_Toc169178342"/>
      <w:r w:rsidRPr="00CE624A">
        <w:rPr>
          <w:rFonts w:hAnsi="標楷體" w:cs="新細明體" w:hint="eastAsia"/>
          <w:snapToGrid/>
          <w:color w:val="000000"/>
          <w:kern w:val="0"/>
          <w:sz w:val="24"/>
          <w:szCs w:val="24"/>
        </w:rPr>
        <w:t>資料來源：</w:t>
      </w:r>
      <w:r w:rsidRPr="00CE624A">
        <w:rPr>
          <w:rFonts w:hAnsi="標楷體" w:cs="新細明體"/>
          <w:snapToGrid/>
          <w:color w:val="000000"/>
          <w:spacing w:val="-20"/>
          <w:kern w:val="0"/>
          <w:sz w:val="24"/>
          <w:szCs w:val="24"/>
        </w:rPr>
        <w:t>Forever Chemicals in Single-Use Food Packaging and Tableware From 17 Countries</w:t>
      </w:r>
      <w:r w:rsidRPr="00CE624A">
        <w:rPr>
          <w:rFonts w:hAnsi="標楷體" w:cs="新細明體" w:hint="eastAsia"/>
          <w:snapToGrid/>
          <w:color w:val="000000"/>
          <w:spacing w:val="-20"/>
          <w:kern w:val="0"/>
          <w:sz w:val="24"/>
          <w:szCs w:val="24"/>
        </w:rPr>
        <w:t>，</w:t>
      </w:r>
      <w:r w:rsidRPr="00CE624A">
        <w:rPr>
          <w:rFonts w:hAnsi="標楷體" w:cs="新細明體"/>
          <w:snapToGrid/>
          <w:color w:val="000000"/>
          <w:spacing w:val="-20"/>
          <w:kern w:val="0"/>
          <w:sz w:val="24"/>
          <w:szCs w:val="24"/>
        </w:rPr>
        <w:t>IPEN</w:t>
      </w:r>
      <w:r w:rsidRPr="00CE624A">
        <w:rPr>
          <w:rFonts w:hAnsi="標楷體" w:cs="新細明體" w:hint="eastAsia"/>
          <w:snapToGrid/>
          <w:color w:val="000000"/>
          <w:spacing w:val="-20"/>
          <w:kern w:val="0"/>
          <w:sz w:val="24"/>
          <w:szCs w:val="24"/>
        </w:rPr>
        <w:t>。網址：</w:t>
      </w:r>
      <w:r w:rsidRPr="00CE624A">
        <w:rPr>
          <w:color w:val="000000"/>
          <w:spacing w:val="-20"/>
          <w:sz w:val="24"/>
        </w:rPr>
        <w:t>https://ipen.org/documents/forever-chemicals-single-use-food-packaging-and-tableware-17-countries</w:t>
      </w:r>
      <w:bookmarkEnd w:id="16"/>
      <w:r w:rsidRPr="00CE624A">
        <w:rPr>
          <w:rFonts w:hAnsi="標楷體" w:cs="新細明體" w:hint="eastAsia"/>
          <w:snapToGrid/>
          <w:color w:val="000000"/>
          <w:spacing w:val="-20"/>
          <w:kern w:val="0"/>
          <w:sz w:val="24"/>
          <w:szCs w:val="24"/>
        </w:rPr>
        <w:t>(最後瀏覽日：114年9月8日)。</w:t>
      </w:r>
    </w:p>
    <w:p w:rsidR="00C1186E" w:rsidRPr="00CE624A" w:rsidRDefault="00C1186E" w:rsidP="008F438D">
      <w:pPr>
        <w:ind w:left="566" w:firstLine="566"/>
        <w:rPr>
          <w:color w:val="000000"/>
        </w:rPr>
      </w:pPr>
      <w:r w:rsidRPr="00CE624A">
        <w:rPr>
          <w:rFonts w:hint="eastAsia"/>
          <w:color w:val="000000"/>
        </w:rPr>
        <w:t>綜上，</w:t>
      </w:r>
      <w:r w:rsidRPr="00CE624A">
        <w:rPr>
          <w:rFonts w:hint="eastAsia"/>
          <w:color w:val="000000"/>
          <w:szCs w:val="20"/>
        </w:rPr>
        <w:t>鑑於5</w:t>
      </w:r>
      <w:r w:rsidRPr="00CE624A">
        <w:rPr>
          <w:color w:val="000000"/>
          <w:szCs w:val="20"/>
        </w:rPr>
        <w:t>7</w:t>
      </w:r>
      <w:r w:rsidRPr="00CE624A">
        <w:rPr>
          <w:rFonts w:hint="eastAsia"/>
          <w:color w:val="000000"/>
          <w:szCs w:val="20"/>
        </w:rPr>
        <w:t>種</w:t>
      </w:r>
      <w:r w:rsidRPr="00CE624A">
        <w:rPr>
          <w:rFonts w:hint="eastAsia"/>
          <w:color w:val="000000"/>
        </w:rPr>
        <w:t>具食安疑慮化學物質未整合統一列管或尚無法源依據管理情形，以及廣泛被使用於飲用水、食品包材之「永</w:t>
      </w:r>
      <w:r w:rsidRPr="00CE624A">
        <w:rPr>
          <w:rFonts w:hint="eastAsia"/>
          <w:color w:val="000000"/>
        </w:rPr>
        <w:lastRenderedPageBreak/>
        <w:t>久性化學品」</w:t>
      </w:r>
      <w:r w:rsidRPr="00CE624A">
        <w:rPr>
          <w:color w:val="000000"/>
        </w:rPr>
        <w:t>PFAS</w:t>
      </w:r>
      <w:r w:rsidRPr="00CE624A">
        <w:rPr>
          <w:rFonts w:hint="eastAsia"/>
          <w:color w:val="000000"/>
        </w:rPr>
        <w:t>未能全面列管，為落實源頭管理，允宜</w:t>
      </w:r>
      <w:r w:rsidR="00980C9B" w:rsidRPr="00CE624A">
        <w:rPr>
          <w:rFonts w:hint="eastAsia"/>
          <w:color w:val="000000"/>
        </w:rPr>
        <w:t>督促權責機關</w:t>
      </w:r>
      <w:r w:rsidRPr="00CE624A">
        <w:rPr>
          <w:rFonts w:hint="eastAsia"/>
          <w:color w:val="000000"/>
        </w:rPr>
        <w:t>切實執行食安五環2</w:t>
      </w:r>
      <w:r w:rsidRPr="00CE624A">
        <w:rPr>
          <w:color w:val="000000"/>
        </w:rPr>
        <w:t>.0</w:t>
      </w:r>
      <w:r w:rsidRPr="00CE624A">
        <w:rPr>
          <w:rFonts w:hint="eastAsia"/>
          <w:color w:val="000000"/>
        </w:rPr>
        <w:t>政策</w:t>
      </w:r>
      <w:r w:rsidRPr="00CE624A">
        <w:rPr>
          <w:color w:val="000000"/>
        </w:rPr>
        <w:t>，積極</w:t>
      </w:r>
      <w:r w:rsidRPr="00CE624A">
        <w:rPr>
          <w:rFonts w:hint="eastAsia"/>
          <w:color w:val="000000"/>
        </w:rPr>
        <w:t>強化跨部會合作並完備法制，全面盤點對人體有害之毒化物質，另蒐集國外管制動態與國內運作情形，研謀精進訂定</w:t>
      </w:r>
      <w:r w:rsidRPr="00CE624A">
        <w:rPr>
          <w:color w:val="000000"/>
        </w:rPr>
        <w:t>符合現有趨勢</w:t>
      </w:r>
      <w:r w:rsidRPr="00CE624A">
        <w:rPr>
          <w:rFonts w:hint="eastAsia"/>
          <w:color w:val="000000"/>
        </w:rPr>
        <w:t>且有利國人食品安全健康</w:t>
      </w:r>
      <w:r w:rsidRPr="00CE624A">
        <w:rPr>
          <w:color w:val="000000"/>
        </w:rPr>
        <w:t>之</w:t>
      </w:r>
      <w:r w:rsidRPr="00CE624A">
        <w:rPr>
          <w:rFonts w:hint="eastAsia"/>
          <w:color w:val="000000"/>
        </w:rPr>
        <w:t>管理措施。</w:t>
      </w:r>
    </w:p>
    <w:bookmarkEnd w:id="6"/>
    <w:sectPr w:rsidR="00C1186E" w:rsidRPr="00CE624A" w:rsidSect="007908B6">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EB5C15" w:rsidRPr="00EB5C15">
      <w:rPr>
        <w:noProof/>
        <w:lang w:val="zh-TW"/>
      </w:rPr>
      <w:t>3</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 w:id="1">
    <w:p w:rsidR="00C1186E" w:rsidRPr="00CF749C" w:rsidRDefault="00C1186E" w:rsidP="00223F70">
      <w:pPr>
        <w:pStyle w:val="af8"/>
        <w:spacing w:line="280" w:lineRule="exact"/>
        <w:ind w:leftChars="-5" w:left="86" w:hangingChars="41" w:hanging="100"/>
        <w:jc w:val="both"/>
        <w:rPr>
          <w:rFonts w:hint="eastAsia"/>
          <w:sz w:val="24"/>
          <w:szCs w:val="24"/>
        </w:rPr>
      </w:pPr>
      <w:r w:rsidRPr="00CF749C">
        <w:rPr>
          <w:rStyle w:val="afa"/>
          <w:sz w:val="24"/>
          <w:szCs w:val="24"/>
        </w:rPr>
        <w:footnoteRef/>
      </w:r>
      <w:r w:rsidRPr="00CF749C">
        <w:rPr>
          <w:rFonts w:hint="eastAsia"/>
          <w:sz w:val="24"/>
          <w:szCs w:val="24"/>
        </w:rPr>
        <w:t>水楊酸、硼砂、甲醇目前係依「經濟部辦理及督導生產選定化學物質工廠申報調查作業程序」之規定管理。</w:t>
      </w:r>
    </w:p>
  </w:footnote>
  <w:footnote w:id="2">
    <w:p w:rsidR="00C1186E" w:rsidRPr="00D610F7" w:rsidRDefault="00C1186E" w:rsidP="00A207CD">
      <w:pPr>
        <w:spacing w:line="280" w:lineRule="exact"/>
        <w:ind w:leftChars="4" w:left="140" w:hangingChars="53" w:hanging="129"/>
        <w:rPr>
          <w:sz w:val="24"/>
          <w:szCs w:val="24"/>
        </w:rPr>
      </w:pPr>
      <w:r w:rsidRPr="00D610F7">
        <w:rPr>
          <w:rStyle w:val="afa"/>
          <w:sz w:val="24"/>
          <w:szCs w:val="24"/>
        </w:rPr>
        <w:footnoteRef/>
      </w:r>
      <w:r w:rsidRPr="00D610F7">
        <w:rPr>
          <w:rFonts w:hint="eastAsia"/>
          <w:sz w:val="24"/>
          <w:szCs w:val="24"/>
        </w:rPr>
        <w:t>PFAS應用廣泛，具防油、防水特性，常作為表面防潑水、防油處理，例如存在於食品包裝、鍋具塗層等。參考化學署持久性有機污染物(</w:t>
      </w:r>
      <w:r w:rsidRPr="00D610F7">
        <w:rPr>
          <w:sz w:val="24"/>
          <w:szCs w:val="24"/>
        </w:rPr>
        <w:t>POPs</w:t>
      </w:r>
      <w:r w:rsidRPr="00D610F7">
        <w:rPr>
          <w:rFonts w:hint="eastAsia"/>
          <w:sz w:val="24"/>
          <w:szCs w:val="24"/>
        </w:rPr>
        <w:t>)資訊網站(網址：</w:t>
      </w:r>
      <w:r w:rsidRPr="00D610F7">
        <w:rPr>
          <w:sz w:val="24"/>
          <w:szCs w:val="24"/>
        </w:rPr>
        <w:t>https://topic.moenv.gov.tw/pops/cp-104-9895-a6131-2.html</w:t>
      </w:r>
      <w:r w:rsidRPr="00D610F7">
        <w:rPr>
          <w:rFonts w:hint="eastAsia"/>
          <w:sz w:val="24"/>
          <w:szCs w:val="24"/>
        </w:rPr>
        <w:t>)。</w:t>
      </w:r>
    </w:p>
  </w:footnote>
  <w:footnote w:id="3">
    <w:p w:rsidR="00C1186E" w:rsidRPr="00D610F7" w:rsidRDefault="00C1186E" w:rsidP="00A207CD">
      <w:pPr>
        <w:spacing w:line="280" w:lineRule="exact"/>
        <w:ind w:leftChars="4" w:left="140" w:hangingChars="53" w:hanging="129"/>
        <w:jc w:val="left"/>
        <w:rPr>
          <w:sz w:val="22"/>
          <w:szCs w:val="22"/>
        </w:rPr>
      </w:pPr>
      <w:r w:rsidRPr="00D610F7">
        <w:rPr>
          <w:rStyle w:val="afa"/>
          <w:sz w:val="24"/>
          <w:szCs w:val="24"/>
        </w:rPr>
        <w:footnoteRef/>
      </w:r>
      <w:r w:rsidRPr="00D610F7">
        <w:rPr>
          <w:rFonts w:hint="eastAsia"/>
          <w:sz w:val="24"/>
          <w:szCs w:val="24"/>
        </w:rPr>
        <w:t>歐盟提案會員國認為若未最大限度減少PFAS排放，對人類與動植物暴露將增加，提案估計若不採取行動，未來30年內約440萬噸PFAS最終進入環境。詳ECHA網站</w:t>
      </w:r>
      <w:r w:rsidRPr="00D610F7">
        <w:rPr>
          <w:rFonts w:hint="eastAsia"/>
          <w:sz w:val="22"/>
          <w:szCs w:val="22"/>
        </w:rPr>
        <w:t>(https://echa.europa.eu/-/echa-publishes-pfas-restriction-proposal)。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C15"/>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BE4246E-E34C-4B46-933A-609CBE48C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C0533-8C5A-4C75-87EF-7D17B5F9F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23</Pages>
  <Words>590</Words>
  <Characters>3363</Characters>
  <Application>Microsoft Office Word</Application>
  <DocSecurity>0</DocSecurity>
  <Lines>28</Lines>
  <Paragraphs>7</Paragraphs>
  <ScaleCrop>false</ScaleCrop>
  <Company/>
  <LinksUpToDate>false</LinksUpToDate>
  <CharactersWithSpaces>3946</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