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bookmarkStart w:id="0" w:name="_GoBack"/>
      <w:bookmarkEnd w:id="0"/>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485EBC" w:rsidRPr="00727283" w:rsidRDefault="00485EBC" w:rsidP="00485EBC">
      <w:pPr>
        <w:pStyle w:val="14"/>
        <w:outlineLvl w:val="1"/>
      </w:pPr>
      <w:bookmarkStart w:id="1" w:name="_Toc309635794"/>
      <w:bookmarkStart w:id="2" w:name="_Toc320518927"/>
      <w:bookmarkStart w:id="3" w:name="_Toc321228937"/>
      <w:bookmarkStart w:id="4" w:name="_Toc212538323"/>
      <w:bookmarkStart w:id="5" w:name="_Toc150246477"/>
      <w:bookmarkStart w:id="6" w:name="_Toc244430561"/>
      <w:bookmarkStart w:id="7" w:name="_Toc53038718"/>
      <w:bookmarkStart w:id="8" w:name="_Toc82606338"/>
      <w:bookmarkStart w:id="9" w:name="_Toc146819446"/>
      <w:bookmarkStart w:id="10" w:name="_Toc147348727"/>
      <w:bookmarkStart w:id="11" w:name="_Toc147348775"/>
      <w:bookmarkStart w:id="12" w:name="_Toc214447101"/>
      <w:r>
        <w:rPr>
          <w:rFonts w:hint="eastAsia"/>
        </w:rPr>
        <w:t>六</w:t>
      </w:r>
      <w:r w:rsidRPr="00727283">
        <w:rPr>
          <w:rFonts w:hint="eastAsia"/>
        </w:rPr>
        <w:t>、</w:t>
      </w:r>
      <w:bookmarkEnd w:id="9"/>
      <w:bookmarkEnd w:id="10"/>
      <w:bookmarkEnd w:id="11"/>
      <w:r w:rsidRPr="00727283">
        <w:rPr>
          <w:rFonts w:hint="eastAsia"/>
        </w:rPr>
        <w:t>政府部門首次合作發放</w:t>
      </w:r>
      <w:r w:rsidRPr="00727283">
        <w:rPr>
          <w:rFonts w:hAnsi="標楷體" w:hint="eastAsia"/>
        </w:rPr>
        <w:t>數位券模式之客家幣，預計115年6月30日前完成28萬4,722份客家幣兌償</w:t>
      </w:r>
      <w:r w:rsidRPr="00727283">
        <w:rPr>
          <w:rFonts w:hint="eastAsia"/>
        </w:rPr>
        <w:t>，允宜持續檢討並優化系統介面與操作流程，俾如期完成</w:t>
      </w:r>
      <w:r w:rsidRPr="00727283">
        <w:rPr>
          <w:rFonts w:hAnsi="標楷體" w:hint="eastAsia"/>
        </w:rPr>
        <w:t>「</w:t>
      </w:r>
      <w:r w:rsidRPr="00727283">
        <w:rPr>
          <w:rFonts w:hint="eastAsia"/>
        </w:rPr>
        <w:t>客家幣計畫</w:t>
      </w:r>
      <w:r w:rsidRPr="00727283">
        <w:rPr>
          <w:rFonts w:hAnsi="標楷體" w:hint="eastAsia"/>
        </w:rPr>
        <w:t>」</w:t>
      </w:r>
      <w:bookmarkEnd w:id="12"/>
    </w:p>
    <w:p w:rsidR="00485EBC" w:rsidRPr="00727283" w:rsidRDefault="00485EBC" w:rsidP="00485EBC">
      <w:pPr>
        <w:ind w:left="566" w:firstLine="566"/>
        <w:rPr>
          <w:rFonts w:hAnsi="標楷體" w:cs="New Gulim"/>
          <w:b/>
          <w:kern w:val="28"/>
        </w:rPr>
      </w:pPr>
      <w:r w:rsidRPr="00727283">
        <w:rPr>
          <w:rFonts w:hint="eastAsia"/>
        </w:rPr>
        <w:t>客委會115年度預算案編列「</w:t>
      </w:r>
      <w:r w:rsidR="00521F74">
        <w:rPr>
          <w:rFonts w:hint="eastAsia"/>
        </w:rPr>
        <w:t>客家</w:t>
      </w:r>
      <w:r w:rsidR="00B706E9">
        <w:rPr>
          <w:rFonts w:hint="eastAsia"/>
        </w:rPr>
        <w:t>文化</w:t>
      </w:r>
      <w:r w:rsidR="00521F74">
        <w:rPr>
          <w:rFonts w:hint="eastAsia"/>
        </w:rPr>
        <w:t>產業發展</w:t>
      </w:r>
      <w:r w:rsidRPr="00727283">
        <w:rPr>
          <w:rFonts w:hint="eastAsia"/>
        </w:rPr>
        <w:t>-03客家綠色產業永續創新發展計畫」1億8,900萬元</w:t>
      </w:r>
      <w:r w:rsidRPr="00727283">
        <w:rPr>
          <w:rFonts w:hAnsi="標楷體" w:hint="eastAsia"/>
        </w:rPr>
        <w:t>，</w:t>
      </w:r>
      <w:r w:rsidRPr="00727283">
        <w:rPr>
          <w:rFonts w:hint="eastAsia"/>
        </w:rPr>
        <w:t>其中包括</w:t>
      </w:r>
      <w:r w:rsidRPr="00727283">
        <w:rPr>
          <w:rFonts w:hAnsi="標楷體" w:hint="eastAsia"/>
        </w:rPr>
        <w:t>「</w:t>
      </w:r>
      <w:r w:rsidRPr="00727283">
        <w:rPr>
          <w:rFonts w:hint="eastAsia"/>
        </w:rPr>
        <w:t>獎勵青壯年客庄旅遊(客家幣)推動計畫</w:t>
      </w:r>
      <w:r w:rsidRPr="00727283">
        <w:rPr>
          <w:rFonts w:hAnsi="標楷體" w:hint="eastAsia"/>
        </w:rPr>
        <w:t>」(以下簡稱「客家幣計畫」)</w:t>
      </w:r>
      <w:r w:rsidRPr="00727283">
        <w:rPr>
          <w:rFonts w:hint="eastAsia"/>
        </w:rPr>
        <w:t>業務費1,350萬元及</w:t>
      </w:r>
      <w:r w:rsidRPr="00727283">
        <w:rPr>
          <w:rFonts w:hAnsi="標楷體" w:hint="eastAsia"/>
        </w:rPr>
        <w:t>獎補助費7,445萬元，共計8,795萬元</w:t>
      </w:r>
      <w:r w:rsidRPr="00727283">
        <w:rPr>
          <w:rFonts w:hint="eastAsia"/>
        </w:rPr>
        <w:t>。經查：</w:t>
      </w:r>
    </w:p>
    <w:p w:rsidR="00485EBC" w:rsidRPr="00727283" w:rsidRDefault="00485EBC" w:rsidP="00485EBC">
      <w:pPr>
        <w:ind w:left="849" w:hangingChars="100" w:hanging="283"/>
        <w:rPr>
          <w:b/>
        </w:rPr>
      </w:pPr>
      <w:r w:rsidRPr="00727283">
        <w:rPr>
          <w:rFonts w:hint="eastAsia"/>
          <w:b/>
        </w:rPr>
        <w:t>(一)客家幣發放之依據及推動之過程</w:t>
      </w:r>
    </w:p>
    <w:p w:rsidR="00485EBC" w:rsidRPr="00727283" w:rsidRDefault="00485EBC" w:rsidP="00485EBC">
      <w:pPr>
        <w:pStyle w:val="123"/>
        <w:ind w:left="1133" w:hanging="283"/>
        <w:rPr>
          <w:rFonts w:hAnsi="標楷體"/>
        </w:rPr>
      </w:pPr>
      <w:r w:rsidRPr="00727283">
        <w:rPr>
          <w:rFonts w:hint="eastAsia"/>
        </w:rPr>
        <w:t>1.為積極推動客家文化發展，獎勵客語傳承，並逐步建構生活化之客語使用環境及活絡客庄經濟，客委會依行政院112年10月11日核定之「客庄創生及環境營造計畫(109至114年度)」及該會114年7月30日公布之「客家委員會辦理客家幣發放作業要點」辦理</w:t>
      </w:r>
      <w:r w:rsidRPr="00727283">
        <w:rPr>
          <w:rFonts w:hAnsi="標楷體" w:hint="eastAsia"/>
        </w:rPr>
        <w:t>「客家幣計畫」，自114年8月1日起執行該計畫。</w:t>
      </w:r>
    </w:p>
    <w:p w:rsidR="00485EBC" w:rsidRPr="00727283" w:rsidRDefault="00485EBC" w:rsidP="00485EBC">
      <w:pPr>
        <w:pStyle w:val="123"/>
        <w:ind w:left="1133" w:hanging="283"/>
        <w:rPr>
          <w:rFonts w:hAnsi="標楷體"/>
        </w:rPr>
      </w:pPr>
      <w:r w:rsidRPr="00727283">
        <w:rPr>
          <w:rFonts w:hAnsi="標楷體" w:hint="eastAsia"/>
        </w:rPr>
        <w:t>2.客委會與客家文化重點發展區之「</w:t>
      </w:r>
      <w:r w:rsidRPr="00727283">
        <w:rPr>
          <w:rFonts w:ascii="新細明體-ExtB" w:eastAsia="新細明體-ExtB" w:hAnsi="新細明體-ExtB" w:cs="新細明體-ExtB" w:hint="eastAsia"/>
        </w:rPr>
        <w:t>𠊎</w:t>
      </w:r>
      <w:r w:rsidRPr="00727283">
        <w:rPr>
          <w:rFonts w:hAnsi="標楷體" w:hint="eastAsia"/>
        </w:rPr>
        <w:t>講客」特約店家合作辦理，透過發放數位客家幣，獎勵獲表揚客語家庭成員、通過114年客語認證者(共約3萬份)及年滿18</w:t>
      </w:r>
      <w:r w:rsidR="00DA6EB5">
        <w:rPr>
          <w:rFonts w:hAnsi="標楷體" w:hint="eastAsia"/>
        </w:rPr>
        <w:t>至</w:t>
      </w:r>
      <w:r w:rsidRPr="00727283">
        <w:rPr>
          <w:rFonts w:hAnsi="標楷體" w:hint="eastAsia"/>
        </w:rPr>
        <w:t>49歲之本國青壯年(業經抽籤發放25萬4,722份)，走入客庄、體驗客家文化，同時獎勵客語傳承，以提升客庄社區經濟消費動能。</w:t>
      </w:r>
    </w:p>
    <w:p w:rsidR="00485EBC" w:rsidRPr="00727283" w:rsidRDefault="00485EBC" w:rsidP="00485EBC">
      <w:pPr>
        <w:pStyle w:val="123"/>
        <w:ind w:left="1133" w:hanging="283"/>
        <w:rPr>
          <w:rFonts w:hAnsi="標楷體" w:hint="eastAsia"/>
        </w:rPr>
      </w:pPr>
      <w:r w:rsidRPr="00727283">
        <w:rPr>
          <w:rFonts w:hAnsi="標楷體" w:hint="eastAsia"/>
        </w:rPr>
        <w:t>3.客家幣計畫係客委會、數位發展部(以下簡稱數發部)及中央銀行共同合作，透過數發部「政府發放共用基礎平臺」進行客家幣領取資格核驗，並介接中央銀行「數位公共建設金流平臺」及結合TWQR共通支付標準，將發放28萬4,722份、面額1千元之數位客家幣，此種發放數位券之模式係為政府</w:t>
      </w:r>
      <w:r w:rsidRPr="00727283">
        <w:rPr>
          <w:rFonts w:hAnsi="標楷體" w:hint="eastAsia"/>
        </w:rPr>
        <w:lastRenderedPageBreak/>
        <w:t>部門第1個合作案例。</w:t>
      </w:r>
    </w:p>
    <w:p w:rsidR="00485EBC" w:rsidRPr="00727283" w:rsidRDefault="00485EBC" w:rsidP="00485EBC">
      <w:pPr>
        <w:pStyle w:val="a4"/>
        <w:ind w:left="849" w:hanging="283"/>
        <w:rPr>
          <w:b/>
        </w:rPr>
      </w:pPr>
      <w:r w:rsidRPr="00727283">
        <w:rPr>
          <w:rFonts w:hint="eastAsia"/>
          <w:b/>
        </w:rPr>
        <w:t>(二)「客家幣計畫」推動進度尚符規劃期程，惟仍存</w:t>
      </w:r>
      <w:r w:rsidR="00DA6EB5">
        <w:rPr>
          <w:rFonts w:hint="eastAsia"/>
          <w:b/>
        </w:rPr>
        <w:t>有</w:t>
      </w:r>
      <w:r w:rsidRPr="00727283">
        <w:rPr>
          <w:rFonts w:hint="eastAsia"/>
          <w:b/>
        </w:rPr>
        <w:t>民眾登記及領取流程不順暢之情形</w:t>
      </w:r>
    </w:p>
    <w:p w:rsidR="00485EBC" w:rsidRPr="00727283" w:rsidRDefault="00485EBC" w:rsidP="00485EBC">
      <w:pPr>
        <w:pStyle w:val="22"/>
        <w:ind w:left="850" w:firstLine="566"/>
      </w:pPr>
      <w:r w:rsidRPr="00727283">
        <w:rPr>
          <w:rFonts w:hint="eastAsia"/>
        </w:rPr>
        <w:t>客家幣預計</w:t>
      </w:r>
      <w:r w:rsidRPr="00727283">
        <w:rPr>
          <w:rFonts w:hAnsi="標楷體" w:hint="eastAsia"/>
        </w:rPr>
        <w:t>於114年8月1日至115年6月30日</w:t>
      </w:r>
      <w:r w:rsidRPr="00727283">
        <w:rPr>
          <w:rFonts w:hint="eastAsia"/>
        </w:rPr>
        <w:t>發放28萬4,722份，並以114及115年度分別帶動</w:t>
      </w:r>
      <w:r w:rsidRPr="00727283">
        <w:rPr>
          <w:rFonts w:hint="eastAsia"/>
          <w:snapToGrid/>
        </w:rPr>
        <w:t>18萬1千及21萬7千人次</w:t>
      </w:r>
      <w:r w:rsidRPr="00727283">
        <w:rPr>
          <w:rFonts w:hint="eastAsia"/>
        </w:rPr>
        <w:t>走入客庄、體驗客家文化為目標。檢視客委會辦理客家幣計畫之執行情形(詳表</w:t>
      </w:r>
      <w:r w:rsidR="004D3DB2">
        <w:rPr>
          <w:rFonts w:hint="eastAsia"/>
        </w:rPr>
        <w:t>1</w:t>
      </w:r>
      <w:r w:rsidRPr="00727283">
        <w:rPr>
          <w:rFonts w:hint="eastAsia"/>
        </w:rPr>
        <w:t>)，該計畫自114年8月1日推動，至114年9月底已兌償</w:t>
      </w:r>
      <w:r w:rsidRPr="00727283">
        <w:rPr>
          <w:rFonts w:hint="eastAsia"/>
          <w:snapToGrid/>
        </w:rPr>
        <w:t>4萬5,530份</w:t>
      </w:r>
      <w:r w:rsidRPr="00727283">
        <w:rPr>
          <w:rFonts w:hint="eastAsia"/>
        </w:rPr>
        <w:t>客家幣，整體使用率為15.99%，並帶動</w:t>
      </w:r>
      <w:r w:rsidRPr="00727283">
        <w:rPr>
          <w:rFonts w:hint="eastAsia"/>
          <w:snapToGrid/>
        </w:rPr>
        <w:t>9萬1</w:t>
      </w:r>
      <w:r w:rsidRPr="00727283">
        <w:rPr>
          <w:snapToGrid/>
        </w:rPr>
        <w:t>,</w:t>
      </w:r>
      <w:r w:rsidRPr="00727283">
        <w:rPr>
          <w:rFonts w:hint="eastAsia"/>
          <w:snapToGrid/>
        </w:rPr>
        <w:t>060人次</w:t>
      </w:r>
      <w:r w:rsidRPr="00727283">
        <w:rPr>
          <w:rFonts w:hint="eastAsia"/>
        </w:rPr>
        <w:t>走入客庄，114年度目標達成率50.3</w:t>
      </w:r>
      <w:r w:rsidR="00DA6EB5">
        <w:rPr>
          <w:rFonts w:hint="eastAsia"/>
        </w:rPr>
        <w:t>1</w:t>
      </w:r>
      <w:r w:rsidRPr="00727283">
        <w:rPr>
          <w:rFonts w:hint="eastAsia"/>
        </w:rPr>
        <w:t>%，推動進度尚符規劃期程，惟</w:t>
      </w:r>
      <w:r w:rsidRPr="00727283">
        <w:rPr>
          <w:rFonts w:hAnsi="標楷體" w:hint="eastAsia"/>
        </w:rPr>
        <w:t>「客家幣計畫」</w:t>
      </w:r>
      <w:r w:rsidRPr="00727283">
        <w:rPr>
          <w:rFonts w:hint="eastAsia"/>
        </w:rPr>
        <w:t>於辦理登記抽籤時，因系統登記介面較為多元，致些許民眾未</w:t>
      </w:r>
      <w:r w:rsidR="008B3458">
        <w:rPr>
          <w:rFonts w:hint="eastAsia"/>
        </w:rPr>
        <w:t>完整</w:t>
      </w:r>
      <w:r w:rsidRPr="00727283">
        <w:rPr>
          <w:rFonts w:hint="eastAsia"/>
        </w:rPr>
        <w:t>完成客家幣之登記，致中籤後無法領取使用，容有精進之處。允宜邀集各金融</w:t>
      </w:r>
      <w:r w:rsidRPr="00727283">
        <w:rPr>
          <w:rFonts w:hint="eastAsia"/>
          <w:lang w:eastAsia="zh-HK"/>
        </w:rPr>
        <w:t>及</w:t>
      </w:r>
      <w:r w:rsidRPr="00727283">
        <w:rPr>
          <w:rFonts w:hint="eastAsia"/>
        </w:rPr>
        <w:t>電子支付機構等合作單位檢討精進，俾使客家幣推動計畫更</w:t>
      </w:r>
      <w:r w:rsidR="00CE5EA0">
        <w:rPr>
          <w:rFonts w:hint="eastAsia"/>
        </w:rPr>
        <w:t>為</w:t>
      </w:r>
      <w:r w:rsidRPr="00727283">
        <w:rPr>
          <w:rFonts w:hint="eastAsia"/>
        </w:rPr>
        <w:t>便民。</w:t>
      </w:r>
    </w:p>
    <w:p w:rsidR="00485EBC" w:rsidRPr="00727283" w:rsidRDefault="00485EBC" w:rsidP="00485EBC">
      <w:pPr>
        <w:snapToGrid w:val="0"/>
        <w:ind w:leftChars="0" w:left="743" w:rightChars="-51" w:right="-144" w:hangingChars="262" w:hanging="743"/>
        <w:rPr>
          <w:rFonts w:hAnsi="標楷體"/>
          <w:b/>
          <w:snapToGrid/>
          <w:kern w:val="0"/>
        </w:rPr>
      </w:pPr>
      <w:bookmarkStart w:id="13" w:name="_Hlk213748342"/>
      <w:r w:rsidRPr="00727283">
        <w:rPr>
          <w:rFonts w:hAnsi="標楷體" w:hint="eastAsia"/>
          <w:b/>
          <w:snapToGrid/>
          <w:kern w:val="0"/>
        </w:rPr>
        <w:t>表</w:t>
      </w:r>
      <w:r w:rsidR="004D3DB2">
        <w:rPr>
          <w:rFonts w:hAnsi="標楷體" w:hint="eastAsia"/>
          <w:b/>
          <w:snapToGrid/>
          <w:kern w:val="0"/>
        </w:rPr>
        <w:t>1</w:t>
      </w:r>
      <w:r w:rsidRPr="00727283">
        <w:rPr>
          <w:rFonts w:hAnsi="標楷體" w:hint="eastAsia"/>
          <w:b/>
          <w:snapToGrid/>
          <w:kern w:val="0"/>
        </w:rPr>
        <w:t xml:space="preserve"> 「客家幣計畫」執行情形表                   </w:t>
      </w:r>
      <w:r w:rsidRPr="00727283">
        <w:rPr>
          <w:rFonts w:hAnsi="標楷體" w:hint="eastAsia"/>
          <w:bCs/>
          <w:snapToGrid/>
          <w:kern w:val="16"/>
          <w:sz w:val="24"/>
          <w:szCs w:val="24"/>
        </w:rPr>
        <w:t>單位：新臺幣千元</w:t>
      </w:r>
    </w:p>
    <w:tbl>
      <w:tblPr>
        <w:tblW w:w="8647" w:type="dxa"/>
        <w:tblInd w:w="28" w:type="dxa"/>
        <w:tblCellMar>
          <w:left w:w="28" w:type="dxa"/>
          <w:right w:w="28" w:type="dxa"/>
        </w:tblCellMar>
        <w:tblLook w:val="04A0" w:firstRow="1" w:lastRow="0" w:firstColumn="1" w:lastColumn="0" w:noHBand="0" w:noVBand="1"/>
      </w:tblPr>
      <w:tblGrid>
        <w:gridCol w:w="851"/>
        <w:gridCol w:w="992"/>
        <w:gridCol w:w="992"/>
        <w:gridCol w:w="2552"/>
        <w:gridCol w:w="3260"/>
      </w:tblGrid>
      <w:tr w:rsidR="00485EBC" w:rsidRPr="00727283" w:rsidTr="00AC0747">
        <w:trPr>
          <w:trHeight w:val="360"/>
          <w:tblHeader/>
        </w:trPr>
        <w:tc>
          <w:tcPr>
            <w:tcW w:w="851"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485EBC" w:rsidRPr="00727283" w:rsidRDefault="00485EBC" w:rsidP="00AC0747">
            <w:pPr>
              <w:pStyle w:val="142"/>
              <w:jc w:val="center"/>
              <w:rPr>
                <w:snapToGrid/>
              </w:rPr>
            </w:pPr>
            <w:r w:rsidRPr="00727283">
              <w:rPr>
                <w:rFonts w:hint="eastAsia"/>
                <w:snapToGrid/>
              </w:rPr>
              <w:t>年度</w:t>
            </w:r>
          </w:p>
        </w:tc>
        <w:tc>
          <w:tcPr>
            <w:tcW w:w="992" w:type="dxa"/>
            <w:tcBorders>
              <w:top w:val="single" w:sz="12" w:space="0" w:color="auto"/>
              <w:left w:val="nil"/>
              <w:bottom w:val="single" w:sz="8" w:space="0" w:color="auto"/>
              <w:right w:val="single" w:sz="8" w:space="0" w:color="auto"/>
            </w:tcBorders>
            <w:shd w:val="clear" w:color="auto" w:fill="auto"/>
            <w:vAlign w:val="center"/>
            <w:hideMark/>
          </w:tcPr>
          <w:p w:rsidR="00485EBC" w:rsidRPr="00727283" w:rsidRDefault="00485EBC" w:rsidP="00AC0747">
            <w:pPr>
              <w:pStyle w:val="142"/>
              <w:jc w:val="center"/>
              <w:rPr>
                <w:rFonts w:hint="eastAsia"/>
                <w:snapToGrid/>
              </w:rPr>
            </w:pPr>
            <w:r w:rsidRPr="00727283">
              <w:rPr>
                <w:rFonts w:hint="eastAsia"/>
                <w:snapToGrid/>
              </w:rPr>
              <w:t>預算</w:t>
            </w:r>
          </w:p>
        </w:tc>
        <w:tc>
          <w:tcPr>
            <w:tcW w:w="992" w:type="dxa"/>
            <w:tcBorders>
              <w:top w:val="single" w:sz="12" w:space="0" w:color="auto"/>
              <w:left w:val="nil"/>
              <w:bottom w:val="single" w:sz="8" w:space="0" w:color="auto"/>
              <w:right w:val="single" w:sz="8" w:space="0" w:color="auto"/>
            </w:tcBorders>
            <w:shd w:val="clear" w:color="auto" w:fill="auto"/>
            <w:vAlign w:val="center"/>
            <w:hideMark/>
          </w:tcPr>
          <w:p w:rsidR="00485EBC" w:rsidRPr="00727283" w:rsidRDefault="00485EBC" w:rsidP="00AC0747">
            <w:pPr>
              <w:pStyle w:val="142"/>
              <w:jc w:val="center"/>
              <w:rPr>
                <w:rFonts w:hint="eastAsia"/>
                <w:snapToGrid/>
              </w:rPr>
            </w:pPr>
            <w:r w:rsidRPr="00727283">
              <w:rPr>
                <w:rFonts w:hint="eastAsia"/>
                <w:snapToGrid/>
              </w:rPr>
              <w:t>執行數</w:t>
            </w:r>
          </w:p>
        </w:tc>
        <w:tc>
          <w:tcPr>
            <w:tcW w:w="2552" w:type="dxa"/>
            <w:tcBorders>
              <w:top w:val="single" w:sz="12" w:space="0" w:color="auto"/>
              <w:left w:val="nil"/>
              <w:bottom w:val="single" w:sz="8" w:space="0" w:color="auto"/>
              <w:right w:val="single" w:sz="8" w:space="0" w:color="auto"/>
            </w:tcBorders>
            <w:shd w:val="clear" w:color="auto" w:fill="auto"/>
            <w:vAlign w:val="center"/>
          </w:tcPr>
          <w:p w:rsidR="00485EBC" w:rsidRPr="00727283" w:rsidRDefault="00485EBC" w:rsidP="00AC0747">
            <w:pPr>
              <w:pStyle w:val="142"/>
              <w:jc w:val="center"/>
              <w:rPr>
                <w:rFonts w:hint="eastAsia"/>
                <w:snapToGrid/>
              </w:rPr>
            </w:pPr>
            <w:r w:rsidRPr="00727283">
              <w:rPr>
                <w:rFonts w:hint="eastAsia"/>
                <w:snapToGrid/>
              </w:rPr>
              <w:t>目標</w:t>
            </w:r>
          </w:p>
        </w:tc>
        <w:tc>
          <w:tcPr>
            <w:tcW w:w="3260" w:type="dxa"/>
            <w:tcBorders>
              <w:top w:val="single" w:sz="12" w:space="0" w:color="auto"/>
              <w:left w:val="nil"/>
              <w:bottom w:val="single" w:sz="8" w:space="0" w:color="auto"/>
              <w:right w:val="single" w:sz="12" w:space="0" w:color="auto"/>
            </w:tcBorders>
            <w:shd w:val="clear" w:color="auto" w:fill="auto"/>
            <w:vAlign w:val="center"/>
            <w:hideMark/>
          </w:tcPr>
          <w:p w:rsidR="00485EBC" w:rsidRPr="00727283" w:rsidRDefault="00485EBC" w:rsidP="00AC0747">
            <w:pPr>
              <w:pStyle w:val="142"/>
              <w:jc w:val="center"/>
              <w:rPr>
                <w:rFonts w:hint="eastAsia"/>
                <w:snapToGrid/>
              </w:rPr>
            </w:pPr>
            <w:r w:rsidRPr="00727283">
              <w:rPr>
                <w:rFonts w:hint="eastAsia"/>
                <w:snapToGrid/>
              </w:rPr>
              <w:t>執行情形</w:t>
            </w:r>
          </w:p>
        </w:tc>
      </w:tr>
      <w:tr w:rsidR="00485EBC" w:rsidRPr="00727283" w:rsidTr="00AC0747">
        <w:trPr>
          <w:trHeight w:val="360"/>
        </w:trPr>
        <w:tc>
          <w:tcPr>
            <w:tcW w:w="851" w:type="dxa"/>
            <w:tcBorders>
              <w:top w:val="single" w:sz="12" w:space="0" w:color="auto"/>
              <w:left w:val="single" w:sz="12" w:space="0" w:color="auto"/>
              <w:bottom w:val="single" w:sz="8" w:space="0" w:color="auto"/>
              <w:right w:val="single" w:sz="8" w:space="0" w:color="auto"/>
            </w:tcBorders>
            <w:shd w:val="clear" w:color="auto" w:fill="auto"/>
            <w:vAlign w:val="center"/>
          </w:tcPr>
          <w:p w:rsidR="00485EBC" w:rsidRPr="00727283" w:rsidRDefault="00485EBC" w:rsidP="00AC0747">
            <w:pPr>
              <w:pStyle w:val="142"/>
              <w:jc w:val="center"/>
              <w:rPr>
                <w:rFonts w:hint="eastAsia"/>
                <w:snapToGrid/>
              </w:rPr>
            </w:pPr>
            <w:r w:rsidRPr="00727283">
              <w:rPr>
                <w:rFonts w:hint="eastAsia"/>
                <w:snapToGrid/>
              </w:rPr>
              <w:t>114</w:t>
            </w:r>
          </w:p>
        </w:tc>
        <w:tc>
          <w:tcPr>
            <w:tcW w:w="992" w:type="dxa"/>
            <w:tcBorders>
              <w:top w:val="single" w:sz="12" w:space="0" w:color="auto"/>
              <w:left w:val="nil"/>
              <w:bottom w:val="single" w:sz="8" w:space="0" w:color="auto"/>
              <w:right w:val="single" w:sz="8" w:space="0" w:color="auto"/>
            </w:tcBorders>
            <w:shd w:val="clear" w:color="auto" w:fill="auto"/>
            <w:vAlign w:val="center"/>
          </w:tcPr>
          <w:p w:rsidR="00485EBC" w:rsidRPr="00727283" w:rsidRDefault="00485EBC" w:rsidP="00CE5EA0">
            <w:pPr>
              <w:pStyle w:val="142"/>
              <w:jc w:val="right"/>
              <w:rPr>
                <w:rFonts w:hint="eastAsia"/>
                <w:snapToGrid/>
              </w:rPr>
            </w:pPr>
            <w:r w:rsidRPr="00727283">
              <w:rPr>
                <w:rFonts w:hint="eastAsia"/>
                <w:snapToGrid/>
              </w:rPr>
              <w:t>39</w:t>
            </w:r>
            <w:r w:rsidRPr="00727283">
              <w:rPr>
                <w:snapToGrid/>
              </w:rPr>
              <w:t>,1</w:t>
            </w:r>
            <w:r w:rsidRPr="00727283">
              <w:rPr>
                <w:rFonts w:hint="eastAsia"/>
                <w:snapToGrid/>
              </w:rPr>
              <w:t>70</w:t>
            </w:r>
          </w:p>
        </w:tc>
        <w:tc>
          <w:tcPr>
            <w:tcW w:w="992" w:type="dxa"/>
            <w:tcBorders>
              <w:top w:val="single" w:sz="12" w:space="0" w:color="auto"/>
              <w:left w:val="nil"/>
              <w:bottom w:val="single" w:sz="8" w:space="0" w:color="auto"/>
              <w:right w:val="single" w:sz="8" w:space="0" w:color="auto"/>
            </w:tcBorders>
            <w:shd w:val="clear" w:color="auto" w:fill="auto"/>
            <w:vAlign w:val="center"/>
          </w:tcPr>
          <w:p w:rsidR="00485EBC" w:rsidRPr="00727283" w:rsidRDefault="00485EBC" w:rsidP="00AC0747">
            <w:pPr>
              <w:pStyle w:val="142"/>
              <w:jc w:val="right"/>
              <w:rPr>
                <w:rFonts w:hint="eastAsia"/>
                <w:snapToGrid/>
              </w:rPr>
            </w:pPr>
            <w:r w:rsidRPr="00727283">
              <w:rPr>
                <w:rFonts w:hint="eastAsia"/>
                <w:snapToGrid/>
              </w:rPr>
              <w:t>39</w:t>
            </w:r>
            <w:r w:rsidRPr="00727283">
              <w:rPr>
                <w:snapToGrid/>
              </w:rPr>
              <w:t>,1</w:t>
            </w:r>
            <w:r w:rsidRPr="00727283">
              <w:rPr>
                <w:rFonts w:hint="eastAsia"/>
                <w:snapToGrid/>
              </w:rPr>
              <w:t>70</w:t>
            </w:r>
          </w:p>
        </w:tc>
        <w:tc>
          <w:tcPr>
            <w:tcW w:w="2552" w:type="dxa"/>
            <w:vMerge w:val="restart"/>
            <w:tcBorders>
              <w:top w:val="single" w:sz="12" w:space="0" w:color="auto"/>
              <w:left w:val="nil"/>
              <w:right w:val="single" w:sz="8" w:space="0" w:color="auto"/>
            </w:tcBorders>
            <w:shd w:val="clear" w:color="auto" w:fill="auto"/>
            <w:vAlign w:val="center"/>
          </w:tcPr>
          <w:p w:rsidR="00485EBC" w:rsidRPr="00727283" w:rsidRDefault="00485EBC" w:rsidP="00AC0747">
            <w:pPr>
              <w:pStyle w:val="142"/>
              <w:ind w:left="272" w:hangingChars="112" w:hanging="272"/>
              <w:jc w:val="both"/>
              <w:rPr>
                <w:snapToGrid/>
              </w:rPr>
            </w:pPr>
            <w:r w:rsidRPr="00727283">
              <w:rPr>
                <w:rFonts w:hint="eastAsia"/>
                <w:snapToGrid/>
              </w:rPr>
              <w:t>1.114及115年度共發放及兌償28萬4,722份客家幣。</w:t>
            </w:r>
          </w:p>
          <w:p w:rsidR="00485EBC" w:rsidRPr="00727283" w:rsidRDefault="00485EBC" w:rsidP="00AC0747">
            <w:pPr>
              <w:pStyle w:val="142"/>
              <w:ind w:left="229" w:hangingChars="94" w:hanging="229"/>
              <w:jc w:val="both"/>
              <w:rPr>
                <w:rFonts w:hint="eastAsia"/>
                <w:snapToGrid/>
              </w:rPr>
            </w:pPr>
            <w:r w:rsidRPr="00727283">
              <w:rPr>
                <w:rFonts w:hint="eastAsia"/>
                <w:snapToGrid/>
              </w:rPr>
              <w:t>2.</w:t>
            </w:r>
            <w:bookmarkStart w:id="14" w:name="_Hlk213764618"/>
            <w:r w:rsidRPr="00727283">
              <w:rPr>
                <w:rFonts w:hint="eastAsia"/>
                <w:snapToGrid/>
              </w:rPr>
              <w:t>114年度預計帶動18萬1千人次及115年度預計帶動21萬7千人次走入客庄。</w:t>
            </w:r>
            <w:bookmarkEnd w:id="14"/>
          </w:p>
        </w:tc>
        <w:tc>
          <w:tcPr>
            <w:tcW w:w="3260" w:type="dxa"/>
            <w:tcBorders>
              <w:top w:val="single" w:sz="12" w:space="0" w:color="auto"/>
              <w:left w:val="nil"/>
              <w:bottom w:val="single" w:sz="8" w:space="0" w:color="auto"/>
              <w:right w:val="single" w:sz="12" w:space="0" w:color="auto"/>
            </w:tcBorders>
            <w:shd w:val="clear" w:color="auto" w:fill="auto"/>
            <w:vAlign w:val="center"/>
          </w:tcPr>
          <w:p w:rsidR="00485EBC" w:rsidRPr="00727283" w:rsidRDefault="00485EBC" w:rsidP="00AC0747">
            <w:pPr>
              <w:pStyle w:val="142"/>
              <w:ind w:left="229" w:hangingChars="94" w:hanging="229"/>
              <w:rPr>
                <w:snapToGrid/>
              </w:rPr>
            </w:pPr>
            <w:r w:rsidRPr="00727283">
              <w:rPr>
                <w:rFonts w:hint="eastAsia"/>
                <w:snapToGrid/>
              </w:rPr>
              <w:t>1.</w:t>
            </w:r>
            <w:r w:rsidRPr="00727283">
              <w:rPr>
                <w:rFonts w:hint="eastAsia"/>
              </w:rPr>
              <w:t>已兌償</w:t>
            </w:r>
            <w:r w:rsidRPr="00727283">
              <w:rPr>
                <w:rFonts w:hint="eastAsia"/>
                <w:snapToGrid/>
              </w:rPr>
              <w:t>4</w:t>
            </w:r>
            <w:r w:rsidRPr="00727283">
              <w:rPr>
                <w:snapToGrid/>
              </w:rPr>
              <w:t>,</w:t>
            </w:r>
            <w:r w:rsidRPr="00727283">
              <w:rPr>
                <w:rFonts w:hint="eastAsia"/>
                <w:snapToGrid/>
              </w:rPr>
              <w:t>553萬客家幣(計4萬5,530份)。</w:t>
            </w:r>
          </w:p>
          <w:p w:rsidR="00485EBC" w:rsidRPr="00727283" w:rsidRDefault="00485EBC" w:rsidP="00AC0747">
            <w:pPr>
              <w:pStyle w:val="142"/>
              <w:ind w:left="229" w:hangingChars="94" w:hanging="229"/>
              <w:jc w:val="both"/>
              <w:rPr>
                <w:rFonts w:hint="eastAsia"/>
                <w:snapToGrid/>
              </w:rPr>
            </w:pPr>
            <w:r w:rsidRPr="00727283">
              <w:rPr>
                <w:rFonts w:hint="eastAsia"/>
                <w:snapToGrid/>
              </w:rPr>
              <w:t>2.</w:t>
            </w:r>
            <w:bookmarkStart w:id="15" w:name="_Hlk213835922"/>
            <w:r w:rsidRPr="00727283">
              <w:rPr>
                <w:rFonts w:hint="eastAsia"/>
                <w:snapToGrid/>
              </w:rPr>
              <w:t>9萬1</w:t>
            </w:r>
            <w:r w:rsidRPr="00727283">
              <w:rPr>
                <w:snapToGrid/>
              </w:rPr>
              <w:t>,</w:t>
            </w:r>
            <w:r w:rsidRPr="00727283">
              <w:rPr>
                <w:rFonts w:hint="eastAsia"/>
                <w:snapToGrid/>
              </w:rPr>
              <w:t>060人次</w:t>
            </w:r>
            <w:bookmarkEnd w:id="15"/>
            <w:r w:rsidRPr="00727283">
              <w:rPr>
                <w:rFonts w:hint="eastAsia"/>
                <w:snapToGrid/>
              </w:rPr>
              <w:t>走入客庄。</w:t>
            </w:r>
          </w:p>
        </w:tc>
      </w:tr>
      <w:tr w:rsidR="00485EBC" w:rsidRPr="00727283" w:rsidTr="00AC0747">
        <w:trPr>
          <w:trHeight w:val="818"/>
        </w:trPr>
        <w:tc>
          <w:tcPr>
            <w:tcW w:w="851" w:type="dxa"/>
            <w:tcBorders>
              <w:top w:val="nil"/>
              <w:left w:val="single" w:sz="12" w:space="0" w:color="auto"/>
              <w:bottom w:val="single" w:sz="18" w:space="0" w:color="auto"/>
              <w:right w:val="single" w:sz="8" w:space="0" w:color="auto"/>
            </w:tcBorders>
            <w:shd w:val="clear" w:color="auto" w:fill="auto"/>
            <w:vAlign w:val="center"/>
          </w:tcPr>
          <w:p w:rsidR="00485EBC" w:rsidRPr="00727283" w:rsidRDefault="00485EBC" w:rsidP="00AC0747">
            <w:pPr>
              <w:pStyle w:val="142"/>
              <w:jc w:val="center"/>
              <w:rPr>
                <w:rFonts w:hint="eastAsia"/>
                <w:snapToGrid/>
              </w:rPr>
            </w:pPr>
            <w:r w:rsidRPr="00727283">
              <w:rPr>
                <w:rFonts w:hint="eastAsia"/>
                <w:snapToGrid/>
              </w:rPr>
              <w:t>115</w:t>
            </w:r>
          </w:p>
        </w:tc>
        <w:tc>
          <w:tcPr>
            <w:tcW w:w="992" w:type="dxa"/>
            <w:tcBorders>
              <w:top w:val="nil"/>
              <w:left w:val="nil"/>
              <w:bottom w:val="single" w:sz="18" w:space="0" w:color="auto"/>
              <w:right w:val="single" w:sz="8" w:space="0" w:color="auto"/>
            </w:tcBorders>
            <w:shd w:val="clear" w:color="auto" w:fill="auto"/>
            <w:vAlign w:val="center"/>
          </w:tcPr>
          <w:p w:rsidR="00485EBC" w:rsidRPr="00727283" w:rsidRDefault="00485EBC" w:rsidP="00AC0747">
            <w:pPr>
              <w:pStyle w:val="142"/>
              <w:jc w:val="right"/>
              <w:rPr>
                <w:rFonts w:hint="eastAsia"/>
                <w:snapToGrid/>
              </w:rPr>
            </w:pPr>
            <w:r w:rsidRPr="00727283">
              <w:rPr>
                <w:snapToGrid/>
              </w:rPr>
              <w:t>87,95</w:t>
            </w:r>
            <w:r w:rsidRPr="00727283">
              <w:rPr>
                <w:rFonts w:hint="eastAsia"/>
                <w:snapToGrid/>
              </w:rPr>
              <w:t>0</w:t>
            </w:r>
          </w:p>
        </w:tc>
        <w:tc>
          <w:tcPr>
            <w:tcW w:w="992" w:type="dxa"/>
            <w:tcBorders>
              <w:left w:val="nil"/>
              <w:bottom w:val="single" w:sz="18" w:space="0" w:color="auto"/>
              <w:right w:val="single" w:sz="8" w:space="0" w:color="auto"/>
            </w:tcBorders>
            <w:shd w:val="clear" w:color="auto" w:fill="auto"/>
            <w:vAlign w:val="center"/>
            <w:hideMark/>
          </w:tcPr>
          <w:p w:rsidR="00485EBC" w:rsidRPr="00727283" w:rsidRDefault="00485EBC" w:rsidP="00AC0747">
            <w:pPr>
              <w:widowControl/>
              <w:spacing w:line="240" w:lineRule="auto"/>
              <w:ind w:leftChars="0" w:left="0" w:firstLineChars="0" w:firstLine="0"/>
              <w:jc w:val="right"/>
              <w:rPr>
                <w:rFonts w:ascii="新細明體" w:eastAsia="新細明體" w:hAnsi="新細明體" w:cs="新細明體" w:hint="eastAsia"/>
                <w:snapToGrid/>
                <w:kern w:val="0"/>
                <w:sz w:val="24"/>
                <w:szCs w:val="24"/>
              </w:rPr>
            </w:pPr>
            <w:r w:rsidRPr="00727283">
              <w:rPr>
                <w:rFonts w:ascii="新細明體" w:eastAsia="新細明體" w:hAnsi="新細明體" w:cs="新細明體" w:hint="eastAsia"/>
                <w:snapToGrid/>
                <w:kern w:val="0"/>
                <w:sz w:val="24"/>
                <w:szCs w:val="24"/>
              </w:rPr>
              <w:t>-</w:t>
            </w:r>
          </w:p>
        </w:tc>
        <w:tc>
          <w:tcPr>
            <w:tcW w:w="2552" w:type="dxa"/>
            <w:vMerge/>
            <w:tcBorders>
              <w:left w:val="nil"/>
              <w:bottom w:val="single" w:sz="18" w:space="0" w:color="auto"/>
              <w:right w:val="single" w:sz="8" w:space="0" w:color="auto"/>
            </w:tcBorders>
            <w:shd w:val="clear" w:color="auto" w:fill="auto"/>
            <w:vAlign w:val="center"/>
          </w:tcPr>
          <w:p w:rsidR="00485EBC" w:rsidRPr="00727283" w:rsidRDefault="00485EBC" w:rsidP="00AC0747">
            <w:pPr>
              <w:pStyle w:val="142"/>
              <w:jc w:val="both"/>
              <w:rPr>
                <w:rFonts w:ascii="新細明體" w:eastAsia="新細明體" w:hAnsi="新細明體" w:cs="新細明體" w:hint="eastAsia"/>
                <w:snapToGrid/>
                <w:kern w:val="0"/>
                <w:szCs w:val="24"/>
              </w:rPr>
            </w:pPr>
          </w:p>
        </w:tc>
        <w:tc>
          <w:tcPr>
            <w:tcW w:w="3260" w:type="dxa"/>
            <w:tcBorders>
              <w:left w:val="nil"/>
              <w:bottom w:val="single" w:sz="18" w:space="0" w:color="auto"/>
              <w:right w:val="single" w:sz="12" w:space="0" w:color="auto"/>
            </w:tcBorders>
            <w:shd w:val="clear" w:color="auto" w:fill="auto"/>
            <w:vAlign w:val="center"/>
            <w:hideMark/>
          </w:tcPr>
          <w:p w:rsidR="00485EBC" w:rsidRPr="00727283" w:rsidRDefault="00485EBC" w:rsidP="00AC0747">
            <w:pPr>
              <w:widowControl/>
              <w:spacing w:line="240" w:lineRule="auto"/>
              <w:ind w:leftChars="0" w:left="0" w:firstLineChars="0" w:firstLine="0"/>
              <w:jc w:val="center"/>
              <w:rPr>
                <w:rFonts w:ascii="新細明體" w:eastAsia="新細明體" w:hAnsi="新細明體" w:cs="新細明體" w:hint="eastAsia"/>
                <w:snapToGrid/>
                <w:kern w:val="0"/>
                <w:sz w:val="24"/>
                <w:szCs w:val="24"/>
              </w:rPr>
            </w:pPr>
            <w:r w:rsidRPr="00727283">
              <w:rPr>
                <w:rFonts w:ascii="新細明體" w:eastAsia="新細明體" w:hAnsi="新細明體" w:cs="新細明體" w:hint="eastAsia"/>
                <w:snapToGrid/>
                <w:kern w:val="0"/>
                <w:sz w:val="24"/>
                <w:szCs w:val="24"/>
              </w:rPr>
              <w:t>-</w:t>
            </w:r>
          </w:p>
        </w:tc>
      </w:tr>
    </w:tbl>
    <w:p w:rsidR="00485EBC" w:rsidRPr="00727283" w:rsidRDefault="00485EBC" w:rsidP="00485EBC">
      <w:pPr>
        <w:spacing w:line="280" w:lineRule="exact"/>
        <w:ind w:leftChars="0" w:rightChars="-224" w:right="-634" w:firstLineChars="0" w:hanging="256"/>
        <w:jc w:val="left"/>
        <w:rPr>
          <w:sz w:val="24"/>
        </w:rPr>
      </w:pPr>
      <w:r w:rsidRPr="00727283">
        <w:rPr>
          <w:rFonts w:hint="eastAsia"/>
          <w:sz w:val="24"/>
        </w:rPr>
        <w:t>說    明：114年度資料統計至9月底。</w:t>
      </w:r>
    </w:p>
    <w:p w:rsidR="00485EBC" w:rsidRPr="00727283" w:rsidRDefault="00485EBC" w:rsidP="00485EBC">
      <w:pPr>
        <w:spacing w:line="280" w:lineRule="exact"/>
        <w:ind w:leftChars="0" w:rightChars="-224" w:right="-634" w:firstLineChars="0" w:hanging="256"/>
        <w:jc w:val="left"/>
        <w:rPr>
          <w:sz w:val="24"/>
        </w:rPr>
      </w:pPr>
      <w:r w:rsidRPr="00727283">
        <w:rPr>
          <w:rFonts w:hint="eastAsia"/>
          <w:sz w:val="24"/>
        </w:rPr>
        <w:t>資料來源：客委會提供</w:t>
      </w:r>
      <w:r w:rsidRPr="00727283">
        <w:rPr>
          <w:rFonts w:hAnsi="標楷體" w:hint="eastAsia"/>
          <w:sz w:val="24"/>
        </w:rPr>
        <w:t>；</w:t>
      </w:r>
      <w:r w:rsidRPr="00727283">
        <w:rPr>
          <w:rFonts w:hint="eastAsia"/>
          <w:sz w:val="24"/>
        </w:rPr>
        <w:t>本中心整理。</w:t>
      </w:r>
    </w:p>
    <w:bookmarkEnd w:id="13"/>
    <w:p w:rsidR="00485EBC" w:rsidRPr="00727283" w:rsidRDefault="00485EBC" w:rsidP="00485EBC">
      <w:pPr>
        <w:ind w:left="566" w:firstLine="566"/>
      </w:pPr>
      <w:r w:rsidRPr="00727283">
        <w:rPr>
          <w:rFonts w:hint="eastAsia"/>
        </w:rPr>
        <w:t>綜上，客委會115年度預算案「</w:t>
      </w:r>
      <w:r w:rsidR="00521F74">
        <w:rPr>
          <w:rFonts w:hint="eastAsia"/>
        </w:rPr>
        <w:t>客家</w:t>
      </w:r>
      <w:r w:rsidR="00B706E9">
        <w:rPr>
          <w:rFonts w:hint="eastAsia"/>
        </w:rPr>
        <w:t>文化</w:t>
      </w:r>
      <w:r w:rsidR="00521F74">
        <w:rPr>
          <w:rFonts w:hint="eastAsia"/>
        </w:rPr>
        <w:t>產業發展</w:t>
      </w:r>
      <w:r w:rsidRPr="00727283">
        <w:rPr>
          <w:rFonts w:hint="eastAsia"/>
        </w:rPr>
        <w:t>-03客家綠色產業永續創新發展計畫」</w:t>
      </w:r>
      <w:r w:rsidR="004D3DB2">
        <w:rPr>
          <w:rFonts w:hint="eastAsia"/>
        </w:rPr>
        <w:t>項下</w:t>
      </w:r>
      <w:r w:rsidRPr="00727283">
        <w:rPr>
          <w:rFonts w:hint="eastAsia"/>
        </w:rPr>
        <w:t>編列「客家幣計畫」業務費1,350萬元及獎補助費7,445萬元，共計8,795萬元。「客家幣計畫」</w:t>
      </w:r>
      <w:r w:rsidRPr="00727283">
        <w:t>係客委會結合數發部及中央銀行</w:t>
      </w:r>
      <w:r w:rsidRPr="00727283">
        <w:rPr>
          <w:rFonts w:hint="eastAsia"/>
        </w:rPr>
        <w:t>等機關</w:t>
      </w:r>
      <w:r w:rsidRPr="00727283">
        <w:t>跨部會合作之創新措施，透過數位化工具推動客語傳承與客庄經濟活絡，</w:t>
      </w:r>
      <w:r w:rsidRPr="00727283">
        <w:rPr>
          <w:rFonts w:hint="eastAsia"/>
        </w:rPr>
        <w:t>自114年8月1日</w:t>
      </w:r>
      <w:r w:rsidRPr="00727283">
        <w:rPr>
          <w:rFonts w:hint="eastAsia"/>
        </w:rPr>
        <w:lastRenderedPageBreak/>
        <w:t>推動至114年9月底止，兌償數</w:t>
      </w:r>
      <w:r w:rsidRPr="00727283">
        <w:t>及</w:t>
      </w:r>
      <w:r w:rsidRPr="00727283">
        <w:rPr>
          <w:rFonts w:hint="eastAsia"/>
        </w:rPr>
        <w:t>帶動</w:t>
      </w:r>
      <w:r w:rsidRPr="00727283">
        <w:t>人流數</w:t>
      </w:r>
      <w:r w:rsidRPr="00727283">
        <w:rPr>
          <w:rFonts w:hint="eastAsia"/>
        </w:rPr>
        <w:t>尚</w:t>
      </w:r>
      <w:r w:rsidRPr="00727283">
        <w:t>符合階段性目標，惟仍存在民眾登記及領取流程不順暢之情形。後續</w:t>
      </w:r>
      <w:r w:rsidRPr="00727283">
        <w:rPr>
          <w:rFonts w:hint="eastAsia"/>
        </w:rPr>
        <w:t>允</w:t>
      </w:r>
      <w:r w:rsidRPr="00727283">
        <w:t>宜持續檢討並優化系統介面與操作流程，強化跨機關協作及宣導推廣，以提升民眾參與便利性與整體政策效益，進而深化客家文化</w:t>
      </w:r>
      <w:r w:rsidRPr="00727283">
        <w:rPr>
          <w:rFonts w:hint="eastAsia"/>
        </w:rPr>
        <w:t>體驗</w:t>
      </w:r>
      <w:r w:rsidRPr="00727283">
        <w:t>之推動成果</w:t>
      </w:r>
      <w:r w:rsidRPr="00727283">
        <w:rPr>
          <w:rFonts w:hint="eastAsia"/>
        </w:rPr>
        <w:t>。</w:t>
      </w:r>
    </w:p>
    <w:bookmarkEnd w:id="1"/>
    <w:bookmarkEnd w:id="2"/>
    <w:bookmarkEnd w:id="3"/>
    <w:bookmarkEnd w:id="4"/>
    <w:bookmarkEnd w:id="5"/>
    <w:bookmarkEnd w:id="6"/>
    <w:bookmarkEnd w:id="7"/>
    <w:bookmarkEnd w:id="8"/>
    <w:sectPr w:rsidR="00485EBC"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New Gulim">
    <w:altName w:val="Batang"/>
    <w:charset w:val="81"/>
    <w:family w:val="roman"/>
    <w:pitch w:val="variable"/>
    <w:sig w:usb0="00000000" w:usb1="7FD77CFB" w:usb2="00000030" w:usb3="00000000" w:csb0="0008009F" w:csb1="00000000"/>
  </w:font>
  <w:font w:name="新細明體-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5C60AE" w:rsidRPr="005C60AE">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0A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9C847F0F-5CDE-4019-A954-34005E983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7ABD6-2035-42C2-8792-61B3873FC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232</Words>
  <Characters>1328</Characters>
  <Application>Microsoft Office Word</Application>
  <DocSecurity>0</DocSecurity>
  <Lines>11</Lines>
  <Paragraphs>3</Paragraphs>
  <ScaleCrop>false</ScaleCrop>
  <Company/>
  <LinksUpToDate>false</LinksUpToDate>
  <CharactersWithSpaces>1557</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2025-11-25T08:25:00Z</dcterms:created>
  <dcterms:modified xsi:type="dcterms:W3CDTF">2025-11-25T08:25:00Z</dcterms:modified>
</cp:coreProperties>
</file>