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B83F75" w:rsidRPr="00581686" w:rsidRDefault="00B83F75" w:rsidP="00702881">
      <w:pPr>
        <w:pStyle w:val="14"/>
        <w:ind w:left="567" w:hanging="567"/>
      </w:pPr>
      <w:bookmarkStart w:id="3" w:name="_Toc368831707"/>
      <w:bookmarkStart w:id="4" w:name="_Toc464138609"/>
      <w:bookmarkStart w:id="5" w:name="_Toc213761670"/>
      <w:bookmarkEnd w:id="1"/>
      <w:bookmarkEnd w:id="2"/>
      <w:r>
        <w:rPr>
          <w:rFonts w:hint="eastAsia"/>
        </w:rPr>
        <w:t>九</w:t>
      </w:r>
      <w:r w:rsidRPr="00581686">
        <w:rPr>
          <w:rFonts w:hint="eastAsia"/>
        </w:rPr>
        <w:t>、職業工會及漁會對投保對象資格與投保薪資審核</w:t>
      </w:r>
      <w:r>
        <w:rPr>
          <w:rFonts w:hint="eastAsia"/>
        </w:rPr>
        <w:t>等作業</w:t>
      </w:r>
      <w:r w:rsidRPr="00581686">
        <w:rPr>
          <w:rFonts w:hint="eastAsia"/>
        </w:rPr>
        <w:t>尚有改善空間，允宜加強查核與輔導改善</w:t>
      </w:r>
      <w:r w:rsidRPr="00E430C9">
        <w:rPr>
          <w:rFonts w:hint="eastAsia"/>
        </w:rPr>
        <w:t>，俾維勞工保險資料之正確性</w:t>
      </w:r>
      <w:bookmarkEnd w:id="5"/>
    </w:p>
    <w:p w:rsidR="00B83F75" w:rsidRPr="009F53F0" w:rsidRDefault="00B83F75" w:rsidP="003811C3">
      <w:pPr>
        <w:ind w:left="566" w:firstLine="566"/>
      </w:pPr>
      <w:r w:rsidRPr="009F53F0">
        <w:rPr>
          <w:rFonts w:hint="eastAsia"/>
        </w:rPr>
        <w:t>勞保局115年度預算案「保險業務-保費業務」下編列獎補助費3億4</w:t>
      </w:r>
      <w:r w:rsidRPr="009F53F0">
        <w:t>,</w:t>
      </w:r>
      <w:r w:rsidRPr="009F53F0">
        <w:rPr>
          <w:rFonts w:hint="eastAsia"/>
        </w:rPr>
        <w:t>620萬7千元，補助職業工會及漁會等單位辦理勞工保險</w:t>
      </w:r>
      <w:r w:rsidRPr="00877D8A">
        <w:rPr>
          <w:rFonts w:hint="eastAsia"/>
          <w:snapToGrid/>
        </w:rPr>
        <w:t>（以下簡稱勞保）</w:t>
      </w:r>
      <w:r w:rsidRPr="009F53F0">
        <w:rPr>
          <w:rFonts w:hint="eastAsia"/>
        </w:rPr>
        <w:t>及勞工職業災害保險(以下簡稱災保)業務所需費用。經查：</w:t>
      </w:r>
    </w:p>
    <w:p w:rsidR="00B83F75" w:rsidRPr="006C6309" w:rsidRDefault="00B83F75" w:rsidP="008B6B38">
      <w:pPr>
        <w:pStyle w:val="aff8"/>
        <w:ind w:left="849" w:hanging="283"/>
        <w:rPr>
          <w:b/>
        </w:rPr>
      </w:pPr>
      <w:r w:rsidRPr="006C6309">
        <w:rPr>
          <w:rFonts w:hint="eastAsia"/>
          <w:b/>
        </w:rPr>
        <w:t>(一)災保</w:t>
      </w:r>
      <w:r>
        <w:rPr>
          <w:rFonts w:hint="eastAsia"/>
          <w:b/>
        </w:rPr>
        <w:t>法</w:t>
      </w:r>
      <w:r w:rsidRPr="006C6309">
        <w:rPr>
          <w:rFonts w:hint="eastAsia"/>
          <w:b/>
        </w:rPr>
        <w:t>施行後納保範圍增加，補助職業工會、漁會</w:t>
      </w:r>
      <w:r w:rsidR="000A486F">
        <w:rPr>
          <w:rFonts w:hint="eastAsia"/>
          <w:b/>
        </w:rPr>
        <w:t>之</w:t>
      </w:r>
      <w:r w:rsidRPr="006C6309">
        <w:rPr>
          <w:rFonts w:hint="eastAsia"/>
          <w:b/>
        </w:rPr>
        <w:t>行政事務費</w:t>
      </w:r>
      <w:r w:rsidR="000A486F">
        <w:rPr>
          <w:rFonts w:hint="eastAsia"/>
          <w:b/>
        </w:rPr>
        <w:t>隨之</w:t>
      </w:r>
      <w:r w:rsidRPr="006C6309">
        <w:rPr>
          <w:rFonts w:hint="eastAsia"/>
          <w:b/>
        </w:rPr>
        <w:t>增加</w:t>
      </w:r>
    </w:p>
    <w:p w:rsidR="00B83F75" w:rsidRDefault="003D2227" w:rsidP="00AA2D4D">
      <w:pPr>
        <w:pStyle w:val="25"/>
        <w:ind w:left="850" w:firstLine="566"/>
      </w:pPr>
      <w:r>
        <w:rPr>
          <w:rFonts w:hint="eastAsia"/>
          <w:snapToGrid/>
        </w:rPr>
        <w:t>勞保局辦理</w:t>
      </w:r>
      <w:r w:rsidRPr="00877D8A">
        <w:rPr>
          <w:rFonts w:hint="eastAsia"/>
          <w:snapToGrid/>
        </w:rPr>
        <w:t>補助職業工會與漁會辦理勞工保險及</w:t>
      </w:r>
      <w:r>
        <w:rPr>
          <w:rFonts w:hint="eastAsia"/>
          <w:snapToGrid/>
        </w:rPr>
        <w:t>災</w:t>
      </w:r>
      <w:r w:rsidRPr="00877D8A">
        <w:rPr>
          <w:rFonts w:hint="eastAsia"/>
          <w:snapToGrid/>
        </w:rPr>
        <w:t>保之加、退保</w:t>
      </w:r>
      <w:r>
        <w:rPr>
          <w:rFonts w:hint="eastAsia"/>
          <w:snapToGrid/>
        </w:rPr>
        <w:t>與</w:t>
      </w:r>
      <w:r w:rsidRPr="00877D8A">
        <w:rPr>
          <w:rFonts w:hint="eastAsia"/>
          <w:snapToGrid/>
        </w:rPr>
        <w:t>催、收繳保險費等業務</w:t>
      </w:r>
      <w:r>
        <w:rPr>
          <w:rFonts w:hint="eastAsia"/>
          <w:snapToGrid/>
        </w:rPr>
        <w:t>，訂定</w:t>
      </w:r>
      <w:r w:rsidR="00B83F75" w:rsidRPr="006C6309">
        <w:rPr>
          <w:rFonts w:hint="eastAsia"/>
          <w:snapToGrid/>
        </w:rPr>
        <w:t>「職業工會漁會辦理勞工保險及勞工職業災害保險業務補助作業要點」(原名為職業工會漁會辦理勞工保險業務補助作業要點)</w:t>
      </w:r>
      <w:r w:rsidR="00B83F75">
        <w:rPr>
          <w:rFonts w:hint="eastAsia"/>
          <w:snapToGrid/>
        </w:rPr>
        <w:t>，</w:t>
      </w:r>
      <w:r w:rsidR="00B83F75" w:rsidRPr="00877D8A">
        <w:rPr>
          <w:rFonts w:hint="eastAsia"/>
          <w:snapToGrid/>
        </w:rPr>
        <w:t>以提高保險費收繳率，</w:t>
      </w:r>
      <w:r w:rsidR="00C07740">
        <w:rPr>
          <w:rFonts w:hint="eastAsia"/>
          <w:snapToGrid/>
        </w:rPr>
        <w:t>該要點</w:t>
      </w:r>
      <w:r w:rsidR="00B83F75" w:rsidRPr="006C6309">
        <w:rPr>
          <w:rFonts w:hint="eastAsia"/>
          <w:snapToGrid/>
        </w:rPr>
        <w:t>訂有補助行政事務費之條件、標準</w:t>
      </w:r>
      <w:r w:rsidR="00C07740">
        <w:rPr>
          <w:rFonts w:hint="eastAsia"/>
          <w:snapToGrid/>
        </w:rPr>
        <w:t>及</w:t>
      </w:r>
      <w:r w:rsidR="00B83F75" w:rsidRPr="006C6309">
        <w:rPr>
          <w:rFonts w:hint="eastAsia"/>
          <w:snapToGrid/>
        </w:rPr>
        <w:t>申請程序等</w:t>
      </w:r>
      <w:r w:rsidR="00C07740">
        <w:rPr>
          <w:rFonts w:hint="eastAsia"/>
          <w:snapToGrid/>
        </w:rPr>
        <w:t>之規範</w:t>
      </w:r>
      <w:r w:rsidR="00B83F75" w:rsidRPr="006C6309">
        <w:rPr>
          <w:rFonts w:hint="eastAsia"/>
          <w:snapToGrid/>
        </w:rPr>
        <w:t>，</w:t>
      </w:r>
      <w:r w:rsidR="00C07740">
        <w:rPr>
          <w:rFonts w:hint="eastAsia"/>
          <w:snapToGrid/>
        </w:rPr>
        <w:t>其</w:t>
      </w:r>
      <w:r w:rsidR="00B83F75" w:rsidRPr="006C6309">
        <w:rPr>
          <w:rFonts w:hint="eastAsia"/>
          <w:snapToGrid/>
        </w:rPr>
        <w:t>補助費率</w:t>
      </w:r>
      <w:r w:rsidR="00B83F75" w:rsidRPr="006C6309">
        <w:rPr>
          <w:rFonts w:hint="eastAsia"/>
        </w:rPr>
        <w:t>自108年1月1日起調整為每人每月12.5元；嗣配合勞工職業災害保險及保護法(以下簡稱災保法)自111年5月1日施行，將行政事務費補助金額由每人每月</w:t>
      </w:r>
      <w:r w:rsidR="00B83F75" w:rsidRPr="006C6309">
        <w:t>12.5</w:t>
      </w:r>
      <w:r w:rsidR="00B83F75" w:rsidRPr="006C6309">
        <w:rPr>
          <w:rFonts w:hint="eastAsia"/>
        </w:rPr>
        <w:t>元提高至</w:t>
      </w:r>
      <w:r w:rsidR="00B83F75" w:rsidRPr="006C6309">
        <w:t>14</w:t>
      </w:r>
      <w:r w:rsidR="00B83F75" w:rsidRPr="006C6309">
        <w:rPr>
          <w:rFonts w:hint="eastAsia"/>
        </w:rPr>
        <w:t>元，另僅參加災保者，每人每月補助</w:t>
      </w:r>
      <w:r w:rsidR="00B83F75" w:rsidRPr="006C6309">
        <w:t>3</w:t>
      </w:r>
      <w:r w:rsidR="00B83F75" w:rsidRPr="006C6309">
        <w:rPr>
          <w:rFonts w:hint="eastAsia"/>
        </w:rPr>
        <w:t>元，並同步將保險費彙繳率補助條件由</w:t>
      </w:r>
      <w:r w:rsidR="00B83F75" w:rsidRPr="006C6309">
        <w:t>93%</w:t>
      </w:r>
      <w:r w:rsidR="00B83F75" w:rsidRPr="006C6309">
        <w:rPr>
          <w:rFonts w:hint="eastAsia"/>
        </w:rPr>
        <w:t>調整為</w:t>
      </w:r>
      <w:r w:rsidR="00B83F75" w:rsidRPr="006C6309">
        <w:t>95%(</w:t>
      </w:r>
      <w:r w:rsidR="00B83F75" w:rsidRPr="006C6309">
        <w:rPr>
          <w:rFonts w:hint="eastAsia"/>
        </w:rPr>
        <w:t>網路申報者由</w:t>
      </w:r>
      <w:r w:rsidR="00B83F75" w:rsidRPr="006C6309">
        <w:t>90%</w:t>
      </w:r>
      <w:r w:rsidR="00B83F75" w:rsidRPr="006C6309">
        <w:rPr>
          <w:rFonts w:hint="eastAsia"/>
        </w:rPr>
        <w:t>調整為</w:t>
      </w:r>
      <w:r w:rsidR="00B83F75" w:rsidRPr="006C6309">
        <w:t>93%)</w:t>
      </w:r>
      <w:r w:rsidR="00387E6F">
        <w:rPr>
          <w:rFonts w:hint="eastAsia"/>
        </w:rPr>
        <w:t>。</w:t>
      </w:r>
      <w:r w:rsidR="00C07740">
        <w:rPr>
          <w:rFonts w:hint="eastAsia"/>
        </w:rPr>
        <w:t>據勞保局提供行政事務費之</w:t>
      </w:r>
      <w:r w:rsidR="00AA2D4D">
        <w:rPr>
          <w:rFonts w:hint="eastAsia"/>
        </w:rPr>
        <w:t>計費人數與核付人數</w:t>
      </w:r>
      <w:r w:rsidR="00C07740">
        <w:rPr>
          <w:rFonts w:hint="eastAsia"/>
        </w:rPr>
        <w:t>情形，</w:t>
      </w:r>
      <w:r w:rsidR="005023EA">
        <w:rPr>
          <w:rFonts w:hint="eastAsia"/>
        </w:rPr>
        <w:lastRenderedPageBreak/>
        <w:t>以</w:t>
      </w:r>
      <w:r w:rsidR="00AA2D4D">
        <w:rPr>
          <w:rFonts w:hint="eastAsia"/>
        </w:rPr>
        <w:t>112年度最高</w:t>
      </w:r>
      <w:r w:rsidR="00C07740">
        <w:rPr>
          <w:rFonts w:hint="eastAsia"/>
        </w:rPr>
        <w:t>、</w:t>
      </w:r>
      <w:r w:rsidR="00AA2D4D">
        <w:rPr>
          <w:rFonts w:hint="eastAsia"/>
        </w:rPr>
        <w:t>113年度下降</w:t>
      </w:r>
      <w:r w:rsidR="00C07740">
        <w:rPr>
          <w:rFonts w:hint="eastAsia"/>
        </w:rPr>
        <w:t>幅度約為2.5%</w:t>
      </w:r>
      <w:r w:rsidR="005023EA">
        <w:rPr>
          <w:rFonts w:hint="eastAsia"/>
        </w:rPr>
        <w:t>；補助款之</w:t>
      </w:r>
      <w:r w:rsidR="005023EA" w:rsidRPr="005023EA">
        <w:rPr>
          <w:rFonts w:hint="eastAsia"/>
        </w:rPr>
        <w:t>預算編列方式以近3</w:t>
      </w:r>
      <w:r w:rsidR="005023EA">
        <w:rPr>
          <w:rFonts w:hint="eastAsia"/>
        </w:rPr>
        <w:t>至</w:t>
      </w:r>
      <w:r w:rsidR="005023EA" w:rsidRPr="005023EA">
        <w:rPr>
          <w:rFonts w:hint="eastAsia"/>
        </w:rPr>
        <w:t>5年計費人數及核付率之平均值作為計算基礎，補助款所需經費以計費</w:t>
      </w:r>
      <w:r w:rsidR="00840129">
        <w:rPr>
          <w:rFonts w:hint="eastAsia"/>
        </w:rPr>
        <w:t>、核付</w:t>
      </w:r>
      <w:r w:rsidR="005023EA" w:rsidRPr="005023EA">
        <w:rPr>
          <w:rFonts w:hint="eastAsia"/>
        </w:rPr>
        <w:t>人數</w:t>
      </w:r>
      <w:r w:rsidR="005023EA">
        <w:rPr>
          <w:rFonts w:hint="eastAsia"/>
        </w:rPr>
        <w:t>等資訊</w:t>
      </w:r>
      <w:r w:rsidR="005023EA" w:rsidRPr="005023EA">
        <w:rPr>
          <w:rFonts w:hint="eastAsia"/>
        </w:rPr>
        <w:t>估算</w:t>
      </w:r>
      <w:r w:rsidR="005023EA">
        <w:rPr>
          <w:rFonts w:hint="eastAsia"/>
        </w:rPr>
        <w:t>，</w:t>
      </w:r>
      <w:r w:rsidR="00AA2D4D">
        <w:rPr>
          <w:rFonts w:hint="eastAsia"/>
        </w:rPr>
        <w:t>115年度</w:t>
      </w:r>
      <w:r w:rsidR="00840129">
        <w:rPr>
          <w:rFonts w:hint="eastAsia"/>
        </w:rPr>
        <w:t>預算案數</w:t>
      </w:r>
      <w:r w:rsidR="00AA2D4D">
        <w:rPr>
          <w:rFonts w:hint="eastAsia"/>
        </w:rPr>
        <w:t>3.46億元較114年度預算數減幅達6.14%</w:t>
      </w:r>
      <w:r w:rsidR="00B83F75" w:rsidRPr="006C6309">
        <w:rPr>
          <w:rFonts w:hint="eastAsia"/>
        </w:rPr>
        <w:t>(詳表1)。</w:t>
      </w:r>
    </w:p>
    <w:p w:rsidR="00B83F75" w:rsidRPr="006D52F9" w:rsidRDefault="00B83F75" w:rsidP="005907FA">
      <w:pPr>
        <w:pStyle w:val="aff8"/>
        <w:ind w:leftChars="0" w:left="850" w:hangingChars="300" w:hanging="850"/>
        <w:rPr>
          <w:rFonts w:hAnsi="標楷體" w:cs="細明體"/>
          <w:b/>
          <w:snapToGrid/>
          <w:spacing w:val="-20"/>
        </w:rPr>
      </w:pPr>
      <w:r w:rsidRPr="006D52F9">
        <w:rPr>
          <w:rFonts w:hAnsi="標楷體" w:cs="細明體" w:hint="eastAsia"/>
          <w:b/>
          <w:snapToGrid/>
        </w:rPr>
        <w:t xml:space="preserve">表1  </w:t>
      </w:r>
      <w:r w:rsidRPr="006D52F9">
        <w:rPr>
          <w:rFonts w:hAnsi="標楷體" w:cs="細明體" w:hint="eastAsia"/>
          <w:b/>
          <w:snapToGrid/>
          <w:spacing w:val="-10"/>
        </w:rPr>
        <w:t>109</w:t>
      </w:r>
      <w:r>
        <w:rPr>
          <w:rFonts w:hAnsi="標楷體" w:cs="細明體" w:hint="eastAsia"/>
          <w:b/>
          <w:snapToGrid/>
          <w:spacing w:val="-10"/>
        </w:rPr>
        <w:t>至</w:t>
      </w:r>
      <w:r w:rsidRPr="006D52F9">
        <w:rPr>
          <w:rFonts w:hAnsi="標楷體" w:cs="細明體" w:hint="eastAsia"/>
          <w:b/>
          <w:snapToGrid/>
          <w:spacing w:val="-10"/>
        </w:rPr>
        <w:t>115年度勞保局補助職業工、漁會行政事務費預算執行明細</w:t>
      </w:r>
      <w:r w:rsidRPr="006D52F9">
        <w:rPr>
          <w:rFonts w:hAnsi="標楷體" w:cs="細明體" w:hint="eastAsia"/>
          <w:b/>
          <w:snapToGrid/>
          <w:spacing w:val="-20"/>
        </w:rPr>
        <w:t>表</w:t>
      </w:r>
    </w:p>
    <w:p w:rsidR="00B83F75" w:rsidRPr="006D52F9" w:rsidRDefault="00B83F75" w:rsidP="005907FA">
      <w:pPr>
        <w:pStyle w:val="146"/>
        <w:jc w:val="right"/>
        <w:rPr>
          <w:snapToGrid/>
        </w:rPr>
      </w:pPr>
      <w:r w:rsidRPr="006D52F9">
        <w:rPr>
          <w:rFonts w:hint="eastAsia"/>
          <w:snapToGrid/>
        </w:rPr>
        <w:t>單位：新臺幣千元；人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51"/>
        <w:gridCol w:w="1913"/>
        <w:gridCol w:w="1914"/>
        <w:gridCol w:w="1913"/>
        <w:gridCol w:w="1914"/>
      </w:tblGrid>
      <w:tr w:rsidR="00B83F75" w:rsidRPr="006D52F9" w:rsidTr="006D52F9">
        <w:trPr>
          <w:tblHeader/>
        </w:trPr>
        <w:tc>
          <w:tcPr>
            <w:tcW w:w="851" w:type="dxa"/>
          </w:tcPr>
          <w:p w:rsidR="00B83F75" w:rsidRPr="006D52F9" w:rsidRDefault="00B83F75" w:rsidP="006D52F9">
            <w:pPr>
              <w:pStyle w:val="146"/>
              <w:jc w:val="center"/>
              <w:rPr>
                <w:b/>
                <w:bCs/>
              </w:rPr>
            </w:pPr>
            <w:r w:rsidRPr="006D52F9">
              <w:rPr>
                <w:rFonts w:hint="eastAsia"/>
                <w:b/>
                <w:bCs/>
              </w:rPr>
              <w:t>年度</w:t>
            </w:r>
          </w:p>
        </w:tc>
        <w:tc>
          <w:tcPr>
            <w:tcW w:w="1913" w:type="dxa"/>
          </w:tcPr>
          <w:p w:rsidR="00B83F75" w:rsidRPr="006D52F9" w:rsidRDefault="00B83F75" w:rsidP="006D52F9">
            <w:pPr>
              <w:pStyle w:val="146"/>
              <w:jc w:val="center"/>
              <w:rPr>
                <w:rFonts w:hint="eastAsia"/>
                <w:b/>
                <w:bCs/>
              </w:rPr>
            </w:pPr>
            <w:r w:rsidRPr="006D52F9">
              <w:rPr>
                <w:rFonts w:hint="eastAsia"/>
                <w:b/>
                <w:bCs/>
              </w:rPr>
              <w:t>預算數</w:t>
            </w:r>
          </w:p>
        </w:tc>
        <w:tc>
          <w:tcPr>
            <w:tcW w:w="1914" w:type="dxa"/>
          </w:tcPr>
          <w:p w:rsidR="00B83F75" w:rsidRPr="006D52F9" w:rsidRDefault="00B83F75" w:rsidP="006D52F9">
            <w:pPr>
              <w:pStyle w:val="146"/>
              <w:jc w:val="center"/>
              <w:rPr>
                <w:b/>
                <w:bCs/>
              </w:rPr>
            </w:pPr>
            <w:r w:rsidRPr="006D52F9">
              <w:rPr>
                <w:rFonts w:hint="eastAsia"/>
                <w:b/>
                <w:bCs/>
              </w:rPr>
              <w:t>決算數</w:t>
            </w:r>
          </w:p>
        </w:tc>
        <w:tc>
          <w:tcPr>
            <w:tcW w:w="1913" w:type="dxa"/>
          </w:tcPr>
          <w:p w:rsidR="00B83F75" w:rsidRPr="006D52F9" w:rsidRDefault="00B83F75" w:rsidP="006D52F9">
            <w:pPr>
              <w:pStyle w:val="146"/>
              <w:jc w:val="center"/>
              <w:rPr>
                <w:b/>
                <w:bCs/>
              </w:rPr>
            </w:pPr>
            <w:r w:rsidRPr="006D52F9">
              <w:rPr>
                <w:rFonts w:hint="eastAsia"/>
                <w:b/>
                <w:bCs/>
              </w:rPr>
              <w:t>計費人數</w:t>
            </w:r>
          </w:p>
        </w:tc>
        <w:tc>
          <w:tcPr>
            <w:tcW w:w="1914" w:type="dxa"/>
          </w:tcPr>
          <w:p w:rsidR="00B83F75" w:rsidRPr="006D52F9" w:rsidRDefault="00B83F75" w:rsidP="006D52F9">
            <w:pPr>
              <w:pStyle w:val="146"/>
              <w:jc w:val="center"/>
              <w:rPr>
                <w:b/>
                <w:bCs/>
              </w:rPr>
            </w:pPr>
            <w:r w:rsidRPr="006D52F9">
              <w:rPr>
                <w:rFonts w:hint="eastAsia"/>
                <w:b/>
                <w:bCs/>
              </w:rPr>
              <w:t xml:space="preserve">核付人數                                                                               </w:t>
            </w:r>
          </w:p>
        </w:tc>
      </w:tr>
      <w:tr w:rsidR="00B83F75" w:rsidRPr="00D05B53" w:rsidTr="006D52F9">
        <w:trPr>
          <w:tblHeader/>
        </w:trPr>
        <w:tc>
          <w:tcPr>
            <w:tcW w:w="851" w:type="dxa"/>
          </w:tcPr>
          <w:p w:rsidR="00B83F75" w:rsidRPr="00D05B53" w:rsidRDefault="00B83F75" w:rsidP="006D52F9">
            <w:pPr>
              <w:pStyle w:val="146"/>
              <w:jc w:val="center"/>
              <w:rPr>
                <w:color w:val="FF0000"/>
              </w:rPr>
            </w:pPr>
            <w:r w:rsidRPr="00041E5B">
              <w:t>109</w:t>
            </w:r>
          </w:p>
        </w:tc>
        <w:tc>
          <w:tcPr>
            <w:tcW w:w="1913" w:type="dxa"/>
          </w:tcPr>
          <w:p w:rsidR="00B83F75" w:rsidRPr="006D52F9" w:rsidRDefault="00B83F75" w:rsidP="006D52F9">
            <w:pPr>
              <w:pStyle w:val="146"/>
              <w:jc w:val="right"/>
              <w:rPr>
                <w:rFonts w:hint="eastAsia"/>
              </w:rPr>
            </w:pPr>
            <w:r w:rsidRPr="006D52F9">
              <w:t>321,000</w:t>
            </w:r>
          </w:p>
        </w:tc>
        <w:tc>
          <w:tcPr>
            <w:tcW w:w="1914" w:type="dxa"/>
          </w:tcPr>
          <w:p w:rsidR="00B83F75" w:rsidRPr="006D52F9" w:rsidRDefault="00B83F75" w:rsidP="006D52F9">
            <w:pPr>
              <w:pStyle w:val="146"/>
              <w:jc w:val="right"/>
            </w:pPr>
            <w:r w:rsidRPr="006D52F9">
              <w:t>331,135</w:t>
            </w:r>
          </w:p>
        </w:tc>
        <w:tc>
          <w:tcPr>
            <w:tcW w:w="1913" w:type="dxa"/>
          </w:tcPr>
          <w:p w:rsidR="00B83F75" w:rsidRPr="006D52F9" w:rsidRDefault="00B83F75" w:rsidP="006D52F9">
            <w:pPr>
              <w:pStyle w:val="146"/>
              <w:jc w:val="right"/>
            </w:pPr>
            <w:r w:rsidRPr="006D52F9">
              <w:t>27,857,717</w:t>
            </w:r>
          </w:p>
        </w:tc>
        <w:tc>
          <w:tcPr>
            <w:tcW w:w="1914" w:type="dxa"/>
          </w:tcPr>
          <w:p w:rsidR="00B83F75" w:rsidRPr="006D52F9" w:rsidRDefault="00B83F75" w:rsidP="006D52F9">
            <w:pPr>
              <w:pStyle w:val="146"/>
              <w:jc w:val="right"/>
            </w:pPr>
            <w:r w:rsidRPr="006D52F9">
              <w:t>26,604,327</w:t>
            </w:r>
          </w:p>
        </w:tc>
      </w:tr>
      <w:tr w:rsidR="00B83F75" w:rsidRPr="00D05B53" w:rsidTr="006D52F9">
        <w:trPr>
          <w:trHeight w:val="50"/>
        </w:trPr>
        <w:tc>
          <w:tcPr>
            <w:tcW w:w="851" w:type="dxa"/>
          </w:tcPr>
          <w:p w:rsidR="00B83F75" w:rsidRPr="00D05B53" w:rsidRDefault="00B83F75" w:rsidP="006D52F9">
            <w:pPr>
              <w:pStyle w:val="146"/>
              <w:jc w:val="center"/>
              <w:rPr>
                <w:color w:val="FF0000"/>
              </w:rPr>
            </w:pPr>
            <w:r w:rsidRPr="00041E5B">
              <w:t>110</w:t>
            </w:r>
          </w:p>
        </w:tc>
        <w:tc>
          <w:tcPr>
            <w:tcW w:w="1913" w:type="dxa"/>
          </w:tcPr>
          <w:p w:rsidR="00B83F75" w:rsidRPr="006D52F9" w:rsidRDefault="00B83F75" w:rsidP="006D52F9">
            <w:pPr>
              <w:pStyle w:val="146"/>
              <w:jc w:val="right"/>
            </w:pPr>
            <w:r w:rsidRPr="006D52F9">
              <w:t>324,000</w:t>
            </w:r>
          </w:p>
        </w:tc>
        <w:tc>
          <w:tcPr>
            <w:tcW w:w="1914" w:type="dxa"/>
          </w:tcPr>
          <w:p w:rsidR="00B83F75" w:rsidRPr="006D52F9" w:rsidRDefault="00B83F75" w:rsidP="006D52F9">
            <w:pPr>
              <w:pStyle w:val="146"/>
              <w:jc w:val="right"/>
            </w:pPr>
            <w:r w:rsidRPr="006D52F9">
              <w:t>326,768</w:t>
            </w:r>
          </w:p>
        </w:tc>
        <w:tc>
          <w:tcPr>
            <w:tcW w:w="1913" w:type="dxa"/>
          </w:tcPr>
          <w:p w:rsidR="00B83F75" w:rsidRPr="006D52F9" w:rsidRDefault="00B83F75" w:rsidP="006D52F9">
            <w:pPr>
              <w:pStyle w:val="146"/>
              <w:jc w:val="right"/>
            </w:pPr>
            <w:r w:rsidRPr="006D52F9">
              <w:t>27,827,998</w:t>
            </w:r>
          </w:p>
        </w:tc>
        <w:tc>
          <w:tcPr>
            <w:tcW w:w="1914" w:type="dxa"/>
          </w:tcPr>
          <w:p w:rsidR="00B83F75" w:rsidRPr="006D52F9" w:rsidRDefault="00B83F75" w:rsidP="006D52F9">
            <w:pPr>
              <w:pStyle w:val="146"/>
              <w:jc w:val="right"/>
            </w:pPr>
            <w:r w:rsidRPr="006D52F9">
              <w:t>26,487,848</w:t>
            </w:r>
          </w:p>
        </w:tc>
      </w:tr>
      <w:tr w:rsidR="00B83F75" w:rsidRPr="00D05B53" w:rsidTr="006D52F9">
        <w:trPr>
          <w:trHeight w:val="87"/>
        </w:trPr>
        <w:tc>
          <w:tcPr>
            <w:tcW w:w="851" w:type="dxa"/>
          </w:tcPr>
          <w:p w:rsidR="00B83F75" w:rsidRPr="00692051" w:rsidRDefault="00B83F75" w:rsidP="006D52F9">
            <w:pPr>
              <w:pStyle w:val="146"/>
              <w:jc w:val="center"/>
              <w:rPr>
                <w:color w:val="FF0000"/>
                <w:spacing w:val="-20"/>
                <w:sz w:val="22"/>
                <w:szCs w:val="24"/>
              </w:rPr>
            </w:pPr>
            <w:r w:rsidRPr="00041E5B">
              <w:t>111</w:t>
            </w:r>
          </w:p>
        </w:tc>
        <w:tc>
          <w:tcPr>
            <w:tcW w:w="1913" w:type="dxa"/>
          </w:tcPr>
          <w:p w:rsidR="00B83F75" w:rsidRPr="006D52F9" w:rsidRDefault="00B83F75" w:rsidP="006D52F9">
            <w:pPr>
              <w:pStyle w:val="146"/>
              <w:jc w:val="right"/>
            </w:pPr>
            <w:r w:rsidRPr="006D52F9">
              <w:t>301,150</w:t>
            </w:r>
          </w:p>
        </w:tc>
        <w:tc>
          <w:tcPr>
            <w:tcW w:w="1914" w:type="dxa"/>
          </w:tcPr>
          <w:p w:rsidR="00B83F75" w:rsidRPr="006D52F9" w:rsidRDefault="00B83F75" w:rsidP="006D52F9">
            <w:pPr>
              <w:pStyle w:val="146"/>
              <w:jc w:val="right"/>
            </w:pPr>
            <w:r w:rsidRPr="006D52F9">
              <w:t>338,150</w:t>
            </w:r>
          </w:p>
        </w:tc>
        <w:tc>
          <w:tcPr>
            <w:tcW w:w="1913" w:type="dxa"/>
          </w:tcPr>
          <w:p w:rsidR="00B83F75" w:rsidRPr="006D52F9" w:rsidRDefault="00B83F75" w:rsidP="006D52F9">
            <w:pPr>
              <w:pStyle w:val="146"/>
              <w:jc w:val="right"/>
            </w:pPr>
            <w:r w:rsidRPr="006D52F9">
              <w:t>28,344,945</w:t>
            </w:r>
          </w:p>
        </w:tc>
        <w:tc>
          <w:tcPr>
            <w:tcW w:w="1914" w:type="dxa"/>
          </w:tcPr>
          <w:p w:rsidR="00B83F75" w:rsidRPr="006D52F9" w:rsidRDefault="00B83F75" w:rsidP="006D52F9">
            <w:pPr>
              <w:pStyle w:val="146"/>
              <w:jc w:val="right"/>
            </w:pPr>
            <w:r w:rsidRPr="006D52F9">
              <w:t>27,222,614</w:t>
            </w:r>
          </w:p>
        </w:tc>
      </w:tr>
      <w:tr w:rsidR="00B83F75" w:rsidRPr="00D05B53" w:rsidTr="006D52F9">
        <w:trPr>
          <w:trHeight w:val="87"/>
        </w:trPr>
        <w:tc>
          <w:tcPr>
            <w:tcW w:w="851" w:type="dxa"/>
          </w:tcPr>
          <w:p w:rsidR="00B83F75" w:rsidRPr="00692051" w:rsidRDefault="00B83F75" w:rsidP="006D52F9">
            <w:pPr>
              <w:pStyle w:val="146"/>
              <w:jc w:val="center"/>
              <w:rPr>
                <w:rFonts w:hint="eastAsia"/>
                <w:color w:val="FF0000"/>
                <w:spacing w:val="-20"/>
                <w:sz w:val="22"/>
                <w:szCs w:val="24"/>
              </w:rPr>
            </w:pPr>
            <w:r w:rsidRPr="00041E5B">
              <w:t>112</w:t>
            </w:r>
          </w:p>
        </w:tc>
        <w:tc>
          <w:tcPr>
            <w:tcW w:w="1913" w:type="dxa"/>
          </w:tcPr>
          <w:p w:rsidR="00B83F75" w:rsidRPr="006D52F9" w:rsidRDefault="00B83F75" w:rsidP="006D52F9">
            <w:pPr>
              <w:pStyle w:val="146"/>
              <w:jc w:val="right"/>
            </w:pPr>
            <w:r w:rsidRPr="006D52F9">
              <w:t>405,614</w:t>
            </w:r>
          </w:p>
        </w:tc>
        <w:tc>
          <w:tcPr>
            <w:tcW w:w="1914" w:type="dxa"/>
          </w:tcPr>
          <w:p w:rsidR="00B83F75" w:rsidRPr="006D52F9" w:rsidRDefault="00B83F75" w:rsidP="006D52F9">
            <w:pPr>
              <w:pStyle w:val="146"/>
              <w:jc w:val="right"/>
            </w:pPr>
            <w:r w:rsidRPr="006D52F9">
              <w:t>397,651</w:t>
            </w:r>
          </w:p>
        </w:tc>
        <w:tc>
          <w:tcPr>
            <w:tcW w:w="1913" w:type="dxa"/>
          </w:tcPr>
          <w:p w:rsidR="00B83F75" w:rsidRPr="006D52F9" w:rsidRDefault="00B83F75" w:rsidP="006D52F9">
            <w:pPr>
              <w:pStyle w:val="146"/>
              <w:jc w:val="right"/>
            </w:pPr>
            <w:r w:rsidRPr="006D52F9">
              <w:t>28,417,387</w:t>
            </w:r>
          </w:p>
        </w:tc>
        <w:tc>
          <w:tcPr>
            <w:tcW w:w="1914" w:type="dxa"/>
          </w:tcPr>
          <w:p w:rsidR="00B83F75" w:rsidRPr="006D52F9" w:rsidRDefault="00B83F75" w:rsidP="006D52F9">
            <w:pPr>
              <w:pStyle w:val="146"/>
              <w:jc w:val="right"/>
            </w:pPr>
            <w:r w:rsidRPr="006D52F9">
              <w:t>27,231,148</w:t>
            </w:r>
          </w:p>
        </w:tc>
      </w:tr>
      <w:tr w:rsidR="00B83F75" w:rsidRPr="00D05B53" w:rsidTr="006D52F9">
        <w:trPr>
          <w:trHeight w:val="87"/>
        </w:trPr>
        <w:tc>
          <w:tcPr>
            <w:tcW w:w="851" w:type="dxa"/>
          </w:tcPr>
          <w:p w:rsidR="00B83F75" w:rsidRPr="00D05B53" w:rsidRDefault="00B83F75" w:rsidP="006D52F9">
            <w:pPr>
              <w:pStyle w:val="146"/>
              <w:jc w:val="center"/>
              <w:rPr>
                <w:rFonts w:hint="eastAsia"/>
                <w:color w:val="FF0000"/>
              </w:rPr>
            </w:pPr>
            <w:r w:rsidRPr="00041E5B">
              <w:t>113</w:t>
            </w:r>
          </w:p>
        </w:tc>
        <w:tc>
          <w:tcPr>
            <w:tcW w:w="1913" w:type="dxa"/>
          </w:tcPr>
          <w:p w:rsidR="00B83F75" w:rsidRPr="006D52F9" w:rsidRDefault="00B83F75" w:rsidP="006D52F9">
            <w:pPr>
              <w:pStyle w:val="146"/>
              <w:jc w:val="right"/>
            </w:pPr>
            <w:r w:rsidRPr="006D52F9">
              <w:t>351,674</w:t>
            </w:r>
          </w:p>
        </w:tc>
        <w:tc>
          <w:tcPr>
            <w:tcW w:w="1914" w:type="dxa"/>
          </w:tcPr>
          <w:p w:rsidR="00B83F75" w:rsidRPr="006D52F9" w:rsidRDefault="00B83F75" w:rsidP="006D52F9">
            <w:pPr>
              <w:pStyle w:val="146"/>
              <w:jc w:val="right"/>
            </w:pPr>
            <w:r w:rsidRPr="006D52F9">
              <w:t>353,374</w:t>
            </w:r>
          </w:p>
        </w:tc>
        <w:tc>
          <w:tcPr>
            <w:tcW w:w="1913" w:type="dxa"/>
          </w:tcPr>
          <w:p w:rsidR="00B83F75" w:rsidRPr="006D52F9" w:rsidRDefault="00B83F75" w:rsidP="006D52F9">
            <w:pPr>
              <w:pStyle w:val="146"/>
              <w:jc w:val="right"/>
            </w:pPr>
            <w:r w:rsidRPr="006D52F9">
              <w:t>27,696,710</w:t>
            </w:r>
          </w:p>
        </w:tc>
        <w:tc>
          <w:tcPr>
            <w:tcW w:w="1914" w:type="dxa"/>
          </w:tcPr>
          <w:p w:rsidR="00B83F75" w:rsidRPr="006D52F9" w:rsidRDefault="00B83F75" w:rsidP="006D52F9">
            <w:pPr>
              <w:pStyle w:val="146"/>
              <w:jc w:val="right"/>
            </w:pPr>
            <w:r w:rsidRPr="006D52F9">
              <w:t>26,543,623</w:t>
            </w:r>
          </w:p>
        </w:tc>
      </w:tr>
      <w:tr w:rsidR="00B83F75" w:rsidRPr="00D05B53" w:rsidTr="006D52F9">
        <w:trPr>
          <w:trHeight w:val="87"/>
        </w:trPr>
        <w:tc>
          <w:tcPr>
            <w:tcW w:w="851" w:type="dxa"/>
          </w:tcPr>
          <w:p w:rsidR="00B83F75" w:rsidRPr="000E166D" w:rsidRDefault="00B83F75" w:rsidP="006D52F9">
            <w:pPr>
              <w:pStyle w:val="146"/>
              <w:jc w:val="center"/>
              <w:rPr>
                <w:rFonts w:hint="eastAsia"/>
              </w:rPr>
            </w:pPr>
            <w:r w:rsidRPr="00041E5B">
              <w:t>114</w:t>
            </w:r>
          </w:p>
        </w:tc>
        <w:tc>
          <w:tcPr>
            <w:tcW w:w="1913" w:type="dxa"/>
          </w:tcPr>
          <w:p w:rsidR="00B83F75" w:rsidRPr="006D52F9" w:rsidRDefault="00B83F75" w:rsidP="006D52F9">
            <w:pPr>
              <w:pStyle w:val="146"/>
              <w:jc w:val="right"/>
              <w:rPr>
                <w:rFonts w:hint="eastAsia"/>
              </w:rPr>
            </w:pPr>
            <w:r w:rsidRPr="006D52F9">
              <w:t>368,851</w:t>
            </w:r>
          </w:p>
        </w:tc>
        <w:tc>
          <w:tcPr>
            <w:tcW w:w="1914" w:type="dxa"/>
          </w:tcPr>
          <w:p w:rsidR="00B83F75" w:rsidRPr="006D52F9" w:rsidRDefault="00B83F75" w:rsidP="006D52F9">
            <w:pPr>
              <w:pStyle w:val="146"/>
              <w:jc w:val="right"/>
              <w:rPr>
                <w:rFonts w:hint="eastAsia"/>
              </w:rPr>
            </w:pPr>
            <w:r w:rsidRPr="006D52F9">
              <w:t>188,576</w:t>
            </w:r>
          </w:p>
        </w:tc>
        <w:tc>
          <w:tcPr>
            <w:tcW w:w="1913" w:type="dxa"/>
          </w:tcPr>
          <w:p w:rsidR="00B83F75" w:rsidRPr="006D52F9" w:rsidRDefault="00B83F75" w:rsidP="006D52F9">
            <w:pPr>
              <w:pStyle w:val="146"/>
              <w:jc w:val="right"/>
              <w:rPr>
                <w:rFonts w:hint="eastAsia"/>
              </w:rPr>
            </w:pPr>
            <w:r w:rsidRPr="006D52F9">
              <w:t>15,859,960</w:t>
            </w:r>
          </w:p>
        </w:tc>
        <w:tc>
          <w:tcPr>
            <w:tcW w:w="1914" w:type="dxa"/>
          </w:tcPr>
          <w:p w:rsidR="00B83F75" w:rsidRPr="006D52F9" w:rsidRDefault="00B83F75" w:rsidP="006D52F9">
            <w:pPr>
              <w:pStyle w:val="146"/>
              <w:jc w:val="right"/>
              <w:rPr>
                <w:rFonts w:hint="eastAsia"/>
              </w:rPr>
            </w:pPr>
            <w:r w:rsidRPr="006D52F9">
              <w:t>13,754,977</w:t>
            </w:r>
          </w:p>
        </w:tc>
      </w:tr>
      <w:tr w:rsidR="00B83F75" w:rsidRPr="00D05B53" w:rsidTr="006D52F9">
        <w:trPr>
          <w:trHeight w:val="87"/>
        </w:trPr>
        <w:tc>
          <w:tcPr>
            <w:tcW w:w="851" w:type="dxa"/>
          </w:tcPr>
          <w:p w:rsidR="00B83F75" w:rsidRPr="000E166D" w:rsidRDefault="00B83F75" w:rsidP="006D52F9">
            <w:pPr>
              <w:pStyle w:val="146"/>
              <w:jc w:val="center"/>
              <w:rPr>
                <w:rFonts w:hint="eastAsia"/>
              </w:rPr>
            </w:pPr>
            <w:r w:rsidRPr="00041E5B">
              <w:t>115</w:t>
            </w:r>
          </w:p>
        </w:tc>
        <w:tc>
          <w:tcPr>
            <w:tcW w:w="1913" w:type="dxa"/>
          </w:tcPr>
          <w:p w:rsidR="00B83F75" w:rsidRPr="006D52F9" w:rsidRDefault="00B83F75" w:rsidP="006D52F9">
            <w:pPr>
              <w:pStyle w:val="146"/>
              <w:jc w:val="right"/>
              <w:rPr>
                <w:rFonts w:hint="eastAsia"/>
              </w:rPr>
            </w:pPr>
            <w:r w:rsidRPr="006D52F9">
              <w:t>346,207</w:t>
            </w:r>
          </w:p>
        </w:tc>
        <w:tc>
          <w:tcPr>
            <w:tcW w:w="1914" w:type="dxa"/>
          </w:tcPr>
          <w:p w:rsidR="00B83F75" w:rsidRPr="006D52F9" w:rsidRDefault="00B83F75" w:rsidP="006D52F9">
            <w:pPr>
              <w:pStyle w:val="146"/>
              <w:jc w:val="right"/>
              <w:rPr>
                <w:rFonts w:hint="eastAsia"/>
              </w:rPr>
            </w:pPr>
            <w:r w:rsidRPr="006D52F9">
              <w:t>-</w:t>
            </w:r>
          </w:p>
        </w:tc>
        <w:tc>
          <w:tcPr>
            <w:tcW w:w="1913" w:type="dxa"/>
          </w:tcPr>
          <w:p w:rsidR="00B83F75" w:rsidRPr="006D52F9" w:rsidRDefault="00B83F75" w:rsidP="006D52F9">
            <w:pPr>
              <w:pStyle w:val="146"/>
              <w:jc w:val="right"/>
              <w:rPr>
                <w:rFonts w:hint="eastAsia"/>
              </w:rPr>
            </w:pPr>
            <w:r w:rsidRPr="006D52F9">
              <w:t>-</w:t>
            </w:r>
          </w:p>
        </w:tc>
        <w:tc>
          <w:tcPr>
            <w:tcW w:w="1914" w:type="dxa"/>
          </w:tcPr>
          <w:p w:rsidR="00B83F75" w:rsidRPr="006D52F9" w:rsidRDefault="00B83F75" w:rsidP="006D52F9">
            <w:pPr>
              <w:pStyle w:val="146"/>
              <w:jc w:val="right"/>
              <w:rPr>
                <w:rFonts w:hint="eastAsia"/>
              </w:rPr>
            </w:pPr>
            <w:r w:rsidRPr="006D52F9">
              <w:t>-</w:t>
            </w:r>
          </w:p>
        </w:tc>
      </w:tr>
    </w:tbl>
    <w:p w:rsidR="00B83F75" w:rsidRPr="006D52F9" w:rsidRDefault="00B83F75" w:rsidP="008208AB">
      <w:pPr>
        <w:pStyle w:val="146"/>
        <w:ind w:left="1418" w:hangingChars="583" w:hanging="1418"/>
        <w:rPr>
          <w:snapToGrid/>
        </w:rPr>
      </w:pPr>
      <w:r w:rsidRPr="006D52F9">
        <w:rPr>
          <w:rFonts w:hint="eastAsia"/>
          <w:snapToGrid/>
        </w:rPr>
        <w:t>說    明：114年度決算數為統計至7月底止實支數。</w:t>
      </w:r>
    </w:p>
    <w:p w:rsidR="00B83F75" w:rsidRPr="006D52F9" w:rsidRDefault="00B83F75" w:rsidP="008208AB">
      <w:pPr>
        <w:pStyle w:val="146"/>
        <w:ind w:left="1418" w:hangingChars="583" w:hanging="1418"/>
        <w:rPr>
          <w:snapToGrid/>
        </w:rPr>
      </w:pPr>
      <w:r w:rsidRPr="006D52F9">
        <w:rPr>
          <w:rFonts w:hint="eastAsia"/>
          <w:snapToGrid/>
        </w:rPr>
        <w:t>資料來源：勞保局。</w:t>
      </w:r>
    </w:p>
    <w:p w:rsidR="00B83F75" w:rsidRPr="0058285B" w:rsidRDefault="00B83F75" w:rsidP="00702881">
      <w:pPr>
        <w:pStyle w:val="aff8"/>
        <w:ind w:left="849" w:hanging="283"/>
        <w:rPr>
          <w:rFonts w:hAnsi="標楷體"/>
          <w:b/>
        </w:rPr>
      </w:pPr>
      <w:r w:rsidRPr="0058285B">
        <w:rPr>
          <w:rFonts w:hAnsi="標楷體" w:cs="細明體" w:hint="eastAsia"/>
          <w:b/>
          <w:snapToGrid/>
        </w:rPr>
        <w:t>(二)職業工會及漁會審核被保險人之加保資格、投保薪資未盡確實，</w:t>
      </w:r>
      <w:r>
        <w:rPr>
          <w:rFonts w:hAnsi="標楷體" w:cs="細明體" w:hint="eastAsia"/>
          <w:b/>
          <w:snapToGrid/>
        </w:rPr>
        <w:t>允宜加強輔導與查核，俾</w:t>
      </w:r>
      <w:bookmarkStart w:id="6" w:name="_Hlk210557336"/>
      <w:r>
        <w:rPr>
          <w:rFonts w:hAnsi="標楷體" w:cs="細明體" w:hint="eastAsia"/>
          <w:b/>
          <w:snapToGrid/>
        </w:rPr>
        <w:t>維勞工保險資料之正確性</w:t>
      </w:r>
      <w:bookmarkEnd w:id="6"/>
    </w:p>
    <w:p w:rsidR="00B83F75" w:rsidRPr="0058285B" w:rsidRDefault="00B83F75" w:rsidP="00702881">
      <w:pPr>
        <w:pStyle w:val="25"/>
        <w:ind w:left="850" w:firstLine="566"/>
        <w:rPr>
          <w:rFonts w:cs="細明體"/>
        </w:rPr>
      </w:pPr>
      <w:r>
        <w:rPr>
          <w:rFonts w:cs="細明體" w:hint="eastAsia"/>
        </w:rPr>
        <w:t>按</w:t>
      </w:r>
      <w:r w:rsidRPr="0058285B">
        <w:rPr>
          <w:rFonts w:cs="細明體" w:hint="eastAsia"/>
        </w:rPr>
        <w:t>勞保局</w:t>
      </w:r>
      <w:r>
        <w:rPr>
          <w:rFonts w:cs="細明體" w:hint="eastAsia"/>
        </w:rPr>
        <w:t>111</w:t>
      </w:r>
      <w:r w:rsidRPr="0058285B">
        <w:rPr>
          <w:rFonts w:cs="細明體" w:hint="eastAsia"/>
        </w:rPr>
        <w:t>年度至114年度7月底查核投保資格、投保薪資異常之職業工會及漁會甲類會員之情形</w:t>
      </w:r>
      <w:r>
        <w:rPr>
          <w:rFonts w:cs="細明體" w:hint="eastAsia"/>
        </w:rPr>
        <w:t>分析</w:t>
      </w:r>
      <w:r w:rsidRPr="0058285B">
        <w:rPr>
          <w:rFonts w:cs="細明體" w:hint="eastAsia"/>
        </w:rPr>
        <w:t>，</w:t>
      </w:r>
      <w:r>
        <w:rPr>
          <w:rFonts w:cs="細明體" w:hint="eastAsia"/>
        </w:rPr>
        <w:t>不符</w:t>
      </w:r>
      <w:r w:rsidRPr="0058285B">
        <w:rPr>
          <w:rFonts w:cs="細明體" w:hint="eastAsia"/>
        </w:rPr>
        <w:t>投保資格人數及更正投保薪資人數以112年度最高</w:t>
      </w:r>
      <w:r w:rsidRPr="0058285B">
        <w:rPr>
          <w:rFonts w:hint="eastAsia"/>
        </w:rPr>
        <w:t>(詳表2)</w:t>
      </w:r>
      <w:r w:rsidRPr="0058285B">
        <w:rPr>
          <w:rFonts w:cs="細明體" w:hint="eastAsia"/>
        </w:rPr>
        <w:t>，主要係112年度因應</w:t>
      </w:r>
      <w:r w:rsidR="00C07740">
        <w:rPr>
          <w:rFonts w:cs="細明體" w:hint="eastAsia"/>
        </w:rPr>
        <w:t>C</w:t>
      </w:r>
      <w:r w:rsidR="00C07740">
        <w:rPr>
          <w:rFonts w:cs="細明體"/>
        </w:rPr>
        <w:t>OVID-19</w:t>
      </w:r>
      <w:r w:rsidRPr="0058285B">
        <w:rPr>
          <w:rFonts w:cs="細明體" w:hint="eastAsia"/>
        </w:rPr>
        <w:t>疫情趨緩，恢復未於我國境內從業被保險人投保資格清查作業及新增辦理投保薪資抽查作業，致112年度投保資格及投保薪資查處案件大幅增加</w:t>
      </w:r>
      <w:r w:rsidR="009A2863">
        <w:rPr>
          <w:rFonts w:cs="細明體" w:hint="eastAsia"/>
        </w:rPr>
        <w:t>；</w:t>
      </w:r>
      <w:r w:rsidRPr="0058285B">
        <w:rPr>
          <w:rFonts w:cs="細明體" w:hint="eastAsia"/>
        </w:rPr>
        <w:t>雖因查核</w:t>
      </w:r>
      <w:r w:rsidR="00A65705">
        <w:rPr>
          <w:rFonts w:cs="細明體" w:hint="eastAsia"/>
        </w:rPr>
        <w:t>件</w:t>
      </w:r>
      <w:r w:rsidRPr="0058285B">
        <w:rPr>
          <w:rFonts w:cs="細明體" w:hint="eastAsia"/>
        </w:rPr>
        <w:t>數提高致取消投保</w:t>
      </w:r>
      <w:r w:rsidR="00A65705">
        <w:rPr>
          <w:rFonts w:cs="細明體" w:hint="eastAsia"/>
        </w:rPr>
        <w:t>件</w:t>
      </w:r>
      <w:r w:rsidRPr="0058285B">
        <w:rPr>
          <w:rFonts w:cs="細明體" w:hint="eastAsia"/>
        </w:rPr>
        <w:t>數或更正</w:t>
      </w:r>
      <w:r w:rsidR="00A65705">
        <w:rPr>
          <w:rFonts w:cs="細明體" w:hint="eastAsia"/>
        </w:rPr>
        <w:t>件</w:t>
      </w:r>
      <w:r w:rsidRPr="0058285B">
        <w:rPr>
          <w:rFonts w:cs="細明體" w:hint="eastAsia"/>
        </w:rPr>
        <w:t>數增加</w:t>
      </w:r>
      <w:r w:rsidR="009A2863">
        <w:rPr>
          <w:rFonts w:cs="細明體" w:hint="eastAsia"/>
        </w:rPr>
        <w:t>，</w:t>
      </w:r>
      <w:r w:rsidRPr="0058285B">
        <w:rPr>
          <w:rFonts w:cs="細明體" w:hint="eastAsia"/>
        </w:rPr>
        <w:t>惟亦表示異常案件頗多，顯示職業工會及漁會針對被保險人之加保資格、投保薪資及重複納保之審核作業尚有改進空間。</w:t>
      </w:r>
    </w:p>
    <w:p w:rsidR="0045545F" w:rsidRDefault="00B83F75" w:rsidP="00BA21B1">
      <w:pPr>
        <w:pStyle w:val="25"/>
        <w:ind w:left="850" w:firstLine="566"/>
        <w:rPr>
          <w:b/>
        </w:rPr>
      </w:pPr>
      <w:r w:rsidRPr="0058285B">
        <w:rPr>
          <w:rFonts w:cs="細明體" w:hint="eastAsia"/>
        </w:rPr>
        <w:t>另投保資格不符比率</w:t>
      </w:r>
      <w:r w:rsidR="00387E6F">
        <w:rPr>
          <w:rFonts w:cs="細明體" w:hint="eastAsia"/>
        </w:rPr>
        <w:t>，</w:t>
      </w:r>
      <w:r w:rsidR="00911B87">
        <w:rPr>
          <w:rFonts w:cs="細明體" w:hint="eastAsia"/>
        </w:rPr>
        <w:t>迄</w:t>
      </w:r>
      <w:r w:rsidRPr="0058285B">
        <w:rPr>
          <w:rFonts w:cs="細明體" w:hint="eastAsia"/>
        </w:rPr>
        <w:t>114年7月底仍高達74.6%，投保薪資更正率</w:t>
      </w:r>
      <w:r w:rsidR="00C07740">
        <w:rPr>
          <w:rFonts w:cs="細明體" w:hint="eastAsia"/>
        </w:rPr>
        <w:t>則略提</w:t>
      </w:r>
      <w:r w:rsidRPr="0058285B">
        <w:rPr>
          <w:rFonts w:cs="細明體" w:hint="eastAsia"/>
        </w:rPr>
        <w:t>升</w:t>
      </w:r>
      <w:r>
        <w:rPr>
          <w:rFonts w:cs="細明體" w:hint="eastAsia"/>
        </w:rPr>
        <w:t>至36.46%</w:t>
      </w:r>
      <w:r w:rsidRPr="0058285B">
        <w:rPr>
          <w:rFonts w:cs="細明體" w:hint="eastAsia"/>
        </w:rPr>
        <w:t>，</w:t>
      </w:r>
      <w:r w:rsidR="00C07740">
        <w:rPr>
          <w:rFonts w:cs="細明體" w:hint="eastAsia"/>
        </w:rPr>
        <w:t>顯示</w:t>
      </w:r>
      <w:r w:rsidRPr="0058285B">
        <w:rPr>
          <w:rFonts w:cs="細明體" w:hint="eastAsia"/>
        </w:rPr>
        <w:t>職業工會及漁會對勞工保險投保資格與投保薪資審核作業仍有改善空間，允宜加強職業工會及漁會輔導與審核資料之</w:t>
      </w:r>
      <w:r>
        <w:rPr>
          <w:rFonts w:cs="細明體" w:hint="eastAsia"/>
        </w:rPr>
        <w:t>查</w:t>
      </w:r>
      <w:r w:rsidRPr="0058285B">
        <w:rPr>
          <w:rFonts w:cs="細明體" w:hint="eastAsia"/>
        </w:rPr>
        <w:t>核，俾維勞工保險資料之正確</w:t>
      </w:r>
      <w:r w:rsidRPr="0058285B">
        <w:rPr>
          <w:rFonts w:cs="細明體" w:hint="eastAsia"/>
        </w:rPr>
        <w:lastRenderedPageBreak/>
        <w:t>性。</w:t>
      </w:r>
    </w:p>
    <w:p w:rsidR="00B83F75" w:rsidRPr="006D52F9" w:rsidRDefault="00B83F75" w:rsidP="00945F15">
      <w:pPr>
        <w:widowControl/>
        <w:spacing w:line="240" w:lineRule="auto"/>
        <w:ind w:leftChars="0" w:left="0" w:firstLineChars="0" w:firstLine="0"/>
        <w:jc w:val="left"/>
        <w:rPr>
          <w:b/>
        </w:rPr>
      </w:pPr>
      <w:r w:rsidRPr="006D52F9">
        <w:rPr>
          <w:rFonts w:hint="eastAsia"/>
          <w:b/>
        </w:rPr>
        <w:t xml:space="preserve">表2  </w:t>
      </w:r>
      <w:r w:rsidRPr="006D52F9">
        <w:rPr>
          <w:rFonts w:hint="eastAsia"/>
          <w:b/>
          <w:spacing w:val="-16"/>
        </w:rPr>
        <w:t>勞保局稽核</w:t>
      </w:r>
      <w:bookmarkStart w:id="7" w:name="_Hlk210556734"/>
      <w:r w:rsidRPr="006D52F9">
        <w:rPr>
          <w:rFonts w:hint="eastAsia"/>
          <w:b/>
          <w:spacing w:val="-16"/>
        </w:rPr>
        <w:t>職業工會及漁會對勞工保險投保資格與投保薪資</w:t>
      </w:r>
      <w:bookmarkEnd w:id="7"/>
      <w:r w:rsidRPr="006D52F9">
        <w:rPr>
          <w:rFonts w:hint="eastAsia"/>
          <w:b/>
          <w:spacing w:val="-16"/>
        </w:rPr>
        <w:t>情形統計表</w:t>
      </w:r>
    </w:p>
    <w:p w:rsidR="00B83F75" w:rsidRPr="006D52F9" w:rsidRDefault="00B83F75" w:rsidP="00702881">
      <w:pPr>
        <w:spacing w:line="280" w:lineRule="exact"/>
        <w:ind w:leftChars="0" w:left="0" w:firstLineChars="350" w:firstLine="851"/>
        <w:jc w:val="right"/>
        <w:rPr>
          <w:sz w:val="24"/>
        </w:rPr>
      </w:pPr>
      <w:r w:rsidRPr="006D52F9">
        <w:rPr>
          <w:rFonts w:hint="eastAsia"/>
          <w:sz w:val="24"/>
        </w:rPr>
        <w:t>單位：件；%</w:t>
      </w:r>
    </w:p>
    <w:tbl>
      <w:tblPr>
        <w:tblW w:w="857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0A0" w:firstRow="1" w:lastRow="0" w:firstColumn="1" w:lastColumn="0" w:noHBand="0" w:noVBand="0"/>
      </w:tblPr>
      <w:tblGrid>
        <w:gridCol w:w="685"/>
        <w:gridCol w:w="1343"/>
        <w:gridCol w:w="1091"/>
        <w:gridCol w:w="1091"/>
        <w:gridCol w:w="1091"/>
        <w:gridCol w:w="1091"/>
        <w:gridCol w:w="1091"/>
        <w:gridCol w:w="1092"/>
      </w:tblGrid>
      <w:tr w:rsidR="00B83F75" w:rsidRPr="006D52F9" w:rsidTr="00286719">
        <w:trPr>
          <w:trHeight w:val="142"/>
          <w:tblHeader/>
        </w:trPr>
        <w:tc>
          <w:tcPr>
            <w:tcW w:w="685" w:type="dxa"/>
            <w:vMerge w:val="restart"/>
            <w:tcBorders>
              <w:top w:val="single" w:sz="12" w:space="0" w:color="auto"/>
              <w:bottom w:val="single" w:sz="4" w:space="0" w:color="auto"/>
              <w:right w:val="single" w:sz="4" w:space="0" w:color="auto"/>
            </w:tcBorders>
            <w:shd w:val="clear" w:color="auto" w:fill="FFFFFF"/>
            <w:vAlign w:val="center"/>
          </w:tcPr>
          <w:p w:rsidR="00B83F75" w:rsidRPr="006D52F9" w:rsidRDefault="00B83F75" w:rsidP="00F15765">
            <w:pPr>
              <w:pStyle w:val="14-2"/>
              <w:ind w:leftChars="-1" w:left="94"/>
              <w:jc w:val="center"/>
            </w:pPr>
            <w:r w:rsidRPr="006D52F9">
              <w:rPr>
                <w:rFonts w:hint="eastAsia"/>
              </w:rPr>
              <w:t>年度</w:t>
            </w:r>
          </w:p>
        </w:tc>
        <w:tc>
          <w:tcPr>
            <w:tcW w:w="1343" w:type="dxa"/>
            <w:vMerge w:val="restart"/>
            <w:tcBorders>
              <w:top w:val="single" w:sz="12"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95" w:hanging="81"/>
              <w:jc w:val="center"/>
              <w:rPr>
                <w:spacing w:val="-20"/>
              </w:rPr>
            </w:pPr>
            <w:r w:rsidRPr="006C6309">
              <w:rPr>
                <w:rFonts w:hint="eastAsia"/>
                <w:spacing w:val="-20"/>
              </w:rPr>
              <w:t>稽核單位</w:t>
            </w:r>
          </w:p>
        </w:tc>
        <w:tc>
          <w:tcPr>
            <w:tcW w:w="3273"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514C4A">
            <w:pPr>
              <w:pStyle w:val="14-2"/>
              <w:ind w:left="95" w:hanging="81"/>
              <w:jc w:val="center"/>
              <w:rPr>
                <w:rFonts w:hint="eastAsia"/>
                <w:spacing w:val="-20"/>
              </w:rPr>
            </w:pPr>
            <w:r w:rsidRPr="006C6309">
              <w:rPr>
                <w:rFonts w:hint="eastAsia"/>
                <w:spacing w:val="-20"/>
              </w:rPr>
              <w:t>投保資格</w:t>
            </w:r>
          </w:p>
        </w:tc>
        <w:tc>
          <w:tcPr>
            <w:tcW w:w="3274" w:type="dxa"/>
            <w:gridSpan w:val="3"/>
            <w:tcBorders>
              <w:top w:val="single" w:sz="12" w:space="0" w:color="auto"/>
              <w:left w:val="single" w:sz="4" w:space="0" w:color="auto"/>
              <w:bottom w:val="single" w:sz="4" w:space="0" w:color="auto"/>
              <w:right w:val="single" w:sz="12" w:space="0" w:color="auto"/>
            </w:tcBorders>
            <w:shd w:val="clear" w:color="auto" w:fill="FFFFFF"/>
            <w:vAlign w:val="center"/>
          </w:tcPr>
          <w:p w:rsidR="00B83F75" w:rsidRPr="006C6309" w:rsidRDefault="00B83F75" w:rsidP="00514C4A">
            <w:pPr>
              <w:pStyle w:val="14-2"/>
              <w:ind w:left="95" w:hanging="81"/>
              <w:jc w:val="center"/>
              <w:rPr>
                <w:spacing w:val="-20"/>
              </w:rPr>
            </w:pPr>
            <w:r w:rsidRPr="006C6309">
              <w:rPr>
                <w:rFonts w:hint="eastAsia"/>
                <w:spacing w:val="-20"/>
              </w:rPr>
              <w:t>投保薪資</w:t>
            </w:r>
          </w:p>
        </w:tc>
      </w:tr>
      <w:tr w:rsidR="00B83F75" w:rsidRPr="006D52F9" w:rsidTr="00286719">
        <w:trPr>
          <w:trHeight w:val="137"/>
          <w:tblHeader/>
        </w:trPr>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F15765">
            <w:pPr>
              <w:pStyle w:val="14-2"/>
              <w:jc w:val="center"/>
            </w:pPr>
          </w:p>
        </w:tc>
        <w:tc>
          <w:tcPr>
            <w:tcW w:w="134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95" w:hanging="81"/>
              <w:jc w:val="center"/>
              <w:rPr>
                <w:spacing w:val="-20"/>
              </w:rPr>
            </w:pP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查核件數</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不符資格</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58285B" w:rsidRDefault="00B83F75" w:rsidP="0058285B">
            <w:pPr>
              <w:pStyle w:val="14-2"/>
              <w:ind w:left="63" w:hangingChars="30" w:hanging="49"/>
              <w:jc w:val="center"/>
              <w:rPr>
                <w:rFonts w:hint="eastAsia"/>
                <w:spacing w:val="-20"/>
                <w:sz w:val="20"/>
                <w:szCs w:val="20"/>
              </w:rPr>
            </w:pPr>
            <w:r w:rsidRPr="0058285B">
              <w:rPr>
                <w:rFonts w:hint="eastAsia"/>
                <w:spacing w:val="-20"/>
                <w:sz w:val="20"/>
                <w:szCs w:val="20"/>
              </w:rPr>
              <w:t>不符資格比率</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查核件數</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更正件數</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C6309" w:rsidRDefault="00B83F75" w:rsidP="00F15765">
            <w:pPr>
              <w:pStyle w:val="14-2"/>
              <w:ind w:left="95" w:hanging="81"/>
              <w:jc w:val="center"/>
              <w:rPr>
                <w:rFonts w:hint="eastAsia"/>
                <w:spacing w:val="-20"/>
              </w:rPr>
            </w:pPr>
            <w:r w:rsidRPr="006C6309">
              <w:rPr>
                <w:rFonts w:hint="eastAsia"/>
                <w:spacing w:val="-20"/>
              </w:rPr>
              <w:t>更正</w:t>
            </w:r>
            <w:r>
              <w:rPr>
                <w:rFonts w:hint="eastAsia"/>
                <w:spacing w:val="-20"/>
              </w:rPr>
              <w:t>比率</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111</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12,125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5,075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41.86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15,181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4,427</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29.16</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2,878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56.64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559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304</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54.38</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15,003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6,705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44.69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15,740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4,731</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30.06</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w:t>
            </w:r>
            <w:r w:rsidRPr="006D52F9">
              <w:rPr>
                <w:rFonts w:hint="eastAsia"/>
              </w:rPr>
              <w:t>2</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29,421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26,695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90.73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16,162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4,722</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29.22</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2,383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1,743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73.14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196</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36.30</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31,804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28,438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89.42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16,702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4,918</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29.45</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w:t>
            </w:r>
            <w:r w:rsidRPr="006D52F9">
              <w:rPr>
                <w:rFonts w:hint="eastAsia"/>
              </w:rPr>
              <w:t>3</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12,886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10,477</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81.31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14,330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3,461</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24.15</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2,257</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1,368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60.61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394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69</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17.51</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15,143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11,845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78.22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14,724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3,530</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23.97</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r w:rsidRPr="006D52F9">
              <w:t>114</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5,889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4,384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0B5491">
              <w:t>74.44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11,374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4,090</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6"/>
              <w:jc w:val="right"/>
            </w:pPr>
            <w:r w:rsidRPr="005B3ED8">
              <w:t>35.96</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540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412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0B5491">
              <w:t>76.30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346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183</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6"/>
              <w:jc w:val="right"/>
            </w:pPr>
            <w:r w:rsidRPr="005B3ED8">
              <w:t>52.89</w:t>
            </w:r>
          </w:p>
        </w:tc>
      </w:tr>
      <w:tr w:rsidR="00B83F75" w:rsidRPr="006D52F9" w:rsidTr="00286719">
        <w:tc>
          <w:tcPr>
            <w:tcW w:w="685" w:type="dxa"/>
            <w:vMerge/>
            <w:tcBorders>
              <w:top w:val="single" w:sz="4" w:space="0" w:color="auto"/>
              <w:bottom w:val="single" w:sz="12"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p>
        </w:tc>
        <w:tc>
          <w:tcPr>
            <w:tcW w:w="1343" w:type="dxa"/>
            <w:tcBorders>
              <w:top w:val="single" w:sz="4" w:space="0" w:color="auto"/>
              <w:left w:val="single" w:sz="4" w:space="0" w:color="auto"/>
              <w:bottom w:val="single" w:sz="12"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6,429</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4,796</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0B5491">
              <w:t>74.60</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11,720</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4,273</w:t>
            </w:r>
          </w:p>
        </w:tc>
        <w:tc>
          <w:tcPr>
            <w:tcW w:w="1092" w:type="dxa"/>
            <w:tcBorders>
              <w:top w:val="single" w:sz="4" w:space="0" w:color="auto"/>
              <w:left w:val="single" w:sz="4" w:space="0" w:color="auto"/>
              <w:bottom w:val="single" w:sz="12" w:space="0" w:color="auto"/>
              <w:right w:val="single" w:sz="12" w:space="0" w:color="auto"/>
            </w:tcBorders>
            <w:shd w:val="clear" w:color="auto" w:fill="FFFFFF"/>
          </w:tcPr>
          <w:p w:rsidR="00B83F75" w:rsidRPr="006D52F9" w:rsidRDefault="00B83F75" w:rsidP="006C6309">
            <w:pPr>
              <w:pStyle w:val="146"/>
              <w:jc w:val="right"/>
            </w:pPr>
            <w:r w:rsidRPr="005B3ED8">
              <w:t>36.46</w:t>
            </w:r>
          </w:p>
        </w:tc>
      </w:tr>
    </w:tbl>
    <w:p w:rsidR="00B83F75" w:rsidRPr="006D52F9" w:rsidRDefault="00B83F75" w:rsidP="0058285B">
      <w:pPr>
        <w:pStyle w:val="14-2"/>
      </w:pPr>
      <w:r w:rsidRPr="006D52F9">
        <w:rPr>
          <w:rFonts w:hint="eastAsia"/>
        </w:rPr>
        <w:t xml:space="preserve">說 </w:t>
      </w:r>
      <w:r>
        <w:t xml:space="preserve"> </w:t>
      </w:r>
      <w:r w:rsidRPr="006D52F9">
        <w:rPr>
          <w:rFonts w:hint="eastAsia"/>
        </w:rPr>
        <w:t xml:space="preserve">  明：11</w:t>
      </w:r>
      <w:r w:rsidRPr="006D52F9">
        <w:t>4</w:t>
      </w:r>
      <w:r w:rsidRPr="006D52F9">
        <w:rPr>
          <w:rFonts w:hint="eastAsia"/>
        </w:rPr>
        <w:t>年度統計</w:t>
      </w:r>
      <w:r w:rsidRPr="006D52F9">
        <w:t>至</w:t>
      </w:r>
      <w:r w:rsidRPr="006D52F9">
        <w:rPr>
          <w:rFonts w:hint="eastAsia"/>
        </w:rPr>
        <w:t>7</w:t>
      </w:r>
      <w:r w:rsidRPr="006D52F9">
        <w:t>月</w:t>
      </w:r>
      <w:r w:rsidRPr="006D52F9">
        <w:rPr>
          <w:rFonts w:hint="eastAsia"/>
        </w:rPr>
        <w:t>底。</w:t>
      </w:r>
    </w:p>
    <w:p w:rsidR="00B83F75" w:rsidRPr="006D52F9" w:rsidRDefault="00B83F75" w:rsidP="00702881">
      <w:pPr>
        <w:pStyle w:val="146"/>
      </w:pPr>
      <w:r w:rsidRPr="006D52F9">
        <w:rPr>
          <w:rFonts w:hint="eastAsia"/>
        </w:rPr>
        <w:t>資料來源：勞保局提供。</w:t>
      </w:r>
    </w:p>
    <w:p w:rsidR="00B83F75" w:rsidRDefault="00B83F75" w:rsidP="00702881">
      <w:pPr>
        <w:ind w:left="566" w:firstLine="566"/>
      </w:pPr>
      <w:r w:rsidRPr="0058285B">
        <w:rPr>
          <w:rFonts w:hint="eastAsia"/>
        </w:rPr>
        <w:t>綜上，勞保局11</w:t>
      </w:r>
      <w:r w:rsidRPr="0058285B">
        <w:t>5</w:t>
      </w:r>
      <w:r w:rsidRPr="0058285B">
        <w:rPr>
          <w:rFonts w:hint="eastAsia"/>
        </w:rPr>
        <w:t>年度預算案編列補助職業工會及漁會辦理勞工保險業務之行政事務費3億4,</w:t>
      </w:r>
      <w:r w:rsidRPr="0058285B">
        <w:t>620</w:t>
      </w:r>
      <w:r w:rsidRPr="0058285B">
        <w:rPr>
          <w:rFonts w:hint="eastAsia"/>
        </w:rPr>
        <w:t>萬7千元，</w:t>
      </w:r>
      <w:r w:rsidR="00911B87">
        <w:rPr>
          <w:rFonts w:hint="eastAsia"/>
        </w:rPr>
        <w:t>惟</w:t>
      </w:r>
      <w:r w:rsidRPr="0058285B">
        <w:rPr>
          <w:rFonts w:hint="eastAsia"/>
        </w:rPr>
        <w:t>部分職業工會及漁會審核被保險人之加保資格、投保薪資作業未盡確實，允宜</w:t>
      </w:r>
      <w:r>
        <w:rPr>
          <w:rFonts w:hint="eastAsia"/>
        </w:rPr>
        <w:t>加強</w:t>
      </w:r>
      <w:r w:rsidRPr="0058285B">
        <w:rPr>
          <w:rFonts w:hint="eastAsia"/>
        </w:rPr>
        <w:t>查核並輔導改善，俾維勞工保險資料之正確性。</w:t>
      </w:r>
    </w:p>
    <w:bookmarkEnd w:id="4"/>
    <w:bookmarkEnd w:id="3"/>
    <w:sectPr w:rsidR="00B83F75"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DB6BC2" w:rsidRPr="00DB6BC2">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BC2"/>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D58563-CEB0-438E-977C-F83CA75C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895D2-CF74-4F62-9D36-EB4C5EEC2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370</Words>
  <Characters>2110</Characters>
  <Application>Microsoft Office Word</Application>
  <DocSecurity>0</DocSecurity>
  <Lines>17</Lines>
  <Paragraphs>4</Paragraphs>
  <ScaleCrop>false</ScaleCrop>
  <Company/>
  <LinksUpToDate>false</LinksUpToDate>
  <CharactersWithSpaces>2476</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