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D96" w:rsidRPr="003236C6" w:rsidRDefault="00DE5976" w:rsidP="009C0E8C">
      <w:pPr>
        <w:pStyle w:val="aa"/>
        <w:rPr>
          <w:rFonts w:hAnsi="標楷體"/>
        </w:rPr>
      </w:pPr>
      <w:bookmarkStart w:id="0" w:name="_GoBack"/>
      <w:bookmarkEnd w:id="0"/>
      <w:r w:rsidRPr="003236C6">
        <w:rPr>
          <w:rFonts w:hAnsi="標楷體" w:hint="eastAsia"/>
        </w:rPr>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950975">
        <w:rPr>
          <w:rFonts w:hAnsi="標楷體" w:hint="eastAsia"/>
        </w:rPr>
        <w:t>3</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2C3A9F" w:rsidRPr="00CA043D" w:rsidRDefault="00667975" w:rsidP="00545200">
      <w:pPr>
        <w:pStyle w:val="14"/>
        <w:rPr>
          <w:rFonts w:hAnsi="標楷體"/>
        </w:rPr>
      </w:pPr>
      <w:bookmarkStart w:id="1" w:name="_Toc109713309"/>
      <w:bookmarkStart w:id="2" w:name="_Toc116227377"/>
      <w:bookmarkStart w:id="3" w:name="_Toc216359003"/>
      <w:r w:rsidRPr="00CA043D">
        <w:rPr>
          <w:rFonts w:hAnsi="標楷體" w:hint="eastAsia"/>
        </w:rPr>
        <w:t>三</w:t>
      </w:r>
      <w:r w:rsidR="00751C9D" w:rsidRPr="00CA043D">
        <w:rPr>
          <w:rFonts w:hAnsi="標楷體" w:hint="eastAsia"/>
        </w:rPr>
        <w:t>、</w:t>
      </w:r>
      <w:r w:rsidR="009639F8" w:rsidRPr="00CA043D">
        <w:rPr>
          <w:rFonts w:hAnsi="標楷體" w:hint="eastAsia"/>
        </w:rPr>
        <w:t>海巡署</w:t>
      </w:r>
      <w:bookmarkEnd w:id="1"/>
      <w:bookmarkEnd w:id="2"/>
      <w:r w:rsidR="00D354B2" w:rsidRPr="00CA043D">
        <w:rPr>
          <w:rFonts w:hAnsi="標楷體" w:hint="eastAsia"/>
        </w:rPr>
        <w:t>及所屬</w:t>
      </w:r>
      <w:bookmarkStart w:id="4" w:name="_Toc21002969"/>
      <w:r w:rsidR="00E93A5B">
        <w:rPr>
          <w:rFonts w:hAnsi="標楷體" w:hint="eastAsia"/>
        </w:rPr>
        <w:t>迄</w:t>
      </w:r>
      <w:r w:rsidR="00644E0E">
        <w:rPr>
          <w:rFonts w:hAnsi="標楷體" w:hint="eastAsia"/>
        </w:rPr>
        <w:t>112及113年底</w:t>
      </w:r>
      <w:r w:rsidR="002C3A9F">
        <w:rPr>
          <w:rFonts w:hAnsi="標楷體" w:hint="eastAsia"/>
        </w:rPr>
        <w:t>「</w:t>
      </w:r>
      <w:r w:rsidR="00644E0E" w:rsidRPr="00644E0E">
        <w:rPr>
          <w:rFonts w:hAnsi="標楷體" w:hint="eastAsia"/>
        </w:rPr>
        <w:t>旋翼型無人機試辦計畫</w:t>
      </w:r>
      <w:r w:rsidR="002C3A9F">
        <w:rPr>
          <w:rFonts w:hAnsi="標楷體" w:hint="eastAsia"/>
        </w:rPr>
        <w:t>」</w:t>
      </w:r>
      <w:bookmarkStart w:id="5" w:name="_Hlk213940367"/>
      <w:r w:rsidR="00644E0E">
        <w:rPr>
          <w:rFonts w:hAnsi="標楷體" w:hint="eastAsia"/>
        </w:rPr>
        <w:t>累計</w:t>
      </w:r>
      <w:r w:rsidR="00D768E7">
        <w:rPr>
          <w:rFonts w:hAnsi="標楷體" w:hint="eastAsia"/>
        </w:rPr>
        <w:t>實現</w:t>
      </w:r>
      <w:r w:rsidR="00644E0E">
        <w:rPr>
          <w:rFonts w:hAnsi="標楷體" w:hint="eastAsia"/>
        </w:rPr>
        <w:t>率均未及一成，</w:t>
      </w:r>
      <w:bookmarkEnd w:id="5"/>
      <w:r w:rsidR="000A4A1C">
        <w:rPr>
          <w:rFonts w:hAnsi="標楷體" w:hint="eastAsia"/>
        </w:rPr>
        <w:t>各年度</w:t>
      </w:r>
      <w:r w:rsidR="00644E0E" w:rsidRPr="00644E0E">
        <w:rPr>
          <w:rFonts w:hAnsi="標楷體" w:hint="eastAsia"/>
        </w:rPr>
        <w:t>執行情形大幅落後預期，</w:t>
      </w:r>
      <w:r w:rsidR="003D3895" w:rsidRPr="003D3895">
        <w:rPr>
          <w:rFonts w:hAnsi="標楷體" w:hint="eastAsia"/>
        </w:rPr>
        <w:t>顯有未洽</w:t>
      </w:r>
      <w:r w:rsidR="007A3F2D" w:rsidRPr="007A3F2D">
        <w:rPr>
          <w:rFonts w:hAnsi="標楷體" w:hint="eastAsia"/>
        </w:rPr>
        <w:t>，允宜檢討改善</w:t>
      </w:r>
      <w:bookmarkEnd w:id="3"/>
    </w:p>
    <w:p w:rsidR="000A4A1C" w:rsidRDefault="002C3A9F" w:rsidP="00EA32B9">
      <w:pPr>
        <w:ind w:left="567" w:firstLine="567"/>
      </w:pPr>
      <w:r w:rsidRPr="003236C6">
        <w:rPr>
          <w:rFonts w:hint="eastAsia"/>
        </w:rPr>
        <w:t>海巡署及所屬</w:t>
      </w:r>
      <w:r w:rsidR="000C244D">
        <w:rPr>
          <w:rFonts w:hint="eastAsia"/>
        </w:rPr>
        <w:t>(以下簡稱海</w:t>
      </w:r>
      <w:r w:rsidR="00644E0E">
        <w:rPr>
          <w:rFonts w:hint="eastAsia"/>
        </w:rPr>
        <w:t>巡</w:t>
      </w:r>
      <w:r w:rsidR="000C244D">
        <w:rPr>
          <w:rFonts w:hint="eastAsia"/>
        </w:rPr>
        <w:t>署)</w:t>
      </w:r>
      <w:r w:rsidR="00644E0E" w:rsidRPr="0061386D">
        <w:rPr>
          <w:rFonts w:hint="eastAsia"/>
        </w:rPr>
        <w:t>「</w:t>
      </w:r>
      <w:r w:rsidR="00644E0E">
        <w:rPr>
          <w:rFonts w:hint="eastAsia"/>
        </w:rPr>
        <w:t>海</w:t>
      </w:r>
      <w:r w:rsidR="005C191E">
        <w:rPr>
          <w:rFonts w:hint="eastAsia"/>
        </w:rPr>
        <w:t>巡工作</w:t>
      </w:r>
      <w:r w:rsidR="00644E0E">
        <w:rPr>
          <w:rFonts w:hint="eastAsia"/>
        </w:rPr>
        <w:t>」</w:t>
      </w:r>
      <w:r w:rsidR="005C191E">
        <w:rPr>
          <w:rFonts w:hint="eastAsia"/>
        </w:rPr>
        <w:t>項下</w:t>
      </w:r>
      <w:r w:rsidR="00A25E8A" w:rsidRPr="006B326B">
        <w:rPr>
          <w:rFonts w:hint="eastAsia"/>
        </w:rPr>
        <w:t>「旋翼型無人機試辦計畫」</w:t>
      </w:r>
      <w:r w:rsidR="00644E0E" w:rsidRPr="0061386D">
        <w:rPr>
          <w:rFonts w:hint="eastAsia"/>
        </w:rPr>
        <w:t>預算數</w:t>
      </w:r>
      <w:r w:rsidR="00A25E8A">
        <w:rPr>
          <w:rFonts w:hint="eastAsia"/>
        </w:rPr>
        <w:t>5</w:t>
      </w:r>
      <w:r w:rsidR="00644E0E">
        <w:rPr>
          <w:rFonts w:hint="eastAsia"/>
        </w:rPr>
        <w:t>,</w:t>
      </w:r>
      <w:r w:rsidR="00A25E8A">
        <w:rPr>
          <w:rFonts w:hint="eastAsia"/>
        </w:rPr>
        <w:t>204</w:t>
      </w:r>
      <w:r w:rsidR="00644E0E" w:rsidRPr="0061386D">
        <w:rPr>
          <w:rFonts w:hint="eastAsia"/>
        </w:rPr>
        <w:t>萬元，</w:t>
      </w:r>
      <w:r w:rsidR="00D768E7">
        <w:rPr>
          <w:rFonts w:hint="eastAsia"/>
        </w:rPr>
        <w:t>執行</w:t>
      </w:r>
      <w:r w:rsidR="00A25E8A">
        <w:rPr>
          <w:rFonts w:hint="eastAsia"/>
        </w:rPr>
        <w:t>數</w:t>
      </w:r>
      <w:r w:rsidR="00513882">
        <w:rPr>
          <w:rFonts w:hint="eastAsia"/>
        </w:rPr>
        <w:t>216</w:t>
      </w:r>
      <w:r w:rsidR="00644E0E" w:rsidRPr="0061386D">
        <w:rPr>
          <w:rFonts w:hint="eastAsia"/>
        </w:rPr>
        <w:t>萬</w:t>
      </w:r>
      <w:r w:rsidR="00513882">
        <w:rPr>
          <w:rFonts w:hint="eastAsia"/>
        </w:rPr>
        <w:t>3</w:t>
      </w:r>
      <w:r w:rsidR="00644E0E">
        <w:rPr>
          <w:rFonts w:hint="eastAsia"/>
        </w:rPr>
        <w:t>千</w:t>
      </w:r>
      <w:r w:rsidR="00644E0E" w:rsidRPr="0061386D">
        <w:rPr>
          <w:rFonts w:hint="eastAsia"/>
        </w:rPr>
        <w:t>元</w:t>
      </w:r>
      <w:r w:rsidR="00513882">
        <w:rPr>
          <w:rFonts w:hint="eastAsia"/>
        </w:rPr>
        <w:t>(包括</w:t>
      </w:r>
      <w:r w:rsidR="001B7E9E">
        <w:rPr>
          <w:rFonts w:hint="eastAsia"/>
        </w:rPr>
        <w:t>實現</w:t>
      </w:r>
      <w:r w:rsidR="00513882">
        <w:rPr>
          <w:rFonts w:hint="eastAsia"/>
        </w:rPr>
        <w:t>數10萬元及賸餘數206萬3千元</w:t>
      </w:r>
      <w:r w:rsidR="00513882">
        <w:rPr>
          <w:rFonts w:hint="eastAsia"/>
          <w:lang w:eastAsia="zh-HK"/>
        </w:rPr>
        <w:t>)</w:t>
      </w:r>
      <w:r w:rsidR="00644E0E" w:rsidRPr="0061386D">
        <w:rPr>
          <w:rFonts w:hint="eastAsia"/>
        </w:rPr>
        <w:t>，執行率</w:t>
      </w:r>
      <w:r w:rsidR="00DD14A3">
        <w:rPr>
          <w:rFonts w:hint="eastAsia"/>
        </w:rPr>
        <w:t>僅</w:t>
      </w:r>
      <w:r w:rsidR="00C230B3">
        <w:rPr>
          <w:rFonts w:hint="eastAsia"/>
        </w:rPr>
        <w:t>4</w:t>
      </w:r>
      <w:r w:rsidR="00644E0E">
        <w:rPr>
          <w:rFonts w:hint="eastAsia"/>
        </w:rPr>
        <w:t>.</w:t>
      </w:r>
      <w:r w:rsidR="00C230B3">
        <w:rPr>
          <w:rFonts w:hint="eastAsia"/>
        </w:rPr>
        <w:t>16</w:t>
      </w:r>
      <w:r w:rsidR="00644E0E" w:rsidRPr="0061386D">
        <w:rPr>
          <w:rFonts w:hint="eastAsia"/>
        </w:rPr>
        <w:t>%</w:t>
      </w:r>
      <w:r w:rsidR="000A4A1C">
        <w:rPr>
          <w:rFonts w:hint="eastAsia"/>
        </w:rPr>
        <w:t>。</w:t>
      </w:r>
    </w:p>
    <w:p w:rsidR="00644E0E" w:rsidRDefault="000A4A1C" w:rsidP="000A4A1C">
      <w:pPr>
        <w:ind w:left="567" w:firstLine="567"/>
      </w:pPr>
      <w:r w:rsidRPr="000A4A1C">
        <w:rPr>
          <w:rFonts w:hint="eastAsia"/>
        </w:rPr>
        <w:t>為強化無人機隊量能及海難事件獲救效率，並擴大違規案件查處成效，海巡署辦理「旋翼型無人機試辦計畫」(112至116年度)，預計購置12架旋翼型無人機，總經費為1億7,226萬元</w:t>
      </w:r>
      <w:r>
        <w:rPr>
          <w:rFonts w:hint="eastAsia"/>
        </w:rPr>
        <w:t>，經行政院於112年1月核定</w:t>
      </w:r>
      <w:r w:rsidR="00644E0E">
        <w:rPr>
          <w:rFonts w:hint="eastAsia"/>
        </w:rPr>
        <w:t>。檢視</w:t>
      </w:r>
      <w:r>
        <w:rPr>
          <w:rFonts w:hint="eastAsia"/>
        </w:rPr>
        <w:t>本</w:t>
      </w:r>
      <w:r w:rsidR="00644E0E">
        <w:rPr>
          <w:rFonts w:hint="eastAsia"/>
        </w:rPr>
        <w:t>計畫迄112年底</w:t>
      </w:r>
      <w:r w:rsidR="00224DA5">
        <w:rPr>
          <w:rFonts w:hint="eastAsia"/>
        </w:rPr>
        <w:t>及</w:t>
      </w:r>
      <w:r w:rsidR="00644E0E">
        <w:rPr>
          <w:rFonts w:hint="eastAsia"/>
        </w:rPr>
        <w:t>113年底之</w:t>
      </w:r>
      <w:r w:rsidR="00224DA5">
        <w:rPr>
          <w:rFonts w:hint="eastAsia"/>
        </w:rPr>
        <w:t>累計預算數各為5,000萬元及1億204萬元，惟</w:t>
      </w:r>
      <w:r w:rsidR="00224DA5" w:rsidRPr="00224DA5">
        <w:rPr>
          <w:rFonts w:hint="eastAsia"/>
        </w:rPr>
        <w:t>累計</w:t>
      </w:r>
      <w:r w:rsidR="00D768E7">
        <w:rPr>
          <w:rFonts w:hint="eastAsia"/>
        </w:rPr>
        <w:t>實現</w:t>
      </w:r>
      <w:r w:rsidR="00224DA5" w:rsidRPr="00224DA5">
        <w:rPr>
          <w:rFonts w:hint="eastAsia"/>
        </w:rPr>
        <w:t>數</w:t>
      </w:r>
      <w:r w:rsidR="00224DA5">
        <w:rPr>
          <w:rFonts w:hint="eastAsia"/>
        </w:rPr>
        <w:t>僅各為337萬3千元及347萬3千元，</w:t>
      </w:r>
      <w:r w:rsidR="00644E0E">
        <w:rPr>
          <w:rFonts w:hint="eastAsia"/>
        </w:rPr>
        <w:t>累計</w:t>
      </w:r>
      <w:r w:rsidR="00D768E7">
        <w:rPr>
          <w:rFonts w:hint="eastAsia"/>
        </w:rPr>
        <w:t>實現</w:t>
      </w:r>
      <w:r w:rsidR="00644E0E">
        <w:rPr>
          <w:rFonts w:hint="eastAsia"/>
        </w:rPr>
        <w:t>率分別為</w:t>
      </w:r>
      <w:r w:rsidR="00644E0E">
        <w:t>6.75</w:t>
      </w:r>
      <w:r w:rsidR="00644E0E">
        <w:rPr>
          <w:rFonts w:hint="eastAsia"/>
        </w:rPr>
        <w:t>%、</w:t>
      </w:r>
      <w:r w:rsidR="00644E0E">
        <w:t>3.40</w:t>
      </w:r>
      <w:r w:rsidR="00644E0E">
        <w:rPr>
          <w:rFonts w:hint="eastAsia"/>
        </w:rPr>
        <w:t>%</w:t>
      </w:r>
      <w:r>
        <w:rPr>
          <w:rFonts w:hint="eastAsia"/>
        </w:rPr>
        <w:t>(詳表1)</w:t>
      </w:r>
      <w:r w:rsidR="00644E0E">
        <w:rPr>
          <w:rFonts w:hint="eastAsia"/>
        </w:rPr>
        <w:t>，均未及一成，各年度執行情形大幅落後預期</w:t>
      </w:r>
      <w:r w:rsidR="00224DA5">
        <w:rPr>
          <w:rFonts w:hint="eastAsia"/>
        </w:rPr>
        <w:t>。</w:t>
      </w:r>
      <w:r>
        <w:rPr>
          <w:rFonts w:hint="eastAsia"/>
        </w:rPr>
        <w:t>洽據海巡署表示，</w:t>
      </w:r>
      <w:r w:rsidRPr="000A4A1C">
        <w:rPr>
          <w:rFonts w:hint="eastAsia"/>
        </w:rPr>
        <w:t>本計畫於112年8月決標</w:t>
      </w:r>
      <w:r>
        <w:rPr>
          <w:rFonts w:hint="eastAsia"/>
        </w:rPr>
        <w:t>，惟</w:t>
      </w:r>
      <w:r w:rsidRPr="000A4A1C">
        <w:rPr>
          <w:rFonts w:hint="eastAsia"/>
        </w:rPr>
        <w:t>113年8</w:t>
      </w:r>
      <w:r w:rsidR="008A1AC3">
        <w:rPr>
          <w:rFonts w:hint="eastAsia"/>
        </w:rPr>
        <w:t>、</w:t>
      </w:r>
      <w:r w:rsidRPr="000A4A1C">
        <w:rPr>
          <w:rFonts w:hint="eastAsia"/>
        </w:rPr>
        <w:t>9月辦理驗收（複驗），因無人機不明原因墜落及引擎高溫磨損等無法驗測情事，致驗收不合格</w:t>
      </w:r>
      <w:r>
        <w:rPr>
          <w:rFonts w:hint="eastAsia"/>
        </w:rPr>
        <w:t>，續該</w:t>
      </w:r>
      <w:r w:rsidRPr="000A4A1C">
        <w:rPr>
          <w:rFonts w:hint="eastAsia"/>
        </w:rPr>
        <w:t>署多次函文承商要求趲趕或提改善建議，並於</w:t>
      </w:r>
      <w:r>
        <w:rPr>
          <w:rFonts w:hint="eastAsia"/>
        </w:rPr>
        <w:t>113年</w:t>
      </w:r>
      <w:r w:rsidRPr="000A4A1C">
        <w:rPr>
          <w:rFonts w:hint="eastAsia"/>
        </w:rPr>
        <w:t>12月31日正式函文承商限期14日改正，未及於年度內完成</w:t>
      </w:r>
      <w:r w:rsidR="008A1AC3">
        <w:rPr>
          <w:rFonts w:hint="eastAsia"/>
        </w:rPr>
        <w:t>所致</w:t>
      </w:r>
      <w:r w:rsidR="00DD14A3">
        <w:rPr>
          <w:rStyle w:val="af8"/>
        </w:rPr>
        <w:footnoteReference w:id="1"/>
      </w:r>
      <w:r w:rsidRPr="000A4A1C">
        <w:rPr>
          <w:rFonts w:hint="eastAsia"/>
        </w:rPr>
        <w:t>。</w:t>
      </w:r>
    </w:p>
    <w:p w:rsidR="00644E0E" w:rsidRPr="005F0FC9" w:rsidRDefault="00644E0E" w:rsidP="009E4DE2">
      <w:pPr>
        <w:spacing w:line="460" w:lineRule="exact"/>
        <w:ind w:leftChars="-100" w:left="565" w:right="-284" w:hangingChars="299" w:hanging="848"/>
        <w:rPr>
          <w:sz w:val="24"/>
          <w:szCs w:val="24"/>
        </w:rPr>
      </w:pPr>
      <w:r w:rsidRPr="00B376E4">
        <w:rPr>
          <w:rFonts w:hint="eastAsia"/>
          <w:b/>
          <w:bCs/>
        </w:rPr>
        <w:t>表</w:t>
      </w:r>
      <w:r>
        <w:rPr>
          <w:rFonts w:hint="eastAsia"/>
          <w:b/>
          <w:bCs/>
        </w:rPr>
        <w:t>1</w:t>
      </w:r>
      <w:r w:rsidRPr="00B376E4">
        <w:rPr>
          <w:b/>
          <w:bCs/>
        </w:rPr>
        <w:t xml:space="preserve">  </w:t>
      </w:r>
      <w:r w:rsidRPr="00644E0E">
        <w:rPr>
          <w:rFonts w:hint="eastAsia"/>
          <w:b/>
          <w:bCs/>
          <w:spacing w:val="-2"/>
        </w:rPr>
        <w:t>海巡署「</w:t>
      </w:r>
      <w:r w:rsidRPr="00644E0E">
        <w:rPr>
          <w:rFonts w:hAnsi="標楷體" w:hint="eastAsia"/>
          <w:b/>
          <w:spacing w:val="-2"/>
        </w:rPr>
        <w:t>旋翼型無人機試辦計畫」(112至</w:t>
      </w:r>
      <w:r w:rsidRPr="00644E0E">
        <w:rPr>
          <w:rFonts w:hint="eastAsia"/>
          <w:b/>
          <w:spacing w:val="-2"/>
        </w:rPr>
        <w:t>116年度</w:t>
      </w:r>
      <w:r w:rsidRPr="00644E0E">
        <w:rPr>
          <w:rFonts w:hAnsi="標楷體" w:hint="eastAsia"/>
          <w:b/>
          <w:spacing w:val="-2"/>
        </w:rPr>
        <w:t>)預算編列與執行概況表</w:t>
      </w:r>
      <w:r>
        <w:t xml:space="preserve">                                     </w:t>
      </w:r>
      <w:r w:rsidRPr="005F0FC9">
        <w:rPr>
          <w:rFonts w:hint="eastAsia"/>
          <w:sz w:val="24"/>
          <w:szCs w:val="24"/>
        </w:rPr>
        <w:t>單位：新臺幣千元；%</w:t>
      </w:r>
    </w:p>
    <w:tbl>
      <w:tblPr>
        <w:tblW w:w="9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29"/>
        <w:gridCol w:w="998"/>
        <w:gridCol w:w="1134"/>
        <w:gridCol w:w="1134"/>
        <w:gridCol w:w="992"/>
        <w:gridCol w:w="850"/>
        <w:gridCol w:w="993"/>
        <w:gridCol w:w="992"/>
      </w:tblGrid>
      <w:tr w:rsidR="009E4DE2" w:rsidRPr="00451036" w:rsidTr="009E4DE2">
        <w:trPr>
          <w:trHeight w:val="468"/>
          <w:tblHeader/>
          <w:jc w:val="center"/>
        </w:trPr>
        <w:tc>
          <w:tcPr>
            <w:tcW w:w="851" w:type="dxa"/>
            <w:vMerge w:val="restart"/>
            <w:shd w:val="clear" w:color="auto" w:fill="auto"/>
            <w:vAlign w:val="center"/>
          </w:tcPr>
          <w:p w:rsidR="009E4DE2" w:rsidRPr="00644E0E" w:rsidRDefault="009E4DE2" w:rsidP="00513882">
            <w:pPr>
              <w:pStyle w:val="142"/>
              <w:jc w:val="center"/>
            </w:pPr>
            <w:r w:rsidRPr="00644E0E">
              <w:t>年度</w:t>
            </w:r>
          </w:p>
        </w:tc>
        <w:tc>
          <w:tcPr>
            <w:tcW w:w="1129" w:type="dxa"/>
            <w:vMerge w:val="restart"/>
            <w:shd w:val="clear" w:color="auto" w:fill="auto"/>
            <w:vAlign w:val="center"/>
          </w:tcPr>
          <w:p w:rsidR="009E4DE2" w:rsidRPr="00644E0E" w:rsidRDefault="009E4DE2" w:rsidP="00513882">
            <w:pPr>
              <w:pStyle w:val="142"/>
              <w:jc w:val="center"/>
            </w:pPr>
            <w:r w:rsidRPr="00644E0E">
              <w:t>截至本年度已編列預算數A</w:t>
            </w:r>
          </w:p>
        </w:tc>
        <w:tc>
          <w:tcPr>
            <w:tcW w:w="3266" w:type="dxa"/>
            <w:gridSpan w:val="3"/>
            <w:shd w:val="clear" w:color="auto" w:fill="auto"/>
            <w:vAlign w:val="center"/>
          </w:tcPr>
          <w:p w:rsidR="009E4DE2" w:rsidRPr="00644E0E" w:rsidRDefault="009E4DE2" w:rsidP="00ED57A4">
            <w:pPr>
              <w:pStyle w:val="142"/>
              <w:jc w:val="center"/>
            </w:pPr>
            <w:r w:rsidRPr="00644E0E">
              <w:t>可支用預算數</w:t>
            </w:r>
          </w:p>
        </w:tc>
        <w:tc>
          <w:tcPr>
            <w:tcW w:w="992" w:type="dxa"/>
            <w:vMerge w:val="restart"/>
            <w:shd w:val="clear" w:color="auto" w:fill="auto"/>
            <w:vAlign w:val="center"/>
          </w:tcPr>
          <w:p w:rsidR="009E4DE2" w:rsidRPr="00644E0E" w:rsidRDefault="00D768E7" w:rsidP="00513882">
            <w:pPr>
              <w:pStyle w:val="142"/>
              <w:jc w:val="center"/>
            </w:pPr>
            <w:r w:rsidRPr="00D768E7">
              <w:rPr>
                <w:rFonts w:hint="eastAsia"/>
              </w:rPr>
              <w:t>實現</w:t>
            </w:r>
            <w:r w:rsidR="009E4DE2" w:rsidRPr="00644E0E">
              <w:t>數C</w:t>
            </w:r>
          </w:p>
        </w:tc>
        <w:tc>
          <w:tcPr>
            <w:tcW w:w="850" w:type="dxa"/>
            <w:vMerge w:val="restart"/>
            <w:shd w:val="clear" w:color="auto" w:fill="auto"/>
            <w:vAlign w:val="center"/>
          </w:tcPr>
          <w:p w:rsidR="009E4DE2" w:rsidRPr="00644E0E" w:rsidRDefault="009E4DE2" w:rsidP="00ED57A4">
            <w:pPr>
              <w:pStyle w:val="142"/>
              <w:jc w:val="center"/>
            </w:pPr>
            <w:bookmarkStart w:id="6" w:name="_Hlk216193720"/>
            <w:r w:rsidRPr="00644E0E">
              <w:t>累計</w:t>
            </w:r>
            <w:r w:rsidR="00D768E7">
              <w:rPr>
                <w:rFonts w:hint="eastAsia"/>
              </w:rPr>
              <w:t>實現</w:t>
            </w:r>
            <w:r w:rsidRPr="00644E0E">
              <w:t>數</w:t>
            </w:r>
            <w:bookmarkEnd w:id="6"/>
            <w:r w:rsidRPr="00644E0E">
              <w:t>D</w:t>
            </w:r>
          </w:p>
        </w:tc>
        <w:tc>
          <w:tcPr>
            <w:tcW w:w="993" w:type="dxa"/>
            <w:vMerge w:val="restart"/>
            <w:shd w:val="clear" w:color="auto" w:fill="auto"/>
            <w:vAlign w:val="center"/>
          </w:tcPr>
          <w:p w:rsidR="009E4DE2" w:rsidRPr="00ED57A4" w:rsidRDefault="00D768E7" w:rsidP="00D768E7">
            <w:pPr>
              <w:pStyle w:val="142"/>
              <w:jc w:val="center"/>
              <w:rPr>
                <w:spacing w:val="-10"/>
              </w:rPr>
            </w:pPr>
            <w:r>
              <w:rPr>
                <w:rFonts w:hint="eastAsia"/>
              </w:rPr>
              <w:t>實現</w:t>
            </w:r>
            <w:r w:rsidR="009E4DE2" w:rsidRPr="00ED57A4">
              <w:rPr>
                <w:spacing w:val="-10"/>
              </w:rPr>
              <w:t>數/可支用預算數(</w:t>
            </w:r>
            <w:r>
              <w:rPr>
                <w:rFonts w:hint="eastAsia"/>
              </w:rPr>
              <w:t>實現</w:t>
            </w:r>
            <w:r w:rsidR="009E4DE2" w:rsidRPr="00ED57A4">
              <w:rPr>
                <w:spacing w:val="-10"/>
              </w:rPr>
              <w:t>率)C/B</w:t>
            </w:r>
          </w:p>
        </w:tc>
        <w:tc>
          <w:tcPr>
            <w:tcW w:w="992" w:type="dxa"/>
            <w:vMerge w:val="restart"/>
            <w:shd w:val="clear" w:color="auto" w:fill="auto"/>
            <w:vAlign w:val="center"/>
          </w:tcPr>
          <w:p w:rsidR="009E4DE2" w:rsidRPr="00D768E7" w:rsidRDefault="009E4DE2" w:rsidP="004C55A8">
            <w:pPr>
              <w:pStyle w:val="142"/>
              <w:jc w:val="both"/>
              <w:rPr>
                <w:spacing w:val="-20"/>
                <w:sz w:val="22"/>
                <w:szCs w:val="22"/>
              </w:rPr>
            </w:pPr>
            <w:r w:rsidRPr="00D768E7">
              <w:rPr>
                <w:spacing w:val="-20"/>
                <w:sz w:val="22"/>
                <w:szCs w:val="22"/>
              </w:rPr>
              <w:t>累計</w:t>
            </w:r>
            <w:r w:rsidR="00D768E7" w:rsidRPr="00D768E7">
              <w:rPr>
                <w:rFonts w:hint="eastAsia"/>
                <w:spacing w:val="-20"/>
                <w:sz w:val="22"/>
                <w:szCs w:val="22"/>
              </w:rPr>
              <w:t>實現</w:t>
            </w:r>
            <w:r w:rsidRPr="00D768E7">
              <w:rPr>
                <w:spacing w:val="-20"/>
                <w:sz w:val="22"/>
                <w:szCs w:val="22"/>
              </w:rPr>
              <w:t>數/截至本年度已編列預算</w:t>
            </w:r>
            <w:r w:rsidR="00D768E7" w:rsidRPr="00D768E7">
              <w:rPr>
                <w:rFonts w:hint="eastAsia"/>
                <w:spacing w:val="-20"/>
                <w:sz w:val="22"/>
                <w:szCs w:val="22"/>
                <w:lang w:eastAsia="zh-TW"/>
              </w:rPr>
              <w:t>(累計實現率)</w:t>
            </w:r>
            <w:r w:rsidRPr="00D768E7">
              <w:rPr>
                <w:spacing w:val="-20"/>
                <w:sz w:val="22"/>
                <w:szCs w:val="22"/>
              </w:rPr>
              <w:t>D/A</w:t>
            </w:r>
          </w:p>
        </w:tc>
      </w:tr>
      <w:tr w:rsidR="009E4DE2" w:rsidRPr="00451036" w:rsidTr="009E4DE2">
        <w:trPr>
          <w:trHeight w:val="20"/>
          <w:tblHeader/>
          <w:jc w:val="center"/>
        </w:trPr>
        <w:tc>
          <w:tcPr>
            <w:tcW w:w="851" w:type="dxa"/>
            <w:vMerge/>
            <w:shd w:val="clear" w:color="auto" w:fill="auto"/>
          </w:tcPr>
          <w:p w:rsidR="009E4DE2" w:rsidRPr="00644E0E" w:rsidRDefault="009E4DE2" w:rsidP="00644E0E">
            <w:pPr>
              <w:pStyle w:val="142"/>
            </w:pPr>
          </w:p>
        </w:tc>
        <w:tc>
          <w:tcPr>
            <w:tcW w:w="1129" w:type="dxa"/>
            <w:vMerge/>
            <w:shd w:val="clear" w:color="auto" w:fill="auto"/>
          </w:tcPr>
          <w:p w:rsidR="009E4DE2" w:rsidRPr="00644E0E" w:rsidRDefault="009E4DE2" w:rsidP="00644E0E">
            <w:pPr>
              <w:pStyle w:val="142"/>
            </w:pPr>
          </w:p>
        </w:tc>
        <w:tc>
          <w:tcPr>
            <w:tcW w:w="998" w:type="dxa"/>
            <w:shd w:val="clear" w:color="auto" w:fill="auto"/>
            <w:vAlign w:val="center"/>
          </w:tcPr>
          <w:p w:rsidR="009E4DE2" w:rsidRPr="00644E0E" w:rsidRDefault="009E4DE2" w:rsidP="00ED57A4">
            <w:pPr>
              <w:pStyle w:val="142"/>
              <w:jc w:val="center"/>
            </w:pPr>
            <w:r w:rsidRPr="00644E0E">
              <w:t>以前年度保留數</w:t>
            </w:r>
          </w:p>
        </w:tc>
        <w:tc>
          <w:tcPr>
            <w:tcW w:w="1134" w:type="dxa"/>
            <w:shd w:val="clear" w:color="auto" w:fill="auto"/>
            <w:vAlign w:val="center"/>
          </w:tcPr>
          <w:p w:rsidR="009E4DE2" w:rsidRPr="00644E0E" w:rsidRDefault="009E4DE2" w:rsidP="00ED57A4">
            <w:pPr>
              <w:pStyle w:val="142"/>
              <w:jc w:val="center"/>
            </w:pPr>
            <w:r w:rsidRPr="00644E0E">
              <w:t>本年度預算數</w:t>
            </w:r>
          </w:p>
        </w:tc>
        <w:tc>
          <w:tcPr>
            <w:tcW w:w="1134" w:type="dxa"/>
            <w:shd w:val="clear" w:color="auto" w:fill="auto"/>
            <w:vAlign w:val="center"/>
          </w:tcPr>
          <w:p w:rsidR="009E4DE2" w:rsidRPr="00644E0E" w:rsidRDefault="009E4DE2" w:rsidP="00ED57A4">
            <w:pPr>
              <w:pStyle w:val="142"/>
              <w:jc w:val="center"/>
            </w:pPr>
            <w:r w:rsidRPr="00644E0E">
              <w:t>合計B</w:t>
            </w:r>
          </w:p>
        </w:tc>
        <w:tc>
          <w:tcPr>
            <w:tcW w:w="992" w:type="dxa"/>
            <w:vMerge/>
            <w:shd w:val="clear" w:color="auto" w:fill="auto"/>
          </w:tcPr>
          <w:p w:rsidR="009E4DE2" w:rsidRPr="00644E0E" w:rsidRDefault="009E4DE2" w:rsidP="00644E0E">
            <w:pPr>
              <w:pStyle w:val="142"/>
            </w:pPr>
          </w:p>
        </w:tc>
        <w:tc>
          <w:tcPr>
            <w:tcW w:w="850" w:type="dxa"/>
            <w:vMerge/>
            <w:shd w:val="clear" w:color="auto" w:fill="auto"/>
          </w:tcPr>
          <w:p w:rsidR="009E4DE2" w:rsidRPr="00644E0E" w:rsidRDefault="009E4DE2" w:rsidP="00644E0E">
            <w:pPr>
              <w:pStyle w:val="142"/>
            </w:pPr>
          </w:p>
        </w:tc>
        <w:tc>
          <w:tcPr>
            <w:tcW w:w="993" w:type="dxa"/>
            <w:vMerge/>
            <w:shd w:val="clear" w:color="auto" w:fill="auto"/>
          </w:tcPr>
          <w:p w:rsidR="009E4DE2" w:rsidRPr="00644E0E" w:rsidRDefault="009E4DE2" w:rsidP="00644E0E">
            <w:pPr>
              <w:pStyle w:val="142"/>
            </w:pPr>
          </w:p>
        </w:tc>
        <w:tc>
          <w:tcPr>
            <w:tcW w:w="992" w:type="dxa"/>
            <w:vMerge/>
            <w:shd w:val="clear" w:color="auto" w:fill="auto"/>
          </w:tcPr>
          <w:p w:rsidR="009E4DE2" w:rsidRPr="00644E0E" w:rsidRDefault="009E4DE2" w:rsidP="00644E0E">
            <w:pPr>
              <w:pStyle w:val="142"/>
            </w:pPr>
          </w:p>
        </w:tc>
      </w:tr>
      <w:tr w:rsidR="009E4DE2" w:rsidRPr="00451036" w:rsidTr="009E4DE2">
        <w:trPr>
          <w:trHeight w:val="20"/>
          <w:jc w:val="center"/>
        </w:trPr>
        <w:tc>
          <w:tcPr>
            <w:tcW w:w="851" w:type="dxa"/>
            <w:shd w:val="clear" w:color="auto" w:fill="auto"/>
            <w:vAlign w:val="center"/>
          </w:tcPr>
          <w:p w:rsidR="009E4DE2" w:rsidRPr="009E4DE2" w:rsidRDefault="009E4DE2" w:rsidP="009E4DE2">
            <w:pPr>
              <w:pStyle w:val="142"/>
              <w:spacing w:line="360" w:lineRule="exact"/>
              <w:jc w:val="center"/>
            </w:pPr>
            <w:r w:rsidRPr="009E4DE2">
              <w:lastRenderedPageBreak/>
              <w:t>112</w:t>
            </w:r>
          </w:p>
        </w:tc>
        <w:tc>
          <w:tcPr>
            <w:tcW w:w="1129" w:type="dxa"/>
            <w:shd w:val="clear" w:color="auto" w:fill="auto"/>
            <w:vAlign w:val="center"/>
          </w:tcPr>
          <w:p w:rsidR="009E4DE2" w:rsidRPr="009E4DE2" w:rsidRDefault="009E4DE2" w:rsidP="00ED57A4">
            <w:pPr>
              <w:pStyle w:val="142"/>
              <w:spacing w:line="360" w:lineRule="exact"/>
              <w:jc w:val="right"/>
            </w:pPr>
            <w:r w:rsidRPr="009E4DE2">
              <w:t>50,000</w:t>
            </w:r>
          </w:p>
        </w:tc>
        <w:tc>
          <w:tcPr>
            <w:tcW w:w="998" w:type="dxa"/>
            <w:shd w:val="clear" w:color="auto" w:fill="auto"/>
            <w:vAlign w:val="center"/>
          </w:tcPr>
          <w:p w:rsidR="009E4DE2" w:rsidRPr="009E4DE2" w:rsidRDefault="009E4DE2" w:rsidP="00ED57A4">
            <w:pPr>
              <w:pStyle w:val="142"/>
              <w:spacing w:line="360" w:lineRule="exact"/>
              <w:jc w:val="right"/>
            </w:pPr>
            <w:r w:rsidRPr="009E4DE2">
              <w:t>0</w:t>
            </w:r>
          </w:p>
        </w:tc>
        <w:tc>
          <w:tcPr>
            <w:tcW w:w="1134" w:type="dxa"/>
            <w:shd w:val="clear" w:color="auto" w:fill="auto"/>
            <w:vAlign w:val="center"/>
          </w:tcPr>
          <w:p w:rsidR="009E4DE2" w:rsidRPr="009E4DE2" w:rsidRDefault="009E4DE2" w:rsidP="00ED57A4">
            <w:pPr>
              <w:pStyle w:val="142"/>
              <w:spacing w:line="360" w:lineRule="exact"/>
              <w:jc w:val="right"/>
            </w:pPr>
            <w:r w:rsidRPr="009E4DE2">
              <w:t>50,000</w:t>
            </w:r>
          </w:p>
        </w:tc>
        <w:tc>
          <w:tcPr>
            <w:tcW w:w="1134" w:type="dxa"/>
            <w:shd w:val="clear" w:color="auto" w:fill="auto"/>
            <w:vAlign w:val="center"/>
          </w:tcPr>
          <w:p w:rsidR="009E4DE2" w:rsidRPr="009E4DE2" w:rsidRDefault="009E4DE2" w:rsidP="00ED57A4">
            <w:pPr>
              <w:pStyle w:val="142"/>
              <w:spacing w:line="360" w:lineRule="exact"/>
              <w:jc w:val="right"/>
            </w:pPr>
            <w:r w:rsidRPr="009E4DE2">
              <w:t>50,000</w:t>
            </w:r>
          </w:p>
        </w:tc>
        <w:tc>
          <w:tcPr>
            <w:tcW w:w="992" w:type="dxa"/>
            <w:shd w:val="clear" w:color="auto" w:fill="auto"/>
            <w:vAlign w:val="center"/>
          </w:tcPr>
          <w:p w:rsidR="009E4DE2" w:rsidRPr="009E4DE2" w:rsidRDefault="009E4DE2" w:rsidP="00ED57A4">
            <w:pPr>
              <w:pStyle w:val="142"/>
              <w:spacing w:line="360" w:lineRule="exact"/>
              <w:jc w:val="right"/>
            </w:pPr>
            <w:r w:rsidRPr="009E4DE2">
              <w:t>3,373</w:t>
            </w:r>
          </w:p>
        </w:tc>
        <w:tc>
          <w:tcPr>
            <w:tcW w:w="850" w:type="dxa"/>
            <w:shd w:val="clear" w:color="auto" w:fill="auto"/>
            <w:vAlign w:val="center"/>
          </w:tcPr>
          <w:p w:rsidR="009E4DE2" w:rsidRPr="009E4DE2" w:rsidRDefault="009E4DE2" w:rsidP="00ED57A4">
            <w:pPr>
              <w:pStyle w:val="142"/>
              <w:spacing w:line="360" w:lineRule="exact"/>
              <w:jc w:val="right"/>
            </w:pPr>
            <w:r w:rsidRPr="009E4DE2">
              <w:t>3,373</w:t>
            </w:r>
          </w:p>
        </w:tc>
        <w:tc>
          <w:tcPr>
            <w:tcW w:w="993" w:type="dxa"/>
            <w:shd w:val="clear" w:color="auto" w:fill="auto"/>
            <w:vAlign w:val="center"/>
          </w:tcPr>
          <w:p w:rsidR="009E4DE2" w:rsidRPr="009E4DE2" w:rsidRDefault="009E4DE2" w:rsidP="00ED57A4">
            <w:pPr>
              <w:pStyle w:val="142"/>
              <w:spacing w:line="360" w:lineRule="exact"/>
              <w:jc w:val="right"/>
            </w:pPr>
            <w:r w:rsidRPr="009E4DE2">
              <w:t>6.75</w:t>
            </w:r>
          </w:p>
        </w:tc>
        <w:tc>
          <w:tcPr>
            <w:tcW w:w="992" w:type="dxa"/>
            <w:shd w:val="clear" w:color="auto" w:fill="auto"/>
            <w:vAlign w:val="center"/>
          </w:tcPr>
          <w:p w:rsidR="009E4DE2" w:rsidRPr="009E4DE2" w:rsidRDefault="009E4DE2" w:rsidP="00ED57A4">
            <w:pPr>
              <w:pStyle w:val="142"/>
              <w:spacing w:line="360" w:lineRule="exact"/>
              <w:jc w:val="right"/>
            </w:pPr>
            <w:r w:rsidRPr="009E4DE2">
              <w:t>6.75</w:t>
            </w:r>
          </w:p>
        </w:tc>
      </w:tr>
      <w:tr w:rsidR="009E4DE2" w:rsidRPr="00451036" w:rsidTr="009E4DE2">
        <w:trPr>
          <w:trHeight w:val="20"/>
          <w:jc w:val="center"/>
        </w:trPr>
        <w:tc>
          <w:tcPr>
            <w:tcW w:w="851" w:type="dxa"/>
            <w:shd w:val="clear" w:color="auto" w:fill="auto"/>
            <w:vAlign w:val="center"/>
          </w:tcPr>
          <w:p w:rsidR="009E4DE2" w:rsidRPr="009E4DE2" w:rsidRDefault="009E4DE2" w:rsidP="009E4DE2">
            <w:pPr>
              <w:pStyle w:val="142"/>
              <w:spacing w:line="360" w:lineRule="exact"/>
              <w:jc w:val="center"/>
            </w:pPr>
            <w:r w:rsidRPr="009E4DE2">
              <w:t>113</w:t>
            </w:r>
          </w:p>
        </w:tc>
        <w:tc>
          <w:tcPr>
            <w:tcW w:w="1129" w:type="dxa"/>
            <w:shd w:val="clear" w:color="auto" w:fill="auto"/>
            <w:vAlign w:val="center"/>
          </w:tcPr>
          <w:p w:rsidR="009E4DE2" w:rsidRPr="009E4DE2" w:rsidRDefault="009E4DE2" w:rsidP="00ED57A4">
            <w:pPr>
              <w:pStyle w:val="142"/>
              <w:spacing w:line="360" w:lineRule="exact"/>
              <w:jc w:val="right"/>
            </w:pPr>
            <w:r w:rsidRPr="009E4DE2">
              <w:t>102,040</w:t>
            </w:r>
          </w:p>
        </w:tc>
        <w:tc>
          <w:tcPr>
            <w:tcW w:w="998" w:type="dxa"/>
            <w:shd w:val="clear" w:color="auto" w:fill="auto"/>
            <w:vAlign w:val="center"/>
          </w:tcPr>
          <w:p w:rsidR="009E4DE2" w:rsidRPr="009E4DE2" w:rsidRDefault="009E4DE2" w:rsidP="00ED57A4">
            <w:pPr>
              <w:pStyle w:val="142"/>
              <w:spacing w:line="360" w:lineRule="exact"/>
              <w:jc w:val="right"/>
            </w:pPr>
            <w:r w:rsidRPr="009E4DE2">
              <w:t>46,627</w:t>
            </w:r>
          </w:p>
        </w:tc>
        <w:tc>
          <w:tcPr>
            <w:tcW w:w="1134" w:type="dxa"/>
            <w:shd w:val="clear" w:color="auto" w:fill="auto"/>
            <w:vAlign w:val="center"/>
          </w:tcPr>
          <w:p w:rsidR="009E4DE2" w:rsidRPr="009E4DE2" w:rsidRDefault="009E4DE2" w:rsidP="00ED57A4">
            <w:pPr>
              <w:pStyle w:val="142"/>
              <w:spacing w:line="360" w:lineRule="exact"/>
              <w:jc w:val="right"/>
            </w:pPr>
            <w:r w:rsidRPr="009E4DE2">
              <w:t>52,040</w:t>
            </w:r>
          </w:p>
        </w:tc>
        <w:tc>
          <w:tcPr>
            <w:tcW w:w="1134" w:type="dxa"/>
            <w:shd w:val="clear" w:color="auto" w:fill="auto"/>
            <w:vAlign w:val="center"/>
          </w:tcPr>
          <w:p w:rsidR="009E4DE2" w:rsidRPr="009E4DE2" w:rsidRDefault="009E4DE2" w:rsidP="00ED57A4">
            <w:pPr>
              <w:pStyle w:val="142"/>
              <w:spacing w:line="360" w:lineRule="exact"/>
              <w:jc w:val="right"/>
            </w:pPr>
            <w:r w:rsidRPr="009E4DE2">
              <w:t>98,667</w:t>
            </w:r>
          </w:p>
        </w:tc>
        <w:tc>
          <w:tcPr>
            <w:tcW w:w="992" w:type="dxa"/>
            <w:shd w:val="clear" w:color="auto" w:fill="auto"/>
            <w:vAlign w:val="center"/>
          </w:tcPr>
          <w:p w:rsidR="009E4DE2" w:rsidRPr="009E4DE2" w:rsidRDefault="009E4DE2" w:rsidP="00ED57A4">
            <w:pPr>
              <w:pStyle w:val="142"/>
              <w:spacing w:line="360" w:lineRule="exact"/>
              <w:jc w:val="right"/>
            </w:pPr>
            <w:r w:rsidRPr="009E4DE2">
              <w:t>100</w:t>
            </w:r>
          </w:p>
        </w:tc>
        <w:tc>
          <w:tcPr>
            <w:tcW w:w="850" w:type="dxa"/>
            <w:shd w:val="clear" w:color="auto" w:fill="auto"/>
            <w:vAlign w:val="center"/>
          </w:tcPr>
          <w:p w:rsidR="009E4DE2" w:rsidRPr="009E4DE2" w:rsidRDefault="009E4DE2" w:rsidP="00ED57A4">
            <w:pPr>
              <w:pStyle w:val="142"/>
              <w:spacing w:line="360" w:lineRule="exact"/>
              <w:jc w:val="right"/>
            </w:pPr>
            <w:r w:rsidRPr="009E4DE2">
              <w:t>3,473</w:t>
            </w:r>
          </w:p>
        </w:tc>
        <w:tc>
          <w:tcPr>
            <w:tcW w:w="993" w:type="dxa"/>
            <w:shd w:val="clear" w:color="auto" w:fill="auto"/>
            <w:vAlign w:val="center"/>
          </w:tcPr>
          <w:p w:rsidR="009E4DE2" w:rsidRPr="009E4DE2" w:rsidRDefault="009E4DE2" w:rsidP="00ED57A4">
            <w:pPr>
              <w:pStyle w:val="142"/>
              <w:spacing w:line="360" w:lineRule="exact"/>
              <w:jc w:val="right"/>
            </w:pPr>
            <w:r w:rsidRPr="009E4DE2">
              <w:t>0.1</w:t>
            </w:r>
            <w:r w:rsidRPr="009E4DE2">
              <w:rPr>
                <w:rFonts w:hint="eastAsia"/>
              </w:rPr>
              <w:t>0</w:t>
            </w:r>
          </w:p>
        </w:tc>
        <w:tc>
          <w:tcPr>
            <w:tcW w:w="992" w:type="dxa"/>
            <w:shd w:val="clear" w:color="auto" w:fill="auto"/>
            <w:vAlign w:val="center"/>
          </w:tcPr>
          <w:p w:rsidR="009E4DE2" w:rsidRPr="009E4DE2" w:rsidRDefault="009E4DE2" w:rsidP="00ED57A4">
            <w:pPr>
              <w:pStyle w:val="142"/>
              <w:spacing w:line="360" w:lineRule="exact"/>
              <w:jc w:val="right"/>
            </w:pPr>
            <w:r w:rsidRPr="009E4DE2">
              <w:t>3.40</w:t>
            </w:r>
          </w:p>
        </w:tc>
      </w:tr>
    </w:tbl>
    <w:p w:rsidR="00644E0E" w:rsidRPr="007D7856" w:rsidRDefault="00644E0E" w:rsidP="009E4DE2">
      <w:pPr>
        <w:spacing w:line="280" w:lineRule="exact"/>
        <w:ind w:leftChars="-100" w:left="450" w:hangingChars="301" w:hanging="733"/>
        <w:rPr>
          <w:rFonts w:hint="eastAsia"/>
          <w:sz w:val="24"/>
          <w:szCs w:val="24"/>
        </w:rPr>
      </w:pPr>
      <w:r w:rsidRPr="007D7856">
        <w:rPr>
          <w:rFonts w:hint="eastAsia"/>
          <w:sz w:val="24"/>
          <w:szCs w:val="24"/>
        </w:rPr>
        <w:t>資料來源：海巡署。</w:t>
      </w:r>
    </w:p>
    <w:bookmarkEnd w:id="4"/>
    <w:p w:rsidR="00BA51A4" w:rsidRDefault="00BA51A4" w:rsidP="00BA51A4">
      <w:pPr>
        <w:ind w:left="567" w:firstLine="567"/>
      </w:pPr>
      <w:r w:rsidRPr="008C6E7B">
        <w:rPr>
          <w:rFonts w:hint="eastAsia"/>
        </w:rPr>
        <w:t>綜上，</w:t>
      </w:r>
      <w:r w:rsidR="000A4A1C" w:rsidRPr="000A4A1C">
        <w:rPr>
          <w:rFonts w:hint="eastAsia"/>
        </w:rPr>
        <w:t>為強化無人機隊量能及海難事件獲救效率</w:t>
      </w:r>
      <w:r w:rsidR="003D3895">
        <w:rPr>
          <w:rFonts w:hint="eastAsia"/>
        </w:rPr>
        <w:t>，</w:t>
      </w:r>
      <w:r w:rsidRPr="00732836">
        <w:rPr>
          <w:rFonts w:hint="eastAsia"/>
        </w:rPr>
        <w:t>海巡署</w:t>
      </w:r>
      <w:r w:rsidR="003D3895">
        <w:rPr>
          <w:rFonts w:hAnsi="標楷體" w:hint="eastAsia"/>
        </w:rPr>
        <w:t>辦理</w:t>
      </w:r>
      <w:r w:rsidR="000A4A1C" w:rsidRPr="000A4A1C">
        <w:rPr>
          <w:rFonts w:hAnsi="標楷體" w:hint="eastAsia"/>
        </w:rPr>
        <w:t>「旋翼型無人機試辦計畫」</w:t>
      </w:r>
      <w:r w:rsidR="00585469" w:rsidRPr="00585469">
        <w:rPr>
          <w:rFonts w:hAnsi="標楷體" w:hint="eastAsia"/>
        </w:rPr>
        <w:t>(112至116年度)</w:t>
      </w:r>
      <w:r w:rsidR="003D3895">
        <w:rPr>
          <w:rFonts w:hAnsi="標楷體" w:hint="eastAsia"/>
        </w:rPr>
        <w:t>，惟112及113年底</w:t>
      </w:r>
      <w:r w:rsidR="000A4A1C" w:rsidRPr="000A4A1C">
        <w:rPr>
          <w:rFonts w:hAnsi="標楷體" w:hint="eastAsia"/>
        </w:rPr>
        <w:t>累計</w:t>
      </w:r>
      <w:r w:rsidR="00E93A5B">
        <w:rPr>
          <w:rFonts w:hAnsi="標楷體" w:hint="eastAsia"/>
        </w:rPr>
        <w:t>實現</w:t>
      </w:r>
      <w:r w:rsidR="000A4A1C" w:rsidRPr="000A4A1C">
        <w:rPr>
          <w:rFonts w:hAnsi="標楷體" w:hint="eastAsia"/>
        </w:rPr>
        <w:t>率</w:t>
      </w:r>
      <w:r w:rsidR="003D3895" w:rsidRPr="003D3895">
        <w:rPr>
          <w:rFonts w:hAnsi="標楷體" w:hint="eastAsia"/>
        </w:rPr>
        <w:t>分別為6.75%、3.40%</w:t>
      </w:r>
      <w:r w:rsidR="003D3895">
        <w:rPr>
          <w:rFonts w:hAnsi="標楷體" w:hint="eastAsia"/>
        </w:rPr>
        <w:t>，</w:t>
      </w:r>
      <w:r w:rsidR="000A4A1C" w:rsidRPr="000A4A1C">
        <w:rPr>
          <w:rFonts w:hAnsi="標楷體" w:hint="eastAsia"/>
        </w:rPr>
        <w:t>均未及一成，各年度執行情形大幅落後預期，顯有未洽</w:t>
      </w:r>
      <w:r w:rsidR="003D3895">
        <w:rPr>
          <w:rFonts w:hAnsi="標楷體" w:hint="eastAsia"/>
        </w:rPr>
        <w:t>，允宜檢討改善</w:t>
      </w:r>
      <w:r w:rsidRPr="00261839">
        <w:rPr>
          <w:rFonts w:hint="eastAsia"/>
        </w:rPr>
        <w:t>。</w:t>
      </w:r>
    </w:p>
    <w:p w:rsidR="00C702BD" w:rsidRDefault="00675840" w:rsidP="00CF1200">
      <w:pPr>
        <w:pStyle w:val="ab"/>
      </w:pPr>
      <w:r w:rsidRPr="003236C6">
        <w:rPr>
          <w:rFonts w:hint="eastAsia"/>
        </w:rPr>
        <w:t>（分機：</w:t>
      </w:r>
      <w:r w:rsidR="00E7356E">
        <w:rPr>
          <w:rFonts w:hint="eastAsia"/>
        </w:rPr>
        <w:t>1</w:t>
      </w:r>
      <w:r w:rsidR="00E7356E">
        <w:t xml:space="preserve">932 </w:t>
      </w:r>
      <w:r w:rsidR="00E7356E">
        <w:rPr>
          <w:rFonts w:hint="eastAsia"/>
        </w:rPr>
        <w:t>陳如慧</w:t>
      </w:r>
      <w:r w:rsidRPr="003236C6">
        <w:rPr>
          <w:rFonts w:hint="eastAsia"/>
        </w:rPr>
        <w:t>）</w:t>
      </w:r>
    </w:p>
    <w:sectPr w:rsidR="00C702BD"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6F4" w:rsidRDefault="004F16F4" w:rsidP="00906F97">
      <w:pPr>
        <w:spacing w:line="240" w:lineRule="auto"/>
        <w:ind w:left="560" w:firstLine="560"/>
      </w:pPr>
    </w:p>
    <w:p w:rsidR="004F16F4" w:rsidRDefault="004F16F4" w:rsidP="00906F97">
      <w:pPr>
        <w:ind w:left="560" w:firstLine="560"/>
      </w:pPr>
    </w:p>
  </w:endnote>
  <w:endnote w:type="continuationSeparator" w:id="0">
    <w:p w:rsidR="004F16F4" w:rsidRDefault="004F16F4" w:rsidP="00906F97">
      <w:pPr>
        <w:spacing w:line="240" w:lineRule="auto"/>
        <w:ind w:left="560" w:firstLine="560"/>
      </w:pPr>
    </w:p>
    <w:p w:rsidR="004F16F4" w:rsidRDefault="004F16F4"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D82086" w:rsidRPr="00D82086">
      <w:rPr>
        <w:rFonts w:ascii="標楷體" w:eastAsia="標楷體" w:hAnsi="標楷體"/>
        <w:noProof/>
        <w:lang w:val="zh-TW" w:eastAsia="zh-TW"/>
      </w:rPr>
      <w:t>2</w:t>
    </w:r>
    <w:r w:rsidRPr="00810327">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6F4" w:rsidRDefault="004F16F4" w:rsidP="00BD5EDD">
      <w:pPr>
        <w:spacing w:line="240" w:lineRule="auto"/>
        <w:ind w:left="560" w:firstLine="560"/>
      </w:pPr>
      <w:r>
        <w:separator/>
      </w:r>
    </w:p>
  </w:footnote>
  <w:footnote w:type="continuationSeparator" w:id="0">
    <w:p w:rsidR="004F16F4" w:rsidRDefault="004F16F4" w:rsidP="00906F97">
      <w:pPr>
        <w:spacing w:line="240" w:lineRule="auto"/>
        <w:ind w:left="560" w:firstLine="560"/>
      </w:pPr>
      <w:r>
        <w:continuationSeparator/>
      </w:r>
    </w:p>
  </w:footnote>
  <w:footnote w:id="1">
    <w:p w:rsidR="00DD14A3" w:rsidRDefault="00DD14A3" w:rsidP="00DD14A3">
      <w:pPr>
        <w:pStyle w:val="af6"/>
        <w:ind w:leftChars="0" w:left="0" w:firstLine="0"/>
        <w:jc w:val="both"/>
        <w:rPr>
          <w:rFonts w:hint="eastAsia"/>
          <w:lang w:eastAsia="zh-TW"/>
        </w:rPr>
      </w:pPr>
      <w:r>
        <w:rPr>
          <w:rStyle w:val="af8"/>
        </w:rPr>
        <w:footnoteRef/>
      </w:r>
      <w:r w:rsidRPr="00DD14A3">
        <w:rPr>
          <w:rFonts w:hint="eastAsia"/>
        </w:rPr>
        <w:t>海巡署表示「旋翼型無人機試辦計畫」(112至116年度)因計畫契約所規範之無人機引擎技術超越廠商能力所及，無法繼續執行本案契約，雙方業於114月2月4日解除契約，</w:t>
      </w:r>
      <w:r>
        <w:rPr>
          <w:rFonts w:hint="eastAsia"/>
          <w:lang w:eastAsia="zh-TW"/>
        </w:rPr>
        <w:t>該署已辦理</w:t>
      </w:r>
      <w:r w:rsidRPr="00DD14A3">
        <w:rPr>
          <w:rFonts w:hint="eastAsia"/>
        </w:rPr>
        <w:t>計畫修正。</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F4109B"/>
    <w:multiLevelType w:val="hybridMultilevel"/>
    <w:tmpl w:val="D4AA0050"/>
    <w:lvl w:ilvl="0" w:tplc="EDD813CC">
      <w:start w:val="1"/>
      <w:numFmt w:val="taiwaneseCountingThousand"/>
      <w:lvlText w:val="%1、"/>
      <w:lvlJc w:val="left"/>
      <w:pPr>
        <w:ind w:left="-101" w:hanging="465"/>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6"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7"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8"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1"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2"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3"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4"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5"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6"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7"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2"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40"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1"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3"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2"/>
  </w:num>
  <w:num w:numId="2">
    <w:abstractNumId w:val="9"/>
  </w:num>
  <w:num w:numId="3">
    <w:abstractNumId w:val="35"/>
  </w:num>
  <w:num w:numId="4">
    <w:abstractNumId w:val="13"/>
  </w:num>
  <w:num w:numId="5">
    <w:abstractNumId w:val="8"/>
  </w:num>
  <w:num w:numId="6">
    <w:abstractNumId w:val="20"/>
  </w:num>
  <w:num w:numId="7">
    <w:abstractNumId w:val="38"/>
  </w:num>
  <w:num w:numId="8">
    <w:abstractNumId w:val="36"/>
  </w:num>
  <w:num w:numId="9">
    <w:abstractNumId w:val="34"/>
  </w:num>
  <w:num w:numId="10">
    <w:abstractNumId w:val="31"/>
  </w:num>
  <w:num w:numId="11">
    <w:abstractNumId w:val="5"/>
  </w:num>
  <w:num w:numId="12">
    <w:abstractNumId w:val="18"/>
  </w:num>
  <w:num w:numId="13">
    <w:abstractNumId w:val="7"/>
  </w:num>
  <w:num w:numId="14">
    <w:abstractNumId w:val="40"/>
  </w:num>
  <w:num w:numId="15">
    <w:abstractNumId w:val="2"/>
  </w:num>
  <w:num w:numId="16">
    <w:abstractNumId w:val="22"/>
  </w:num>
  <w:num w:numId="17">
    <w:abstractNumId w:val="17"/>
  </w:num>
  <w:num w:numId="18">
    <w:abstractNumId w:val="4"/>
  </w:num>
  <w:num w:numId="19">
    <w:abstractNumId w:val="12"/>
  </w:num>
  <w:num w:numId="20">
    <w:abstractNumId w:val="21"/>
  </w:num>
  <w:num w:numId="21">
    <w:abstractNumId w:val="25"/>
  </w:num>
  <w:num w:numId="22">
    <w:abstractNumId w:val="39"/>
  </w:num>
  <w:num w:numId="23">
    <w:abstractNumId w:val="16"/>
  </w:num>
  <w:num w:numId="24">
    <w:abstractNumId w:val="26"/>
  </w:num>
  <w:num w:numId="25">
    <w:abstractNumId w:val="43"/>
  </w:num>
  <w:num w:numId="26">
    <w:abstractNumId w:val="1"/>
  </w:num>
  <w:num w:numId="27">
    <w:abstractNumId w:val="27"/>
  </w:num>
  <w:num w:numId="28">
    <w:abstractNumId w:val="32"/>
  </w:num>
  <w:num w:numId="29">
    <w:abstractNumId w:val="24"/>
  </w:num>
  <w:num w:numId="30">
    <w:abstractNumId w:val="0"/>
  </w:num>
  <w:num w:numId="31">
    <w:abstractNumId w:val="33"/>
  </w:num>
  <w:num w:numId="32">
    <w:abstractNumId w:val="41"/>
  </w:num>
  <w:num w:numId="33">
    <w:abstractNumId w:val="19"/>
  </w:num>
  <w:num w:numId="34">
    <w:abstractNumId w:val="3"/>
  </w:num>
  <w:num w:numId="35">
    <w:abstractNumId w:val="6"/>
  </w:num>
  <w:num w:numId="36">
    <w:abstractNumId w:val="37"/>
  </w:num>
  <w:num w:numId="37">
    <w:abstractNumId w:val="23"/>
  </w:num>
  <w:num w:numId="38">
    <w:abstractNumId w:val="29"/>
  </w:num>
  <w:num w:numId="39">
    <w:abstractNumId w:val="30"/>
  </w:num>
  <w:num w:numId="40">
    <w:abstractNumId w:val="14"/>
  </w:num>
  <w:num w:numId="41">
    <w:abstractNumId w:val="10"/>
  </w:num>
  <w:num w:numId="42">
    <w:abstractNumId w:val="11"/>
  </w:num>
  <w:num w:numId="43">
    <w:abstractNumId w:val="28"/>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10E"/>
    <w:rsid w:val="00002841"/>
    <w:rsid w:val="00002B5F"/>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1788E"/>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38"/>
    <w:rsid w:val="00024767"/>
    <w:rsid w:val="00025B18"/>
    <w:rsid w:val="00025B6A"/>
    <w:rsid w:val="00025E75"/>
    <w:rsid w:val="0002605D"/>
    <w:rsid w:val="00026670"/>
    <w:rsid w:val="000271B0"/>
    <w:rsid w:val="00027525"/>
    <w:rsid w:val="00027691"/>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5F8A"/>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1EC"/>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22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2DC"/>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B2E"/>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4A1C"/>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244D"/>
    <w:rsid w:val="000C30C9"/>
    <w:rsid w:val="000C364E"/>
    <w:rsid w:val="000C4191"/>
    <w:rsid w:val="000C4959"/>
    <w:rsid w:val="000C4BAD"/>
    <w:rsid w:val="000C4D9D"/>
    <w:rsid w:val="000C5655"/>
    <w:rsid w:val="000C6063"/>
    <w:rsid w:val="000C62F9"/>
    <w:rsid w:val="000C66B3"/>
    <w:rsid w:val="000C6905"/>
    <w:rsid w:val="000C6A36"/>
    <w:rsid w:val="000C6B35"/>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60B"/>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5AA"/>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67FA2"/>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2F13"/>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C4A"/>
    <w:rsid w:val="001B6E68"/>
    <w:rsid w:val="001B72B8"/>
    <w:rsid w:val="001B783B"/>
    <w:rsid w:val="001B7E9E"/>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DE"/>
    <w:rsid w:val="001D17FB"/>
    <w:rsid w:val="001D2118"/>
    <w:rsid w:val="001D21F4"/>
    <w:rsid w:val="001D381E"/>
    <w:rsid w:val="001D3EAF"/>
    <w:rsid w:val="001D4308"/>
    <w:rsid w:val="001D4648"/>
    <w:rsid w:val="001D4B0F"/>
    <w:rsid w:val="001D4C71"/>
    <w:rsid w:val="001D56B0"/>
    <w:rsid w:val="001D5774"/>
    <w:rsid w:val="001D5C0E"/>
    <w:rsid w:val="001D5D47"/>
    <w:rsid w:val="001D5E1F"/>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BF7"/>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4A10"/>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3A"/>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DA5"/>
    <w:rsid w:val="00224E88"/>
    <w:rsid w:val="0022604D"/>
    <w:rsid w:val="0022607E"/>
    <w:rsid w:val="002264F3"/>
    <w:rsid w:val="00226632"/>
    <w:rsid w:val="0022765D"/>
    <w:rsid w:val="00227CA7"/>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1F1"/>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3CF"/>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437"/>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3A9F"/>
    <w:rsid w:val="002C4012"/>
    <w:rsid w:val="002C430C"/>
    <w:rsid w:val="002C46AD"/>
    <w:rsid w:val="002C4A83"/>
    <w:rsid w:val="002C4F70"/>
    <w:rsid w:val="002C5248"/>
    <w:rsid w:val="002C5883"/>
    <w:rsid w:val="002C596D"/>
    <w:rsid w:val="002C59B7"/>
    <w:rsid w:val="002C5D2E"/>
    <w:rsid w:val="002C5DB6"/>
    <w:rsid w:val="002C5F9A"/>
    <w:rsid w:val="002C5FB3"/>
    <w:rsid w:val="002C6126"/>
    <w:rsid w:val="002C67C9"/>
    <w:rsid w:val="002C67E5"/>
    <w:rsid w:val="002C7080"/>
    <w:rsid w:val="002C785E"/>
    <w:rsid w:val="002C79F1"/>
    <w:rsid w:val="002C7CE2"/>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9A7"/>
    <w:rsid w:val="00344AD6"/>
    <w:rsid w:val="00344B10"/>
    <w:rsid w:val="00344CB4"/>
    <w:rsid w:val="00344F5F"/>
    <w:rsid w:val="003451F6"/>
    <w:rsid w:val="0034521E"/>
    <w:rsid w:val="0034536B"/>
    <w:rsid w:val="0034594B"/>
    <w:rsid w:val="003459BC"/>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299"/>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17D"/>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895"/>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3C9A"/>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E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9D2"/>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37D4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CD2"/>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4B87"/>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405"/>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0F4E"/>
    <w:rsid w:val="004A16F7"/>
    <w:rsid w:val="004A193A"/>
    <w:rsid w:val="004A2237"/>
    <w:rsid w:val="004A237E"/>
    <w:rsid w:val="004A261B"/>
    <w:rsid w:val="004A26E8"/>
    <w:rsid w:val="004A2874"/>
    <w:rsid w:val="004A3431"/>
    <w:rsid w:val="004A3EDA"/>
    <w:rsid w:val="004A4042"/>
    <w:rsid w:val="004A4065"/>
    <w:rsid w:val="004A452B"/>
    <w:rsid w:val="004A4B2E"/>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1E5E"/>
    <w:rsid w:val="004B2038"/>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5A8"/>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A30"/>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972"/>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6F4"/>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D68"/>
    <w:rsid w:val="00505E25"/>
    <w:rsid w:val="00506060"/>
    <w:rsid w:val="00506532"/>
    <w:rsid w:val="00506695"/>
    <w:rsid w:val="00506DAE"/>
    <w:rsid w:val="00506DCB"/>
    <w:rsid w:val="00507374"/>
    <w:rsid w:val="005078F5"/>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210"/>
    <w:rsid w:val="00513881"/>
    <w:rsid w:val="00513882"/>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917"/>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0BB"/>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544E"/>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469"/>
    <w:rsid w:val="00585B54"/>
    <w:rsid w:val="0058635A"/>
    <w:rsid w:val="005869B7"/>
    <w:rsid w:val="00586BFA"/>
    <w:rsid w:val="00586BFC"/>
    <w:rsid w:val="00586D06"/>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3E66"/>
    <w:rsid w:val="005B4005"/>
    <w:rsid w:val="005B424D"/>
    <w:rsid w:val="005B49BA"/>
    <w:rsid w:val="005B4C11"/>
    <w:rsid w:val="005B4C44"/>
    <w:rsid w:val="005B50F7"/>
    <w:rsid w:val="005B5416"/>
    <w:rsid w:val="005C04D4"/>
    <w:rsid w:val="005C0B5F"/>
    <w:rsid w:val="005C0CE2"/>
    <w:rsid w:val="005C1508"/>
    <w:rsid w:val="005C191E"/>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48"/>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5BF6"/>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55C9"/>
    <w:rsid w:val="00627B9A"/>
    <w:rsid w:val="00627C35"/>
    <w:rsid w:val="00630C64"/>
    <w:rsid w:val="00630CD2"/>
    <w:rsid w:val="00630D36"/>
    <w:rsid w:val="00630F47"/>
    <w:rsid w:val="0063136B"/>
    <w:rsid w:val="0063196A"/>
    <w:rsid w:val="0063213A"/>
    <w:rsid w:val="006322D1"/>
    <w:rsid w:val="00632AEA"/>
    <w:rsid w:val="00632EB3"/>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2384"/>
    <w:rsid w:val="00643364"/>
    <w:rsid w:val="0064340E"/>
    <w:rsid w:val="00643709"/>
    <w:rsid w:val="00643A22"/>
    <w:rsid w:val="00643BB5"/>
    <w:rsid w:val="006441F1"/>
    <w:rsid w:val="006442DD"/>
    <w:rsid w:val="006443E9"/>
    <w:rsid w:val="00644773"/>
    <w:rsid w:val="00644A42"/>
    <w:rsid w:val="00644C8C"/>
    <w:rsid w:val="00644CE7"/>
    <w:rsid w:val="00644D3B"/>
    <w:rsid w:val="00644E0E"/>
    <w:rsid w:val="00644E2B"/>
    <w:rsid w:val="00644E72"/>
    <w:rsid w:val="00645533"/>
    <w:rsid w:val="006457D5"/>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6FE5"/>
    <w:rsid w:val="0065763B"/>
    <w:rsid w:val="00660C32"/>
    <w:rsid w:val="00660CD6"/>
    <w:rsid w:val="00660FCA"/>
    <w:rsid w:val="006612E0"/>
    <w:rsid w:val="00661F76"/>
    <w:rsid w:val="00662871"/>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832"/>
    <w:rsid w:val="006A6F13"/>
    <w:rsid w:val="006A6F3F"/>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1C8"/>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41D"/>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43F"/>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1C3"/>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719"/>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3F2D"/>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5CB"/>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81C"/>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98"/>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078F2"/>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65ED"/>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1B4"/>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3ECB"/>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1F2C"/>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1AC3"/>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3F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1FC0"/>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984"/>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489"/>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83A"/>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1A0"/>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97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0DEE"/>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2DF3"/>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D2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849"/>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781"/>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4DE2"/>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692"/>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23"/>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5E8A"/>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0B1D"/>
    <w:rsid w:val="00A314C5"/>
    <w:rsid w:val="00A31B4C"/>
    <w:rsid w:val="00A32BD8"/>
    <w:rsid w:val="00A32C1E"/>
    <w:rsid w:val="00A330C6"/>
    <w:rsid w:val="00A335C9"/>
    <w:rsid w:val="00A33A6E"/>
    <w:rsid w:val="00A3400E"/>
    <w:rsid w:val="00A3422C"/>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8F0"/>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7B9"/>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8A6"/>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2C27"/>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47"/>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1A4"/>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410"/>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9E9"/>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227"/>
    <w:rsid w:val="00C20465"/>
    <w:rsid w:val="00C20E02"/>
    <w:rsid w:val="00C21184"/>
    <w:rsid w:val="00C216CF"/>
    <w:rsid w:val="00C22ABE"/>
    <w:rsid w:val="00C230B3"/>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0B29"/>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1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B0B"/>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7AC"/>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2F9D"/>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710"/>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7EA"/>
    <w:rsid w:val="00D7395E"/>
    <w:rsid w:val="00D7425C"/>
    <w:rsid w:val="00D7522D"/>
    <w:rsid w:val="00D75D53"/>
    <w:rsid w:val="00D75DA4"/>
    <w:rsid w:val="00D762BC"/>
    <w:rsid w:val="00D76804"/>
    <w:rsid w:val="00D768E7"/>
    <w:rsid w:val="00D7691E"/>
    <w:rsid w:val="00D77559"/>
    <w:rsid w:val="00D77D95"/>
    <w:rsid w:val="00D8014E"/>
    <w:rsid w:val="00D806F0"/>
    <w:rsid w:val="00D807FA"/>
    <w:rsid w:val="00D80DA5"/>
    <w:rsid w:val="00D8123F"/>
    <w:rsid w:val="00D814AA"/>
    <w:rsid w:val="00D814D1"/>
    <w:rsid w:val="00D81A31"/>
    <w:rsid w:val="00D82086"/>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962"/>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0F5D"/>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4A3"/>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2C"/>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8A3"/>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1F6F"/>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4A3"/>
    <w:rsid w:val="00E43B57"/>
    <w:rsid w:val="00E43B66"/>
    <w:rsid w:val="00E43D89"/>
    <w:rsid w:val="00E43E71"/>
    <w:rsid w:val="00E43F09"/>
    <w:rsid w:val="00E4403F"/>
    <w:rsid w:val="00E443EB"/>
    <w:rsid w:val="00E44587"/>
    <w:rsid w:val="00E44A62"/>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A5B"/>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307"/>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6DA"/>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A15"/>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7A4"/>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8FA"/>
    <w:rsid w:val="00EE6AC6"/>
    <w:rsid w:val="00EE6EA6"/>
    <w:rsid w:val="00EE7716"/>
    <w:rsid w:val="00EE7A39"/>
    <w:rsid w:val="00EF002D"/>
    <w:rsid w:val="00EF0406"/>
    <w:rsid w:val="00EF090B"/>
    <w:rsid w:val="00EF1254"/>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B54"/>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05A"/>
    <w:rsid w:val="00F21517"/>
    <w:rsid w:val="00F2154D"/>
    <w:rsid w:val="00F21EB4"/>
    <w:rsid w:val="00F21FE2"/>
    <w:rsid w:val="00F227D7"/>
    <w:rsid w:val="00F22BE4"/>
    <w:rsid w:val="00F23002"/>
    <w:rsid w:val="00F231A4"/>
    <w:rsid w:val="00F2386C"/>
    <w:rsid w:val="00F239F4"/>
    <w:rsid w:val="00F23A88"/>
    <w:rsid w:val="00F24E86"/>
    <w:rsid w:val="00F2503D"/>
    <w:rsid w:val="00F25539"/>
    <w:rsid w:val="00F25756"/>
    <w:rsid w:val="00F259AD"/>
    <w:rsid w:val="00F25D8A"/>
    <w:rsid w:val="00F26522"/>
    <w:rsid w:val="00F26E5C"/>
    <w:rsid w:val="00F27A0F"/>
    <w:rsid w:val="00F27B85"/>
    <w:rsid w:val="00F30BB7"/>
    <w:rsid w:val="00F3162B"/>
    <w:rsid w:val="00F31682"/>
    <w:rsid w:val="00F318D7"/>
    <w:rsid w:val="00F32993"/>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14E9"/>
    <w:rsid w:val="00F9218F"/>
    <w:rsid w:val="00F9260C"/>
    <w:rsid w:val="00F92694"/>
    <w:rsid w:val="00F92C3B"/>
    <w:rsid w:val="00F92ECA"/>
    <w:rsid w:val="00F92EF3"/>
    <w:rsid w:val="00F930D2"/>
    <w:rsid w:val="00F936B0"/>
    <w:rsid w:val="00F93E94"/>
    <w:rsid w:val="00F9451A"/>
    <w:rsid w:val="00F94791"/>
    <w:rsid w:val="00F94C18"/>
    <w:rsid w:val="00F94F10"/>
    <w:rsid w:val="00F94F84"/>
    <w:rsid w:val="00F95070"/>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60"/>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1B5"/>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9C16C85-5670-4F98-9691-9958CAB46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19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uiPriority w:val="99"/>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Error-Fusnotßnotenzeichen5,Error-Fußnotenzeic"/>
    <w:uiPriority w:val="99"/>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uiPriority w:val="99"/>
    <w:rsid w:val="0041066B"/>
    <w:rPr>
      <w:rFonts w:ascii="標楷體" w:eastAsia="標楷體"/>
      <w:snapToGrid w:val="0"/>
      <w:kern w:val="2"/>
      <w:sz w:val="24"/>
      <w:lang w:val="x-none" w:eastAsia="x-none"/>
    </w:rPr>
  </w:style>
  <w:style w:type="character" w:customStyle="1" w:styleId="143">
    <w:name w:val="表格內文(14行高) 字元"/>
    <w:link w:val="142"/>
    <w:qFormat/>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76AEE-25F5-4D9B-BE6D-7F2C14F40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143</Words>
  <Characters>817</Characters>
  <Application>Microsoft Office Word</Application>
  <DocSecurity>0</DocSecurity>
  <Lines>6</Lines>
  <Paragraphs>1</Paragraphs>
  <ScaleCrop>false</ScaleCrop>
  <Company/>
  <LinksUpToDate>false</LinksUpToDate>
  <CharactersWithSpaces>959</CharactersWithSpaces>
  <SharedDoc>false</SharedDoc>
  <HLinks>
    <vt:vector size="18" baseType="variant">
      <vt:variant>
        <vt:i4>1835057</vt:i4>
      </vt:variant>
      <vt:variant>
        <vt:i4>14</vt:i4>
      </vt:variant>
      <vt:variant>
        <vt:i4>0</vt:i4>
      </vt:variant>
      <vt:variant>
        <vt:i4>5</vt:i4>
      </vt:variant>
      <vt:variant>
        <vt:lpwstr/>
      </vt:variant>
      <vt:variant>
        <vt:lpwstr>_Toc216359003</vt:lpwstr>
      </vt:variant>
      <vt:variant>
        <vt:i4>1835057</vt:i4>
      </vt:variant>
      <vt:variant>
        <vt:i4>8</vt:i4>
      </vt:variant>
      <vt:variant>
        <vt:i4>0</vt:i4>
      </vt:variant>
      <vt:variant>
        <vt:i4>5</vt:i4>
      </vt:variant>
      <vt:variant>
        <vt:lpwstr/>
      </vt:variant>
      <vt:variant>
        <vt:lpwstr>_Toc216359002</vt:lpwstr>
      </vt:variant>
      <vt:variant>
        <vt:i4>1835057</vt:i4>
      </vt:variant>
      <vt:variant>
        <vt:i4>2</vt:i4>
      </vt:variant>
      <vt:variant>
        <vt:i4>0</vt:i4>
      </vt:variant>
      <vt:variant>
        <vt:i4>5</vt:i4>
      </vt:variant>
      <vt:variant>
        <vt:lpwstr/>
      </vt:variant>
      <vt:variant>
        <vt:lpwstr>_Toc216359001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2025-12-15T01:46:00Z</cp:lastPrinted>
  <dcterms:created xsi:type="dcterms:W3CDTF">2025-12-16T03:00:00Z</dcterms:created>
  <dcterms:modified xsi:type="dcterms:W3CDTF">2025-12-16T03:00:00Z</dcterms:modified>
</cp:coreProperties>
</file>