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bookmarkStart w:id="22" w:name="_GoBack"/>
      <w:bookmarkEnd w:id="22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2534B" w:rsidRPr="001240ED" w:rsidRDefault="0082534B" w:rsidP="0082534B">
      <w:pPr>
        <w:pStyle w:val="14"/>
        <w:ind w:left="567" w:hanging="567"/>
        <w:rPr>
          <w:rFonts w:hint="eastAsia"/>
          <w:snapToGrid/>
        </w:rPr>
      </w:pPr>
      <w:bookmarkStart w:id="24" w:name="_Toc147508431"/>
      <w:bookmarkStart w:id="25" w:name="_Toc147999814"/>
      <w:bookmarkStart w:id="26" w:name="_Toc180676266"/>
      <w:bookmarkStart w:id="27" w:name="_Toc216337511"/>
      <w:bookmarkStart w:id="28" w:name="_Toc216339842"/>
      <w:bookmarkStart w:id="29" w:name="_Toc216343194"/>
      <w:bookmarkEnd w:id="23"/>
      <w:r w:rsidRPr="001240ED">
        <w:rPr>
          <w:rFonts w:hint="eastAsia"/>
          <w:snapToGrid/>
        </w:rPr>
        <w:t>四、辦理「大阿里山軸帶百年躍升建設計畫」，期帶動阿里山觀光發展與旅客成長，惟113年度因天災影響工進，預算執行未如預期</w:t>
      </w:r>
      <w:r w:rsidRPr="001240ED">
        <w:rPr>
          <w:rFonts w:hAnsi="標楷體" w:hint="eastAsia"/>
          <w:snapToGrid/>
        </w:rPr>
        <w:t>，</w:t>
      </w:r>
      <w:r w:rsidRPr="001240ED">
        <w:rPr>
          <w:rFonts w:hint="eastAsia"/>
          <w:snapToGrid/>
        </w:rPr>
        <w:t>且檜意森活村及阿里山國家森林遊樂區等遊客量較112年度減少，允宜加強管控執行進度，以利推動</w:t>
      </w:r>
      <w:bookmarkEnd w:id="26"/>
      <w:bookmarkEnd w:id="27"/>
      <w:bookmarkEnd w:id="28"/>
      <w:bookmarkEnd w:id="29"/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林業發展及自然保育署(下稱林業保育署)1</w:t>
      </w:r>
      <w:r w:rsidRPr="001240ED">
        <w:t>1</w:t>
      </w:r>
      <w:r w:rsidRPr="001240ED">
        <w:rPr>
          <w:rFonts w:hint="eastAsia"/>
        </w:rPr>
        <w:t>3年度於「林業發展-森林遊憩場域發展與推動」項下辦理「大阿里山軸帶百年躍升建設計畫113至116年度)」預算數3億7</w:t>
      </w:r>
      <w:r w:rsidRPr="001240ED">
        <w:t>,</w:t>
      </w:r>
      <w:r w:rsidRPr="001240ED">
        <w:rPr>
          <w:rFonts w:hint="eastAsia"/>
        </w:rPr>
        <w:t>369萬5千元，執行結果</w:t>
      </w:r>
      <w:r w:rsidRPr="001240ED">
        <w:rPr>
          <w:vertAlign w:val="superscript"/>
        </w:rPr>
        <w:footnoteReference w:id="1"/>
      </w:r>
      <w:r w:rsidRPr="001240ED">
        <w:rPr>
          <w:rFonts w:hint="eastAsia"/>
        </w:rPr>
        <w:t>，實現數3億539萬1千元(實現率81.72%)。經查：</w:t>
      </w:r>
    </w:p>
    <w:p w:rsidR="0082534B" w:rsidRPr="00F618BF" w:rsidRDefault="0082534B" w:rsidP="0082534B">
      <w:pPr>
        <w:pStyle w:val="a4"/>
        <w:ind w:left="849" w:hanging="283"/>
        <w:rPr>
          <w:rFonts w:hint="eastAsia"/>
          <w:b/>
        </w:rPr>
      </w:pPr>
      <w:r w:rsidRPr="00F618BF">
        <w:rPr>
          <w:rFonts w:hint="eastAsia"/>
          <w:b/>
        </w:rPr>
        <w:t>(一)辦理「大阿里山軸帶百年躍升建設計畫」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期帶動阿里山觀光發展與旅客成長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惟113年度檜意森活村、阿里山林業村及阿里山國家森林遊樂區遊客量較112年度減少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lastRenderedPageBreak/>
        <w:t>農業部基於「保存文化、體驗在地、共榮共融、永續經營」施政願景，規劃8年2期之「大阿里山軸帶百年躍升建設計畫」，透過打造區域亮點建設，建設國際級遊憩帶，並藉由阿里山林業鐵路軸帶建設縫合區域遊憩網絡，帶動地方聚落發展。第1期計畫執行期間為</w:t>
      </w:r>
      <w:r w:rsidRPr="001240ED">
        <w:t>113</w:t>
      </w:r>
      <w:r w:rsidRPr="001240ED">
        <w:rPr>
          <w:rFonts w:hint="eastAsia"/>
        </w:rPr>
        <w:t>至1</w:t>
      </w:r>
      <w:r w:rsidRPr="001240ED">
        <w:t>16</w:t>
      </w:r>
      <w:r w:rsidRPr="001240ED">
        <w:rPr>
          <w:rFonts w:hint="eastAsia"/>
        </w:rPr>
        <w:t>年度，目標聚焦於三大區域亮點建設、林業鐵路安全及國際級旅服體驗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並提升沿線聚落景觀與旅運網絡拓展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惟據林業保育署統計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113年度檜意森活村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int="eastAsia"/>
        </w:rPr>
        <w:t>阿里山林業村及阿里山國家森林遊樂區遊客量分別為165萬人次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int="eastAsia"/>
        </w:rPr>
        <w:t>18萬人次及90萬人次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均較112年度176萬人次、19萬人次及100萬人次減少</w:t>
      </w:r>
      <w:r w:rsidRPr="001240ED">
        <w:rPr>
          <w:rFonts w:hAnsi="標楷體" w:hint="eastAsia"/>
        </w:rPr>
        <w:t>(詳表1)，允宜研謀行銷策略，以提高觀光產業發展</w:t>
      </w:r>
      <w:r w:rsidRPr="001240ED">
        <w:rPr>
          <w:rFonts w:hint="eastAsia"/>
        </w:rPr>
        <w:t>。</w:t>
      </w:r>
    </w:p>
    <w:p w:rsidR="0082534B" w:rsidRPr="001240ED" w:rsidRDefault="0082534B" w:rsidP="002631BA">
      <w:pPr>
        <w:adjustRightInd w:val="0"/>
        <w:spacing w:beforeLines="20" w:before="102"/>
        <w:ind w:leftChars="-50" w:left="703" w:hangingChars="298" w:hanging="845"/>
        <w:jc w:val="left"/>
        <w:rPr>
          <w:sz w:val="24"/>
          <w:szCs w:val="24"/>
        </w:rPr>
      </w:pPr>
      <w:r w:rsidRPr="001240ED">
        <w:rPr>
          <w:rFonts w:hint="eastAsia"/>
          <w:b/>
        </w:rPr>
        <w:t>表1</w:t>
      </w:r>
      <w:r w:rsidRPr="001240ED">
        <w:rPr>
          <w:b/>
        </w:rPr>
        <w:t xml:space="preserve">  </w:t>
      </w:r>
      <w:r w:rsidRPr="001240ED">
        <w:rPr>
          <w:rFonts w:hint="eastAsia"/>
          <w:b/>
        </w:rPr>
        <w:t>阿里山森林遊憩場域遊客量統計表</w:t>
      </w:r>
      <w:r w:rsidRPr="001240ED">
        <w:rPr>
          <w:b/>
        </w:rPr>
        <w:t xml:space="preserve">         </w:t>
      </w:r>
      <w:r w:rsidRPr="001240ED">
        <w:rPr>
          <w:rFonts w:hint="eastAsia"/>
          <w:b/>
        </w:rPr>
        <w:t xml:space="preserve">      </w:t>
      </w:r>
      <w:r w:rsidRPr="001240ED">
        <w:rPr>
          <w:b/>
        </w:rPr>
        <w:t xml:space="preserve"> </w:t>
      </w:r>
      <w:r w:rsidRPr="001240ED">
        <w:rPr>
          <w:rFonts w:hint="eastAsia"/>
          <w:sz w:val="24"/>
          <w:szCs w:val="24"/>
        </w:rPr>
        <w:t>單位：萬人次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2622"/>
        <w:gridCol w:w="2622"/>
      </w:tblGrid>
      <w:tr w:rsidR="0082534B" w:rsidRPr="001240ED" w:rsidTr="002631BA">
        <w:trPr>
          <w:trHeight w:val="387"/>
          <w:tblHeader/>
        </w:trPr>
        <w:tc>
          <w:tcPr>
            <w:tcW w:w="3403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項目</w:t>
            </w:r>
          </w:p>
        </w:tc>
        <w:tc>
          <w:tcPr>
            <w:tcW w:w="26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2年度</w:t>
            </w:r>
          </w:p>
        </w:tc>
        <w:tc>
          <w:tcPr>
            <w:tcW w:w="26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3年度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1240ED" w:rsidRDefault="0082534B" w:rsidP="002631BA">
            <w:pPr>
              <w:pStyle w:val="142"/>
              <w:jc w:val="both"/>
              <w:rPr>
                <w:rFonts w:hint="eastAsia"/>
              </w:rPr>
            </w:pPr>
            <w:r w:rsidRPr="001240ED">
              <w:rPr>
                <w:rFonts w:hint="eastAsia"/>
              </w:rPr>
              <w:t>檜意森活村遊客量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176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165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1240ED" w:rsidRDefault="0082534B" w:rsidP="002631BA">
            <w:pPr>
              <w:pStyle w:val="142"/>
              <w:jc w:val="both"/>
              <w:rPr>
                <w:rFonts w:hint="eastAsia"/>
              </w:rPr>
            </w:pPr>
            <w:r w:rsidRPr="001240ED">
              <w:rPr>
                <w:rFonts w:hint="eastAsia"/>
              </w:rPr>
              <w:t>阿里山林業村遊客量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19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18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1240ED" w:rsidRDefault="0082534B" w:rsidP="002631BA">
            <w:pPr>
              <w:pStyle w:val="142"/>
              <w:jc w:val="both"/>
              <w:rPr>
                <w:rFonts w:hint="eastAsia"/>
              </w:rPr>
            </w:pPr>
            <w:r w:rsidRPr="001240ED">
              <w:rPr>
                <w:rFonts w:hint="eastAsia"/>
              </w:rPr>
              <w:t>阿里山國家森林遊樂區遊客量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100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  <w:szCs w:val="24"/>
              </w:rPr>
            </w:pPr>
            <w:r w:rsidRPr="001240ED">
              <w:rPr>
                <w:rFonts w:hint="eastAsia"/>
                <w:szCs w:val="24"/>
              </w:rPr>
              <w:t>90</w:t>
            </w:r>
          </w:p>
        </w:tc>
      </w:tr>
      <w:tr w:rsidR="0082534B" w:rsidRPr="001240ED" w:rsidTr="002631BA">
        <w:trPr>
          <w:trHeight w:val="334"/>
        </w:trPr>
        <w:tc>
          <w:tcPr>
            <w:tcW w:w="3403" w:type="dxa"/>
            <w:shd w:val="clear" w:color="auto" w:fill="auto"/>
            <w:vAlign w:val="center"/>
          </w:tcPr>
          <w:p w:rsidR="0082534B" w:rsidRPr="00F618BF" w:rsidRDefault="0082534B" w:rsidP="002631B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合  計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right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295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right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273</w:t>
            </w:r>
          </w:p>
        </w:tc>
      </w:tr>
    </w:tbl>
    <w:p w:rsidR="0082534B" w:rsidRPr="001240ED" w:rsidRDefault="0082534B" w:rsidP="0082534B">
      <w:pPr>
        <w:spacing w:line="280" w:lineRule="exact"/>
        <w:ind w:leftChars="-54" w:left="0" w:hangingChars="63" w:hanging="153"/>
        <w:jc w:val="left"/>
        <w:rPr>
          <w:b/>
          <w:sz w:val="24"/>
        </w:rPr>
      </w:pPr>
      <w:r w:rsidRPr="001240ED">
        <w:rPr>
          <w:rFonts w:hint="eastAsia"/>
          <w:sz w:val="24"/>
        </w:rPr>
        <w:t>資料來源：林業保育署提供。</w:t>
      </w:r>
    </w:p>
    <w:p w:rsidR="0082534B" w:rsidRPr="00F618BF" w:rsidRDefault="0082534B" w:rsidP="0082534B">
      <w:pPr>
        <w:pStyle w:val="a4"/>
        <w:ind w:left="849" w:hanging="283"/>
        <w:rPr>
          <w:rFonts w:hint="eastAsia"/>
          <w:b/>
        </w:rPr>
      </w:pPr>
      <w:r w:rsidRPr="00F618BF">
        <w:rPr>
          <w:rFonts w:hint="eastAsia"/>
          <w:b/>
        </w:rPr>
        <w:t>(二)鑒於阿里山地區多屬災害潛勢區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山區建設易受天災影響工進，允宜加強跨機關合作</w:t>
      </w:r>
      <w:r w:rsidRPr="00F618BF">
        <w:rPr>
          <w:rFonts w:hAnsi="標楷體" w:hint="eastAsia"/>
          <w:b/>
        </w:rPr>
        <w:t>並</w:t>
      </w:r>
      <w:r w:rsidRPr="00F618BF">
        <w:rPr>
          <w:rFonts w:hint="eastAsia"/>
          <w:b/>
        </w:rPr>
        <w:t>管控執行進度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以利推動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林業保育署「大阿里山軸帶百年躍升建設計畫(113至116年度)」113年度預算數3億7,369萬5千元，實現數3億539萬1千元，實現率81.72%(詳表2)，據林業及保育署說明，落後原因主要係因阿里山地區多屬災害潛勢區，7至10月間受多次颱風及強降雨等不可抗力影響，增加執行困難度，又因有個別案件涉及電力、自來水、瓦斯、電信及污水等五大管線系統及消防系統之許可審查，須待地方主管機關審核始得施作，另執行地點為重要文化景觀，部分亦為歷史建物，在規劃設計及</w:t>
      </w:r>
      <w:r w:rsidRPr="001240ED">
        <w:rPr>
          <w:rFonts w:hint="eastAsia"/>
        </w:rPr>
        <w:lastRenderedPageBreak/>
        <w:t>執行履約程序繁瑣，致預算執行未如預期，允宜加強跨機關合作，並強化執行進度與經費之控管，以利推動。</w:t>
      </w:r>
    </w:p>
    <w:p w:rsidR="0082534B" w:rsidRPr="001240ED" w:rsidRDefault="0082534B" w:rsidP="002631BA">
      <w:pPr>
        <w:spacing w:beforeLines="20" w:before="102"/>
        <w:ind w:leftChars="-69" w:left="568" w:hangingChars="269" w:hanging="763"/>
        <w:rPr>
          <w:sz w:val="24"/>
        </w:rPr>
      </w:pPr>
      <w:r w:rsidRPr="001240ED">
        <w:rPr>
          <w:rFonts w:hint="eastAsia"/>
          <w:b/>
        </w:rPr>
        <w:t>表2  「大阿里山軸帶百年躍升建設計畫(113</w:t>
      </w:r>
      <w:r w:rsidRPr="001240ED">
        <w:rPr>
          <w:b/>
        </w:rPr>
        <w:t>至</w:t>
      </w:r>
      <w:r w:rsidRPr="001240ED">
        <w:rPr>
          <w:rFonts w:hint="eastAsia"/>
          <w:b/>
        </w:rPr>
        <w:t>116年度)」113年度預算執行情形表</w:t>
      </w:r>
      <w:r w:rsidRPr="001240ED">
        <w:rPr>
          <w:rFonts w:hint="eastAsia"/>
        </w:rPr>
        <w:t xml:space="preserve">              </w:t>
      </w:r>
      <w:r w:rsidRPr="001240ED">
        <w:t xml:space="preserve">   </w:t>
      </w:r>
      <w:r w:rsidRPr="001240ED">
        <w:rPr>
          <w:rFonts w:hint="eastAsia"/>
        </w:rPr>
        <w:t xml:space="preserve"> </w:t>
      </w:r>
      <w:r>
        <w:rPr>
          <w:rFonts w:hint="eastAsia"/>
        </w:rPr>
        <w:t xml:space="preserve">     </w:t>
      </w:r>
      <w:r w:rsidRPr="001240ED">
        <w:rPr>
          <w:rFonts w:hint="eastAsia"/>
        </w:rPr>
        <w:t xml:space="preserve"> </w:t>
      </w:r>
      <w:r w:rsidR="00B36915">
        <w:t xml:space="preserve">  </w:t>
      </w:r>
      <w:r w:rsidRPr="001240ED">
        <w:rPr>
          <w:rFonts w:hint="eastAsia"/>
        </w:rPr>
        <w:t xml:space="preserve">  </w:t>
      </w:r>
      <w:r w:rsidRPr="001240ED">
        <w:rPr>
          <w:rFonts w:hint="eastAsia"/>
          <w:sz w:val="24"/>
          <w:szCs w:val="24"/>
        </w:rPr>
        <w:t>單位：新臺幣千元</w:t>
      </w:r>
      <w:r w:rsidRPr="001240ED">
        <w:rPr>
          <w:rFonts w:hAnsi="標楷體" w:hint="eastAsia"/>
          <w:sz w:val="24"/>
          <w:szCs w:val="24"/>
        </w:rPr>
        <w:t>；</w:t>
      </w:r>
      <w:r w:rsidRPr="001240ED">
        <w:rPr>
          <w:rFonts w:hint="eastAsia"/>
          <w:sz w:val="24"/>
          <w:szCs w:val="24"/>
        </w:rPr>
        <w:t>%</w:t>
      </w:r>
    </w:p>
    <w:tbl>
      <w:tblPr>
        <w:tblW w:w="861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1134"/>
        <w:gridCol w:w="992"/>
        <w:gridCol w:w="992"/>
        <w:gridCol w:w="1134"/>
        <w:gridCol w:w="1665"/>
      </w:tblGrid>
      <w:tr w:rsidR="0082534B" w:rsidRPr="001240ED" w:rsidTr="002631BA">
        <w:trPr>
          <w:trHeight w:val="464"/>
          <w:tblHeader/>
        </w:trPr>
        <w:tc>
          <w:tcPr>
            <w:tcW w:w="1134" w:type="dxa"/>
            <w:vMerge w:val="restart"/>
            <w:vAlign w:val="center"/>
          </w:tcPr>
          <w:p w:rsidR="002631BA" w:rsidRDefault="0082534B" w:rsidP="002631BA">
            <w:pPr>
              <w:spacing w:line="34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計畫</w:t>
            </w:r>
          </w:p>
          <w:p w:rsidR="0082534B" w:rsidRPr="001240ED" w:rsidRDefault="0082534B" w:rsidP="002631BA">
            <w:pPr>
              <w:spacing w:line="34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總金額</w:t>
            </w:r>
          </w:p>
        </w:tc>
        <w:tc>
          <w:tcPr>
            <w:tcW w:w="1560" w:type="dxa"/>
            <w:vMerge w:val="restart"/>
            <w:vAlign w:val="center"/>
          </w:tcPr>
          <w:p w:rsidR="0082534B" w:rsidRPr="001240ED" w:rsidRDefault="0082534B" w:rsidP="002631BA">
            <w:pPr>
              <w:spacing w:line="340" w:lineRule="exact"/>
              <w:ind w:leftChars="-13" w:left="-37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1</w:t>
            </w:r>
            <w:r w:rsidRPr="001240ED">
              <w:rPr>
                <w:b/>
                <w:spacing w:val="-20"/>
                <w:sz w:val="24"/>
              </w:rPr>
              <w:t>1</w:t>
            </w:r>
            <w:r w:rsidRPr="001240ED">
              <w:rPr>
                <w:rFonts w:hint="eastAsia"/>
                <w:b/>
                <w:spacing w:val="-20"/>
                <w:sz w:val="24"/>
              </w:rPr>
              <w:t>3年度預算數(A)</w:t>
            </w:r>
          </w:p>
        </w:tc>
        <w:tc>
          <w:tcPr>
            <w:tcW w:w="4252" w:type="dxa"/>
            <w:gridSpan w:val="4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113年度執行數</w:t>
            </w:r>
          </w:p>
        </w:tc>
        <w:tc>
          <w:tcPr>
            <w:tcW w:w="1665" w:type="dxa"/>
            <w:vMerge w:val="restart"/>
            <w:vAlign w:val="center"/>
          </w:tcPr>
          <w:p w:rsidR="0082534B" w:rsidRPr="001240ED" w:rsidRDefault="0082534B" w:rsidP="002631BA">
            <w:pPr>
              <w:spacing w:line="340" w:lineRule="exact"/>
              <w:ind w:leftChars="-20" w:left="-57" w:rightChars="-18" w:right="-5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執行數占預算數比率(C=B/A)</w:t>
            </w:r>
          </w:p>
        </w:tc>
      </w:tr>
      <w:tr w:rsidR="0082534B" w:rsidRPr="001240ED" w:rsidTr="002631BA">
        <w:trPr>
          <w:trHeight w:val="405"/>
          <w:tblHeader/>
        </w:trPr>
        <w:tc>
          <w:tcPr>
            <w:tcW w:w="1134" w:type="dxa"/>
            <w:vMerge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560" w:type="dxa"/>
            <w:vMerge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實現數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應付數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賸餘數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合計(B)</w:t>
            </w:r>
          </w:p>
        </w:tc>
        <w:tc>
          <w:tcPr>
            <w:tcW w:w="1665" w:type="dxa"/>
            <w:vMerge/>
            <w:vAlign w:val="center"/>
          </w:tcPr>
          <w:p w:rsidR="0082534B" w:rsidRPr="001240ED" w:rsidRDefault="0082534B" w:rsidP="002631BA">
            <w:pPr>
              <w:spacing w:line="340" w:lineRule="exact"/>
              <w:ind w:leftChars="-16" w:left="-45" w:rightChars="-14" w:right="-40" w:firstLineChars="0" w:firstLine="0"/>
              <w:rPr>
                <w:spacing w:val="-20"/>
                <w:sz w:val="24"/>
              </w:rPr>
            </w:pPr>
          </w:p>
        </w:tc>
      </w:tr>
      <w:tr w:rsidR="0082534B" w:rsidRPr="001240ED" w:rsidTr="002631BA">
        <w:trPr>
          <w:trHeight w:val="412"/>
        </w:trPr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-40" w:left="-113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6,</w:t>
            </w:r>
            <w:r w:rsidRPr="001240ED">
              <w:rPr>
                <w:rFonts w:hint="eastAsia"/>
                <w:spacing w:val="-20"/>
                <w:sz w:val="24"/>
              </w:rPr>
              <w:t>214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787</w:t>
            </w:r>
          </w:p>
        </w:tc>
        <w:tc>
          <w:tcPr>
            <w:tcW w:w="1560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-38" w:left="-10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373,</w:t>
            </w:r>
            <w:r w:rsidRPr="001240ED">
              <w:rPr>
                <w:rFonts w:hint="eastAsia"/>
                <w:spacing w:val="-20"/>
                <w:sz w:val="24"/>
              </w:rPr>
              <w:t>695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305,391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rightChars="-24" w:right="-6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260</w:t>
            </w:r>
          </w:p>
        </w:tc>
        <w:tc>
          <w:tcPr>
            <w:tcW w:w="992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4,482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-49" w:left="1" w:rightChars="-32" w:right="-91" w:hangingChars="69" w:hanging="14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310,133</w:t>
            </w:r>
          </w:p>
        </w:tc>
        <w:tc>
          <w:tcPr>
            <w:tcW w:w="1665" w:type="dxa"/>
            <w:vAlign w:val="center"/>
          </w:tcPr>
          <w:p w:rsidR="0082534B" w:rsidRPr="001240ED" w:rsidRDefault="0082534B" w:rsidP="002631BA">
            <w:pPr>
              <w:spacing w:line="34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82.99</w:t>
            </w:r>
          </w:p>
        </w:tc>
      </w:tr>
    </w:tbl>
    <w:p w:rsidR="0082534B" w:rsidRPr="001240ED" w:rsidRDefault="0082534B" w:rsidP="002631BA">
      <w:pPr>
        <w:spacing w:line="320" w:lineRule="exact"/>
        <w:ind w:leftChars="-50" w:left="-1" w:hangingChars="58" w:hanging="141"/>
        <w:jc w:val="left"/>
        <w:rPr>
          <w:sz w:val="24"/>
        </w:rPr>
      </w:pPr>
      <w:r w:rsidRPr="001240ED">
        <w:rPr>
          <w:rFonts w:hint="eastAsia"/>
          <w:sz w:val="24"/>
        </w:rPr>
        <w:t>資料來源：1</w:t>
      </w:r>
      <w:r w:rsidRPr="001240ED">
        <w:rPr>
          <w:sz w:val="24"/>
        </w:rPr>
        <w:t>1</w:t>
      </w:r>
      <w:r w:rsidRPr="001240ED">
        <w:rPr>
          <w:rFonts w:hint="eastAsia"/>
          <w:sz w:val="24"/>
        </w:rPr>
        <w:t>3年度林業保育署審定決算書「重大計畫執行績效報告表」。</w:t>
      </w:r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綜上，林業及保育署113年度於「林業發展-森林遊憩場域發展與推動」項下辦理「大阿里山軸帶百年躍升建設計畫113至116年度)」實現數3億539萬1千元(實現率81.72%)，鑒於113年度檜意森活村、阿里山林業村及阿里山國家森林遊樂區遊客量較112年度減少</w:t>
      </w:r>
      <w:r w:rsidRPr="001240ED">
        <w:rPr>
          <w:rFonts w:hAnsi="標楷體" w:hint="eastAsia"/>
        </w:rPr>
        <w:t>，且</w:t>
      </w:r>
      <w:r w:rsidRPr="001240ED">
        <w:rPr>
          <w:rFonts w:hint="eastAsia"/>
        </w:rPr>
        <w:t>阿里山地區多屬災害潛勢區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山區建設易受天災影響工進，允宜加強跨機關合作，並</w:t>
      </w:r>
      <w:r w:rsidR="00654429">
        <w:rPr>
          <w:rFonts w:hint="eastAsia"/>
        </w:rPr>
        <w:t>強化</w:t>
      </w:r>
      <w:r w:rsidRPr="001240ED">
        <w:rPr>
          <w:rFonts w:hint="eastAsia"/>
        </w:rPr>
        <w:t>執行進度與經費之控管，以利推動</w:t>
      </w:r>
      <w:r w:rsidRPr="001240ED">
        <w:rPr>
          <w:rFonts w:hAnsi="標楷體" w:hint="eastAsia"/>
        </w:rPr>
        <w:t>，俾以帶動阿里山觀光發展與旅客成長</w:t>
      </w:r>
      <w:r w:rsidRPr="001240ED">
        <w:rPr>
          <w:rFonts w:hint="eastAsia"/>
        </w:rPr>
        <w:t>。</w:t>
      </w:r>
    </w:p>
    <w:bookmarkEnd w:id="24"/>
    <w:bookmarkEnd w:id="25"/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BB7B50E-D01C-4845-A6E0-925F5AD99C51}"/>
    <w:embedBold r:id="rId2" w:fontKey="{22BF41BF-520F-434C-AAD4-08D10F009CFE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32E41CB6-CBF2-457F-A533-B8D9842B76F1}"/>
    <w:embedBold r:id="rId4" w:subsetted="1" w:fontKey="{908D6424-BC4C-4F51-9FF4-79092555C33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2FE1073E-7C6A-4F60-A023-F1212C1847B6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  <w:embedRegular r:id="rId6" w:subsetted="1" w:fontKey="{F321168E-C435-4757-9CE4-C45EDF61CDF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1EE6AE77-DBFF-401C-AA2C-AEF46F947C3F}"/>
    <w:embedBold r:id="rId8" w:fontKey="{BAC3221D-927C-45AC-85A0-FF4CAE58B85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9" w:fontKey="{0660F027-147E-4E70-9C98-1707B6043F16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10" w:fontKey="{3F400B4C-6099-48D9-A315-7FF4EAA14BE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F0312521-2FB3-414F-8A7A-801E4E90BF88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2" w:fontKey="{EDB08CD0-57DD-4283-BB52-6C45804BF7E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3" w:fontKey="{2F45F097-01E1-47ED-AC97-8E8D933EE8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780BEB">
      <w:rPr>
        <w:rStyle w:val="afb"/>
        <w:rFonts w:ascii="標楷體" w:hAnsi="標楷體"/>
        <w:noProof/>
        <w:sz w:val="20"/>
        <w:szCs w:val="20"/>
      </w:rPr>
      <w:t>3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  <w:footnote w:id="1">
    <w:p w:rsidR="0082534B" w:rsidRPr="002C79B5" w:rsidRDefault="0082534B" w:rsidP="0082534B">
      <w:pPr>
        <w:pStyle w:val="142"/>
        <w:ind w:leftChars="15" w:left="224" w:hangingChars="75" w:hanging="182"/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實現數</w:t>
      </w:r>
      <w:r>
        <w:t>3</w:t>
      </w:r>
      <w:r>
        <w:rPr>
          <w:rFonts w:hint="eastAsia"/>
        </w:rPr>
        <w:t>億</w:t>
      </w:r>
      <w:r>
        <w:t>539</w:t>
      </w:r>
      <w:r>
        <w:rPr>
          <w:rFonts w:hint="eastAsia"/>
        </w:rPr>
        <w:t>萬</w:t>
      </w:r>
      <w:r>
        <w:t>1</w:t>
      </w:r>
      <w:r>
        <w:rPr>
          <w:rFonts w:hint="eastAsia"/>
        </w:rPr>
        <w:t>千元、應付數</w:t>
      </w:r>
      <w:r>
        <w:t>26</w:t>
      </w:r>
      <w:r>
        <w:rPr>
          <w:rFonts w:hint="eastAsia"/>
        </w:rPr>
        <w:t>萬元、保留數6</w:t>
      </w:r>
      <w:r>
        <w:t>,</w:t>
      </w:r>
      <w:r>
        <w:rPr>
          <w:rFonts w:hint="eastAsia"/>
        </w:rPr>
        <w:t>356萬2千元及賸餘數</w:t>
      </w:r>
      <w:r>
        <w:t>448</w:t>
      </w:r>
      <w:r>
        <w:rPr>
          <w:rFonts w:hint="eastAsia"/>
        </w:rPr>
        <w:t>萬</w:t>
      </w:r>
      <w:r>
        <w:t>2</w:t>
      </w:r>
      <w:r>
        <w:rPr>
          <w:rFonts w:hint="eastAsia"/>
        </w:rPr>
        <w:t>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0BEB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727CF98-2402-40E8-9EFC-BE55EABD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25928-86B1-4645-AC76-C0724DD1C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