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bookmarkStart w:id="0" w:name="_GoBack"/>
      <w:bookmarkEnd w:id="0"/>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606189" w:rsidRPr="00B052FC" w:rsidRDefault="00606189" w:rsidP="00AE346F">
      <w:pPr>
        <w:pStyle w:val="14"/>
        <w:ind w:left="567" w:hanging="567"/>
      </w:pPr>
      <w:bookmarkStart w:id="4" w:name="_Toc115770453"/>
      <w:bookmarkStart w:id="5" w:name="_Toc496691884"/>
      <w:bookmarkStart w:id="6" w:name="_Toc22215707"/>
      <w:bookmarkStart w:id="7" w:name="_Toc143181442"/>
      <w:bookmarkStart w:id="8" w:name="_Toc143612868"/>
      <w:bookmarkStart w:id="9" w:name="_Toc147653122"/>
      <w:bookmarkStart w:id="10" w:name="_Hlk208653391"/>
      <w:bookmarkStart w:id="11" w:name="_Toc213145320"/>
      <w:bookmarkStart w:id="12" w:name="_Toc216799883"/>
      <w:bookmarkEnd w:id="1"/>
      <w:r w:rsidRPr="00B052FC">
        <w:rPr>
          <w:rFonts w:hint="eastAsia"/>
        </w:rPr>
        <w:t>一、</w:t>
      </w:r>
      <w:bookmarkStart w:id="13" w:name="_Toc108440479"/>
      <w:r w:rsidR="00C1257C" w:rsidRPr="00B052FC">
        <w:rPr>
          <w:rFonts w:hint="eastAsia"/>
        </w:rPr>
        <w:t>跨部會署科發基金</w:t>
      </w:r>
      <w:r w:rsidR="00914AEF">
        <w:rPr>
          <w:rFonts w:hint="eastAsia"/>
        </w:rPr>
        <w:t>計畫</w:t>
      </w:r>
      <w:r w:rsidR="00C1257C" w:rsidRPr="00B052FC">
        <w:rPr>
          <w:rFonts w:hint="eastAsia"/>
        </w:rPr>
        <w:t>整體</w:t>
      </w:r>
      <w:r w:rsidR="00AE346F">
        <w:rPr>
          <w:rFonts w:hint="eastAsia"/>
        </w:rPr>
        <w:t>預算</w:t>
      </w:r>
      <w:r w:rsidR="00C1257C" w:rsidRPr="00B052FC">
        <w:rPr>
          <w:rFonts w:hint="eastAsia"/>
        </w:rPr>
        <w:t>執行效益待提升，允宜檢討備援預算額度之合理性，並強化補助計畫提案審查與管控機制</w:t>
      </w:r>
      <w:bookmarkEnd w:id="7"/>
      <w:bookmarkEnd w:id="8"/>
      <w:bookmarkEnd w:id="9"/>
      <w:bookmarkEnd w:id="11"/>
      <w:bookmarkEnd w:id="12"/>
      <w:bookmarkEnd w:id="13"/>
    </w:p>
    <w:p w:rsidR="00606189" w:rsidRPr="00B052FC" w:rsidRDefault="0065048E" w:rsidP="00606189">
      <w:pPr>
        <w:ind w:left="566" w:firstLine="566"/>
        <w:rPr>
          <w:rFonts w:hAnsi="標楷體"/>
        </w:rPr>
      </w:pPr>
      <w:r w:rsidRPr="00B052FC">
        <w:rPr>
          <w:rFonts w:hAnsi="標楷體" w:hint="eastAsia"/>
        </w:rPr>
        <w:t>國科會113年度「國家科學技術發展基金」計畫下編列跨部會署執行之科技計畫預算數15億元，用於因應當年度國際科技趨勢並配合我國科技政策，整合協調部會及時推動行政院重大、急迫性科技施政或科技政策方案，</w:t>
      </w:r>
      <w:r w:rsidR="006B0E39">
        <w:rPr>
          <w:rFonts w:hAnsi="標楷體" w:hint="eastAsia"/>
        </w:rPr>
        <w:t>執行結果</w:t>
      </w:r>
      <w:r w:rsidR="00F07627">
        <w:rPr>
          <w:rFonts w:hAnsi="標楷體" w:hint="eastAsia"/>
        </w:rPr>
        <w:t>，</w:t>
      </w:r>
      <w:r w:rsidRPr="00B052FC">
        <w:rPr>
          <w:rFonts w:hAnsi="標楷體" w:hint="eastAsia"/>
        </w:rPr>
        <w:t>全數均已</w:t>
      </w:r>
      <w:r w:rsidR="00914AEF">
        <w:rPr>
          <w:rFonts w:hAnsi="標楷體" w:hint="eastAsia"/>
        </w:rPr>
        <w:t>撥充</w:t>
      </w:r>
      <w:r w:rsidRPr="00B052FC">
        <w:rPr>
          <w:rFonts w:hAnsi="標楷體" w:hint="eastAsia"/>
        </w:rPr>
        <w:t>。經查：</w:t>
      </w:r>
    </w:p>
    <w:p w:rsidR="00606189" w:rsidRPr="00B052FC" w:rsidRDefault="00606189" w:rsidP="00606189">
      <w:pPr>
        <w:pStyle w:val="a4"/>
        <w:ind w:left="849" w:hanging="283"/>
        <w:rPr>
          <w:rFonts w:hAnsi="標楷體"/>
          <w:b/>
        </w:rPr>
      </w:pPr>
      <w:r w:rsidRPr="00B052FC">
        <w:rPr>
          <w:rFonts w:hAnsi="標楷體" w:hint="eastAsia"/>
          <w:b/>
        </w:rPr>
        <w:t>(一)111至113年度跨部會署科發基金計畫預算執行率僅27.28%至64.02%間，</w:t>
      </w:r>
      <w:r w:rsidR="00990CB6" w:rsidRPr="00B052FC">
        <w:rPr>
          <w:rFonts w:hAnsi="標楷體" w:hint="eastAsia"/>
          <w:b/>
        </w:rPr>
        <w:t>允宜檢視預算編列規模之合理性</w:t>
      </w:r>
    </w:p>
    <w:p w:rsidR="00606189" w:rsidRPr="00B052FC" w:rsidRDefault="00DC7FD3" w:rsidP="00DC7FD3">
      <w:pPr>
        <w:pStyle w:val="22"/>
        <w:ind w:left="850" w:firstLine="566"/>
        <w:rPr>
          <w:rFonts w:hAnsi="標楷體" w:hint="eastAsia"/>
        </w:rPr>
      </w:pPr>
      <w:r w:rsidRPr="00B052FC">
        <w:rPr>
          <w:rFonts w:hAnsi="標楷體" w:hint="eastAsia"/>
        </w:rPr>
        <w:t>跨部會署科發基金計畫</w:t>
      </w:r>
      <w:r w:rsidR="00127DD8">
        <w:rPr>
          <w:rFonts w:hAnsi="標楷體" w:hint="eastAsia"/>
        </w:rPr>
        <w:t>(</w:t>
      </w:r>
      <w:r w:rsidRPr="00B052FC">
        <w:rPr>
          <w:rFonts w:hAnsi="標楷體" w:hint="eastAsia"/>
        </w:rPr>
        <w:t>下稱跨部會署計畫</w:t>
      </w:r>
      <w:r w:rsidR="00127DD8">
        <w:rPr>
          <w:rFonts w:hAnsi="標楷體" w:hint="eastAsia"/>
        </w:rPr>
        <w:t>)</w:t>
      </w:r>
      <w:r w:rsidRPr="00B052FC">
        <w:rPr>
          <w:rFonts w:hAnsi="標楷體" w:hint="eastAsia"/>
        </w:rPr>
        <w:t>係針對國家科技發展中重大且具急迫性之政策需求，提供緊急支應與先導規劃，以利重要科技政策落實與中長程計畫之銜接。據國科會資料顯示，</w:t>
      </w:r>
      <w:r w:rsidR="00DC58AD" w:rsidRPr="00B052FC">
        <w:rPr>
          <w:rFonts w:hAnsi="標楷體" w:hint="eastAsia"/>
        </w:rPr>
        <w:t>預算執行率由</w:t>
      </w:r>
      <w:r w:rsidRPr="00B052FC">
        <w:rPr>
          <w:rFonts w:hAnsi="標楷體" w:hint="eastAsia"/>
        </w:rPr>
        <w:t>111年度64.02%</w:t>
      </w:r>
      <w:r w:rsidR="00DC58AD" w:rsidRPr="00B052FC">
        <w:rPr>
          <w:rFonts w:hAnsi="標楷體" w:hint="eastAsia"/>
        </w:rPr>
        <w:t>，降至</w:t>
      </w:r>
      <w:r w:rsidRPr="00B052FC">
        <w:rPr>
          <w:rFonts w:hAnsi="標楷體" w:hint="eastAsia"/>
        </w:rPr>
        <w:t>112年度51.57%</w:t>
      </w:r>
      <w:r w:rsidR="00DC58AD" w:rsidRPr="00B052FC">
        <w:rPr>
          <w:rFonts w:hAnsi="標楷體" w:hint="eastAsia"/>
        </w:rPr>
        <w:t>，</w:t>
      </w:r>
      <w:r w:rsidR="00DC58AD" w:rsidRPr="00B052FC">
        <w:rPr>
          <w:rFonts w:hAnsi="標楷體" w:hint="eastAsia"/>
        </w:rPr>
        <w:lastRenderedPageBreak/>
        <w:t>至</w:t>
      </w:r>
      <w:r w:rsidRPr="00B052FC">
        <w:rPr>
          <w:rFonts w:hAnsi="標楷體" w:hint="eastAsia"/>
        </w:rPr>
        <w:t>113年度</w:t>
      </w:r>
      <w:r w:rsidR="00DC58AD" w:rsidRPr="00B052FC">
        <w:rPr>
          <w:rFonts w:hAnsi="標楷體" w:hint="eastAsia"/>
        </w:rPr>
        <w:t>更大幅降至</w:t>
      </w:r>
      <w:r w:rsidRPr="00B052FC">
        <w:rPr>
          <w:rFonts w:hAnsi="標楷體" w:hint="eastAsia"/>
        </w:rPr>
        <w:t>27.28%</w:t>
      </w:r>
      <w:r w:rsidR="00DC58AD" w:rsidRPr="00B052FC">
        <w:rPr>
          <w:rFonts w:hAnsi="標楷體" w:hint="eastAsia"/>
        </w:rPr>
        <w:t>，呈逐年下降趨勢</w:t>
      </w:r>
      <w:r w:rsidRPr="00B052FC">
        <w:rPr>
          <w:rFonts w:hAnsi="標楷體" w:hint="eastAsia"/>
        </w:rPr>
        <w:t>(詳表1)。</w:t>
      </w:r>
      <w:r w:rsidR="00990CB6" w:rsidRPr="00B052FC">
        <w:rPr>
          <w:rFonts w:hAnsi="標楷體" w:hint="eastAsia"/>
        </w:rPr>
        <w:t>考量</w:t>
      </w:r>
      <w:r w:rsidR="00AE346F">
        <w:rPr>
          <w:rFonts w:hAnsi="標楷體" w:hint="eastAsia"/>
        </w:rPr>
        <w:t>跨部會署</w:t>
      </w:r>
      <w:r w:rsidR="00990CB6" w:rsidRPr="00B052FC">
        <w:rPr>
          <w:rFonts w:hAnsi="標楷體" w:hint="eastAsia"/>
        </w:rPr>
        <w:t>計畫係為因應突發且急迫之需而設立，預算執行率之高低</w:t>
      </w:r>
      <w:r w:rsidR="00B80DAD">
        <w:rPr>
          <w:rFonts w:hAnsi="標楷體" w:hint="eastAsia"/>
        </w:rPr>
        <w:t>尚</w:t>
      </w:r>
      <w:r w:rsidR="00990CB6" w:rsidRPr="00B052FC">
        <w:rPr>
          <w:rFonts w:hAnsi="標楷體" w:hint="eastAsia"/>
        </w:rPr>
        <w:t>不宜直接視為績效良窳之指標</w:t>
      </w:r>
      <w:r w:rsidR="00DC58AD" w:rsidRPr="00B052FC">
        <w:rPr>
          <w:rFonts w:hAnsi="標楷體" w:hint="eastAsia"/>
        </w:rPr>
        <w:t>，惟</w:t>
      </w:r>
      <w:r w:rsidRPr="00B052FC">
        <w:rPr>
          <w:rFonts w:hAnsi="標楷體" w:hint="eastAsia"/>
        </w:rPr>
        <w:t>仍需檢視預算編列規模是否符合實際需求，</w:t>
      </w:r>
      <w:r w:rsidR="00BE316B">
        <w:rPr>
          <w:rFonts w:hAnsi="標楷體" w:hint="eastAsia"/>
        </w:rPr>
        <w:t>並</w:t>
      </w:r>
      <w:r w:rsidR="00BE316B" w:rsidRPr="00B052FC">
        <w:rPr>
          <w:rFonts w:hAnsi="標楷體" w:hint="eastAsia"/>
        </w:rPr>
        <w:t>探究執行率偏低之主因</w:t>
      </w:r>
      <w:r w:rsidR="00BE316B">
        <w:rPr>
          <w:rFonts w:hAnsi="標楷體" w:hint="eastAsia"/>
        </w:rPr>
        <w:t>，</w:t>
      </w:r>
      <w:r w:rsidRPr="00B052FC">
        <w:rPr>
          <w:rFonts w:hAnsi="標楷體" w:hint="eastAsia"/>
        </w:rPr>
        <w:t>以確保資源有效配置</w:t>
      </w:r>
      <w:r w:rsidR="00BE316B">
        <w:rPr>
          <w:rFonts w:hAnsi="標楷體" w:hint="eastAsia"/>
        </w:rPr>
        <w:t>及</w:t>
      </w:r>
      <w:r w:rsidR="00DC58AD" w:rsidRPr="00B052FC">
        <w:rPr>
          <w:rFonts w:hAnsi="標楷體" w:hint="eastAsia"/>
        </w:rPr>
        <w:t>運用</w:t>
      </w:r>
      <w:r w:rsidRPr="00B052FC">
        <w:rPr>
          <w:rFonts w:hAnsi="標楷體" w:hint="eastAsia"/>
        </w:rPr>
        <w:t>。</w:t>
      </w:r>
    </w:p>
    <w:p w:rsidR="00606189" w:rsidRPr="00B052FC" w:rsidRDefault="00606189" w:rsidP="00606189">
      <w:pPr>
        <w:ind w:leftChars="0" w:left="0" w:firstLineChars="0" w:firstLine="0"/>
        <w:rPr>
          <w:rFonts w:hAnsi="標楷體"/>
        </w:rPr>
      </w:pPr>
      <w:r w:rsidRPr="00B052FC">
        <w:rPr>
          <w:rFonts w:hAnsi="標楷體" w:hint="eastAsia"/>
          <w:b/>
        </w:rPr>
        <w:t>表1  111至113年度跨部會署科發基金計畫預決算數</w:t>
      </w:r>
      <w:r w:rsidR="00AE346F">
        <w:rPr>
          <w:rFonts w:hAnsi="標楷體" w:hint="eastAsia"/>
          <w:b/>
        </w:rPr>
        <w:t>概況</w:t>
      </w:r>
      <w:r w:rsidRPr="00B052FC">
        <w:rPr>
          <w:rFonts w:hAnsi="標楷體" w:hint="eastAsia"/>
          <w:b/>
        </w:rPr>
        <w:t xml:space="preserve">表                                 </w:t>
      </w:r>
    </w:p>
    <w:p w:rsidR="00606189" w:rsidRPr="00B052FC" w:rsidRDefault="00606189" w:rsidP="00606189">
      <w:pPr>
        <w:pStyle w:val="142"/>
        <w:spacing w:line="360" w:lineRule="exact"/>
        <w:ind w:left="560" w:firstLine="560"/>
        <w:jc w:val="right"/>
        <w:rPr>
          <w:rFonts w:hAnsi="標楷體"/>
          <w:szCs w:val="24"/>
        </w:rPr>
      </w:pPr>
      <w:r w:rsidRPr="00B052FC">
        <w:rPr>
          <w:rFonts w:hAnsi="標楷體" w:hint="eastAsia"/>
          <w:szCs w:val="24"/>
        </w:rPr>
        <w:t xml:space="preserve">  單位：新臺幣千元</w:t>
      </w:r>
      <w:r w:rsidR="00B052FC" w:rsidRPr="00B052FC">
        <w:rPr>
          <w:rFonts w:hAnsi="標楷體" w:hint="eastAsia"/>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6"/>
        <w:gridCol w:w="2126"/>
        <w:gridCol w:w="2126"/>
        <w:gridCol w:w="2127"/>
      </w:tblGrid>
      <w:tr w:rsidR="00606189" w:rsidRPr="00B052FC" w:rsidTr="00F256FA">
        <w:trPr>
          <w:tblHeader/>
        </w:trPr>
        <w:tc>
          <w:tcPr>
            <w:tcW w:w="2126" w:type="dxa"/>
            <w:vAlign w:val="center"/>
          </w:tcPr>
          <w:p w:rsidR="00606189" w:rsidRPr="00B052FC" w:rsidRDefault="00606189" w:rsidP="00F256FA">
            <w:pPr>
              <w:pStyle w:val="142"/>
              <w:jc w:val="center"/>
              <w:rPr>
                <w:rFonts w:hAnsi="標楷體"/>
              </w:rPr>
            </w:pPr>
            <w:r w:rsidRPr="00B052FC">
              <w:rPr>
                <w:rFonts w:hAnsi="標楷體" w:hint="eastAsia"/>
              </w:rPr>
              <w:t>項目</w:t>
            </w:r>
          </w:p>
        </w:tc>
        <w:tc>
          <w:tcPr>
            <w:tcW w:w="2126" w:type="dxa"/>
            <w:vAlign w:val="center"/>
          </w:tcPr>
          <w:p w:rsidR="00606189" w:rsidRPr="00B052FC" w:rsidRDefault="00606189" w:rsidP="00F256FA">
            <w:pPr>
              <w:pStyle w:val="142"/>
              <w:jc w:val="center"/>
              <w:rPr>
                <w:rFonts w:hAnsi="標楷體"/>
              </w:rPr>
            </w:pPr>
            <w:r w:rsidRPr="00B052FC">
              <w:rPr>
                <w:rFonts w:hAnsi="標楷體"/>
              </w:rPr>
              <w:t>111</w:t>
            </w:r>
            <w:r w:rsidRPr="00B052FC">
              <w:rPr>
                <w:rFonts w:hAnsi="標楷體" w:hint="eastAsia"/>
              </w:rPr>
              <w:t>年度</w:t>
            </w:r>
          </w:p>
        </w:tc>
        <w:tc>
          <w:tcPr>
            <w:tcW w:w="2126" w:type="dxa"/>
            <w:vAlign w:val="center"/>
          </w:tcPr>
          <w:p w:rsidR="00606189" w:rsidRPr="00B052FC" w:rsidRDefault="00606189" w:rsidP="00F256FA">
            <w:pPr>
              <w:pStyle w:val="142"/>
              <w:jc w:val="center"/>
              <w:rPr>
                <w:rFonts w:hAnsi="標楷體"/>
              </w:rPr>
            </w:pPr>
            <w:r w:rsidRPr="00B052FC">
              <w:rPr>
                <w:rFonts w:hAnsi="標楷體"/>
              </w:rPr>
              <w:t>112</w:t>
            </w:r>
            <w:r w:rsidRPr="00B052FC">
              <w:rPr>
                <w:rFonts w:hAnsi="標楷體" w:hint="eastAsia"/>
              </w:rPr>
              <w:t>年度</w:t>
            </w:r>
          </w:p>
        </w:tc>
        <w:tc>
          <w:tcPr>
            <w:tcW w:w="2127" w:type="dxa"/>
            <w:vAlign w:val="center"/>
          </w:tcPr>
          <w:p w:rsidR="00606189" w:rsidRPr="00B052FC" w:rsidRDefault="00606189" w:rsidP="00F256FA">
            <w:pPr>
              <w:pStyle w:val="142"/>
              <w:jc w:val="center"/>
              <w:rPr>
                <w:rFonts w:hAnsi="標楷體"/>
              </w:rPr>
            </w:pPr>
            <w:r w:rsidRPr="00B052FC">
              <w:rPr>
                <w:rFonts w:hAnsi="標楷體"/>
              </w:rPr>
              <w:t>113</w:t>
            </w:r>
            <w:r w:rsidRPr="00B052FC">
              <w:rPr>
                <w:rFonts w:hAnsi="標楷體" w:hint="eastAsia"/>
              </w:rPr>
              <w:t>年度</w:t>
            </w:r>
          </w:p>
        </w:tc>
      </w:tr>
      <w:tr w:rsidR="00606189" w:rsidRPr="00B052FC" w:rsidTr="00F256FA">
        <w:tc>
          <w:tcPr>
            <w:tcW w:w="2126" w:type="dxa"/>
            <w:vAlign w:val="center"/>
          </w:tcPr>
          <w:p w:rsidR="00606189" w:rsidRPr="00B052FC" w:rsidRDefault="00606189" w:rsidP="00F256FA">
            <w:pPr>
              <w:pStyle w:val="142"/>
              <w:jc w:val="both"/>
              <w:rPr>
                <w:rFonts w:hAnsi="標楷體" w:hint="eastAsia"/>
              </w:rPr>
            </w:pPr>
            <w:r w:rsidRPr="00B052FC">
              <w:rPr>
                <w:rFonts w:hAnsi="標楷體" w:hint="eastAsia"/>
              </w:rPr>
              <w:t>預算數(</w:t>
            </w:r>
            <w:r w:rsidRPr="00B052FC">
              <w:rPr>
                <w:rFonts w:hAnsi="標楷體"/>
              </w:rPr>
              <w:t>A</w:t>
            </w:r>
            <w:r w:rsidRPr="00B052FC">
              <w:rPr>
                <w:rFonts w:hAnsi="標楷體" w:hint="eastAsia"/>
              </w:rPr>
              <w:t>)</w:t>
            </w:r>
          </w:p>
        </w:tc>
        <w:tc>
          <w:tcPr>
            <w:tcW w:w="2126" w:type="dxa"/>
            <w:vAlign w:val="center"/>
          </w:tcPr>
          <w:p w:rsidR="00606189" w:rsidRPr="00B052FC" w:rsidRDefault="00606189" w:rsidP="00F256FA">
            <w:pPr>
              <w:pStyle w:val="142"/>
              <w:jc w:val="right"/>
              <w:rPr>
                <w:rFonts w:hAnsi="標楷體"/>
              </w:rPr>
            </w:pPr>
            <w:r w:rsidRPr="00B052FC">
              <w:rPr>
                <w:rFonts w:hAnsi="標楷體"/>
              </w:rPr>
              <w:t>1,531,514</w:t>
            </w:r>
          </w:p>
        </w:tc>
        <w:tc>
          <w:tcPr>
            <w:tcW w:w="2126" w:type="dxa"/>
            <w:vAlign w:val="center"/>
          </w:tcPr>
          <w:p w:rsidR="00606189" w:rsidRPr="00B052FC" w:rsidRDefault="00606189" w:rsidP="00F256FA">
            <w:pPr>
              <w:pStyle w:val="142"/>
              <w:jc w:val="right"/>
              <w:rPr>
                <w:rFonts w:hAnsi="標楷體"/>
              </w:rPr>
            </w:pPr>
            <w:r w:rsidRPr="00B052FC">
              <w:rPr>
                <w:rFonts w:hAnsi="標楷體"/>
              </w:rPr>
              <w:t>1,313,560</w:t>
            </w:r>
          </w:p>
        </w:tc>
        <w:tc>
          <w:tcPr>
            <w:tcW w:w="2127" w:type="dxa"/>
            <w:vAlign w:val="center"/>
          </w:tcPr>
          <w:p w:rsidR="00606189" w:rsidRPr="00B052FC" w:rsidRDefault="00606189" w:rsidP="00F256FA">
            <w:pPr>
              <w:pStyle w:val="142"/>
              <w:jc w:val="right"/>
              <w:rPr>
                <w:rFonts w:hAnsi="標楷體"/>
              </w:rPr>
            </w:pPr>
            <w:r w:rsidRPr="00B052FC">
              <w:rPr>
                <w:rFonts w:hAnsi="標楷體"/>
              </w:rPr>
              <w:t>1,</w:t>
            </w:r>
            <w:r w:rsidRPr="00B052FC">
              <w:rPr>
                <w:rFonts w:hAnsi="標楷體" w:hint="eastAsia"/>
              </w:rPr>
              <w:t>399</w:t>
            </w:r>
            <w:r w:rsidRPr="00B052FC">
              <w:rPr>
                <w:rFonts w:hAnsi="標楷體"/>
              </w:rPr>
              <w:t>,710</w:t>
            </w:r>
          </w:p>
        </w:tc>
      </w:tr>
      <w:tr w:rsidR="00606189" w:rsidRPr="00B052FC" w:rsidTr="00F256FA">
        <w:tc>
          <w:tcPr>
            <w:tcW w:w="2126" w:type="dxa"/>
            <w:vAlign w:val="center"/>
          </w:tcPr>
          <w:p w:rsidR="00606189" w:rsidRPr="00B052FC" w:rsidRDefault="00606189" w:rsidP="00F256FA">
            <w:pPr>
              <w:pStyle w:val="142"/>
              <w:jc w:val="both"/>
              <w:rPr>
                <w:rFonts w:hAnsi="標楷體"/>
              </w:rPr>
            </w:pPr>
            <w:r w:rsidRPr="00B052FC">
              <w:rPr>
                <w:rFonts w:hAnsi="標楷體" w:hint="eastAsia"/>
              </w:rPr>
              <w:t>決算數(</w:t>
            </w:r>
            <w:r w:rsidRPr="00B052FC">
              <w:rPr>
                <w:rFonts w:hAnsi="標楷體"/>
              </w:rPr>
              <w:t>B)</w:t>
            </w:r>
          </w:p>
        </w:tc>
        <w:tc>
          <w:tcPr>
            <w:tcW w:w="2126" w:type="dxa"/>
            <w:vAlign w:val="center"/>
          </w:tcPr>
          <w:p w:rsidR="00606189" w:rsidRPr="00B052FC" w:rsidRDefault="00606189" w:rsidP="00F256FA">
            <w:pPr>
              <w:pStyle w:val="142"/>
              <w:jc w:val="right"/>
              <w:rPr>
                <w:rFonts w:hAnsi="標楷體"/>
              </w:rPr>
            </w:pPr>
            <w:r w:rsidRPr="00B052FC">
              <w:rPr>
                <w:rFonts w:hAnsi="標楷體"/>
              </w:rPr>
              <w:t>980,516</w:t>
            </w:r>
          </w:p>
        </w:tc>
        <w:tc>
          <w:tcPr>
            <w:tcW w:w="2126" w:type="dxa"/>
            <w:vAlign w:val="center"/>
          </w:tcPr>
          <w:p w:rsidR="00606189" w:rsidRPr="00B052FC" w:rsidRDefault="00606189" w:rsidP="00F256FA">
            <w:pPr>
              <w:pStyle w:val="142"/>
              <w:jc w:val="right"/>
              <w:rPr>
                <w:rFonts w:hAnsi="標楷體"/>
              </w:rPr>
            </w:pPr>
            <w:r w:rsidRPr="00B052FC">
              <w:rPr>
                <w:rFonts w:hAnsi="標楷體"/>
              </w:rPr>
              <w:t>677,375</w:t>
            </w:r>
          </w:p>
        </w:tc>
        <w:tc>
          <w:tcPr>
            <w:tcW w:w="2127" w:type="dxa"/>
            <w:vAlign w:val="center"/>
          </w:tcPr>
          <w:p w:rsidR="00606189" w:rsidRPr="00B052FC" w:rsidRDefault="00606189" w:rsidP="00F256FA">
            <w:pPr>
              <w:pStyle w:val="142"/>
              <w:jc w:val="right"/>
              <w:rPr>
                <w:rFonts w:hAnsi="標楷體"/>
              </w:rPr>
            </w:pPr>
            <w:r w:rsidRPr="00B052FC">
              <w:rPr>
                <w:rFonts w:hAnsi="標楷體"/>
              </w:rPr>
              <w:t>381,863</w:t>
            </w:r>
          </w:p>
        </w:tc>
      </w:tr>
      <w:tr w:rsidR="00606189" w:rsidRPr="00B052FC" w:rsidTr="00F256FA">
        <w:tc>
          <w:tcPr>
            <w:tcW w:w="2126" w:type="dxa"/>
            <w:vAlign w:val="center"/>
          </w:tcPr>
          <w:p w:rsidR="00606189" w:rsidRPr="00B052FC" w:rsidRDefault="00606189" w:rsidP="00F256FA">
            <w:pPr>
              <w:pStyle w:val="142"/>
              <w:jc w:val="both"/>
              <w:rPr>
                <w:rFonts w:hAnsi="標楷體" w:hint="eastAsia"/>
              </w:rPr>
            </w:pPr>
            <w:r w:rsidRPr="00B052FC">
              <w:rPr>
                <w:rFonts w:hAnsi="標楷體" w:hint="eastAsia"/>
              </w:rPr>
              <w:t>預算執行率(</w:t>
            </w:r>
            <w:r w:rsidRPr="00B052FC">
              <w:rPr>
                <w:rFonts w:hAnsi="標楷體"/>
              </w:rPr>
              <w:t>B/A)</w:t>
            </w:r>
          </w:p>
        </w:tc>
        <w:tc>
          <w:tcPr>
            <w:tcW w:w="2126" w:type="dxa"/>
            <w:shd w:val="clear" w:color="auto" w:fill="auto"/>
            <w:vAlign w:val="center"/>
          </w:tcPr>
          <w:p w:rsidR="00606189" w:rsidRPr="00B052FC" w:rsidRDefault="00606189" w:rsidP="00F256FA">
            <w:pPr>
              <w:pStyle w:val="142"/>
              <w:jc w:val="right"/>
              <w:rPr>
                <w:rFonts w:hAnsi="標楷體"/>
              </w:rPr>
            </w:pPr>
            <w:r w:rsidRPr="00B052FC">
              <w:rPr>
                <w:rFonts w:hAnsi="標楷體" w:hint="eastAsia"/>
              </w:rPr>
              <w:t>64.02</w:t>
            </w:r>
          </w:p>
        </w:tc>
        <w:tc>
          <w:tcPr>
            <w:tcW w:w="2126" w:type="dxa"/>
            <w:shd w:val="clear" w:color="auto" w:fill="auto"/>
            <w:vAlign w:val="center"/>
          </w:tcPr>
          <w:p w:rsidR="00606189" w:rsidRPr="00B052FC" w:rsidRDefault="00606189" w:rsidP="00F256FA">
            <w:pPr>
              <w:pStyle w:val="142"/>
              <w:jc w:val="right"/>
              <w:rPr>
                <w:rFonts w:hAnsi="標楷體"/>
              </w:rPr>
            </w:pPr>
            <w:r w:rsidRPr="00B052FC">
              <w:rPr>
                <w:rFonts w:hAnsi="標楷體" w:hint="eastAsia"/>
              </w:rPr>
              <w:t>51.57</w:t>
            </w:r>
          </w:p>
        </w:tc>
        <w:tc>
          <w:tcPr>
            <w:tcW w:w="2127" w:type="dxa"/>
            <w:shd w:val="clear" w:color="auto" w:fill="auto"/>
            <w:vAlign w:val="center"/>
          </w:tcPr>
          <w:p w:rsidR="00606189" w:rsidRPr="00B052FC" w:rsidRDefault="00606189" w:rsidP="00F256FA">
            <w:pPr>
              <w:pStyle w:val="142"/>
              <w:jc w:val="right"/>
              <w:rPr>
                <w:rFonts w:hAnsi="標楷體"/>
              </w:rPr>
            </w:pPr>
            <w:r w:rsidRPr="00B052FC">
              <w:rPr>
                <w:rFonts w:hAnsi="標楷體" w:hint="eastAsia"/>
              </w:rPr>
              <w:t>27.28</w:t>
            </w:r>
          </w:p>
        </w:tc>
      </w:tr>
    </w:tbl>
    <w:p w:rsidR="00606189" w:rsidRPr="00B052FC" w:rsidRDefault="00606189" w:rsidP="00606189">
      <w:pPr>
        <w:pStyle w:val="142"/>
        <w:ind w:leftChars="5" w:left="1203" w:hangingChars="489" w:hanging="1189"/>
        <w:rPr>
          <w:rFonts w:hAnsi="標楷體"/>
        </w:rPr>
      </w:pPr>
      <w:r w:rsidRPr="00B052FC">
        <w:rPr>
          <w:rFonts w:hAnsi="標楷體" w:hint="eastAsia"/>
        </w:rPr>
        <w:t>資料來源：國科會提供。</w:t>
      </w:r>
    </w:p>
    <w:p w:rsidR="00606189" w:rsidRPr="00B052FC" w:rsidRDefault="00606189" w:rsidP="00606189">
      <w:pPr>
        <w:pStyle w:val="a4"/>
        <w:ind w:left="849" w:hanging="283"/>
        <w:rPr>
          <w:rFonts w:hAnsi="標楷體"/>
          <w:b/>
        </w:rPr>
      </w:pPr>
      <w:r w:rsidRPr="00B052FC">
        <w:rPr>
          <w:rFonts w:hAnsi="標楷體" w:hint="eastAsia"/>
          <w:b/>
        </w:rPr>
        <w:t>(二)</w:t>
      </w:r>
      <w:r w:rsidRPr="00B052FC">
        <w:rPr>
          <w:rFonts w:hAnsi="標楷體" w:hint="eastAsia"/>
        </w:rPr>
        <w:t xml:space="preserve"> </w:t>
      </w:r>
      <w:r w:rsidRPr="00B052FC">
        <w:rPr>
          <w:rFonts w:hAnsi="標楷體" w:hint="eastAsia"/>
          <w:b/>
        </w:rPr>
        <w:t>111至113年度</w:t>
      </w:r>
      <w:r w:rsidR="00E67A91" w:rsidRPr="00B052FC">
        <w:rPr>
          <w:rFonts w:hAnsi="標楷體" w:hint="eastAsia"/>
          <w:b/>
        </w:rPr>
        <w:t>補助計畫</w:t>
      </w:r>
      <w:r w:rsidR="00E67A91">
        <w:rPr>
          <w:rFonts w:hAnsi="標楷體" w:hint="eastAsia"/>
          <w:b/>
        </w:rPr>
        <w:t>中</w:t>
      </w:r>
      <w:r w:rsidR="00E67A91" w:rsidRPr="00B052FC">
        <w:rPr>
          <w:rFonts w:hAnsi="標楷體" w:hint="eastAsia"/>
          <w:b/>
        </w:rPr>
        <w:t>6</w:t>
      </w:r>
      <w:r w:rsidRPr="00B052FC">
        <w:rPr>
          <w:rFonts w:hAnsi="標楷體" w:hint="eastAsia"/>
          <w:b/>
        </w:rPr>
        <w:t>案</w:t>
      </w:r>
      <w:r w:rsidR="00AE346F">
        <w:rPr>
          <w:rFonts w:hAnsi="標楷體" w:hint="eastAsia"/>
          <w:b/>
        </w:rPr>
        <w:t>預算</w:t>
      </w:r>
      <w:r w:rsidRPr="00B052FC">
        <w:rPr>
          <w:rFonts w:hAnsi="標楷體" w:hint="eastAsia"/>
          <w:b/>
        </w:rPr>
        <w:t>執行率未達90%，最低僅10.01%，允宜</w:t>
      </w:r>
      <w:r w:rsidR="00990CB6" w:rsidRPr="00B052FC">
        <w:rPr>
          <w:rFonts w:hAnsi="標楷體" w:hint="eastAsia"/>
          <w:b/>
        </w:rPr>
        <w:t>強化提案審查機制</w:t>
      </w:r>
      <w:r w:rsidRPr="00B052FC">
        <w:rPr>
          <w:rFonts w:hAnsi="標楷體" w:hint="eastAsia"/>
          <w:b/>
        </w:rPr>
        <w:t>，俾提升整體執行</w:t>
      </w:r>
      <w:r w:rsidR="00502F86" w:rsidRPr="00B052FC">
        <w:rPr>
          <w:rFonts w:hAnsi="標楷體" w:hint="eastAsia"/>
          <w:b/>
        </w:rPr>
        <w:t>效益</w:t>
      </w:r>
    </w:p>
    <w:p w:rsidR="00606189" w:rsidRPr="00B052FC" w:rsidRDefault="00C71B0D" w:rsidP="00C71B0D">
      <w:pPr>
        <w:pStyle w:val="22"/>
        <w:ind w:left="850" w:firstLine="566"/>
        <w:rPr>
          <w:rFonts w:hAnsi="標楷體"/>
        </w:rPr>
      </w:pPr>
      <w:r w:rsidRPr="00B052FC">
        <w:rPr>
          <w:rFonts w:hAnsi="標楷體" w:hint="eastAsia"/>
        </w:rPr>
        <w:t>跨部會署計畫於111至113年度共核准補助</w:t>
      </w:r>
      <w:r w:rsidR="00502F86" w:rsidRPr="00B052FC">
        <w:rPr>
          <w:rFonts w:hAnsi="標楷體" w:hint="eastAsia"/>
        </w:rPr>
        <w:t>各部會</w:t>
      </w:r>
      <w:r w:rsidRPr="00B052FC">
        <w:rPr>
          <w:rFonts w:hAnsi="標楷體" w:hint="eastAsia"/>
        </w:rPr>
        <w:t>22項計畫，其中有6項計畫</w:t>
      </w:r>
      <w:r w:rsidR="00127DD8">
        <w:rPr>
          <w:rFonts w:hAnsi="標楷體" w:hint="eastAsia"/>
        </w:rPr>
        <w:t>(</w:t>
      </w:r>
      <w:r w:rsidRPr="00B052FC">
        <w:rPr>
          <w:rFonts w:hAnsi="標楷體" w:hint="eastAsia"/>
        </w:rPr>
        <w:t>占比達27.27%</w:t>
      </w:r>
      <w:r w:rsidR="00127DD8">
        <w:rPr>
          <w:rFonts w:hAnsi="標楷體" w:hint="eastAsia"/>
        </w:rPr>
        <w:t>)</w:t>
      </w:r>
      <w:r w:rsidR="00AE346F">
        <w:rPr>
          <w:rFonts w:hAnsi="標楷體" w:hint="eastAsia"/>
        </w:rPr>
        <w:t>預算</w:t>
      </w:r>
      <w:r w:rsidRPr="00B052FC">
        <w:rPr>
          <w:rFonts w:hAnsi="標楷體" w:hint="eastAsia"/>
        </w:rPr>
        <w:t>執行率低於90%</w:t>
      </w:r>
      <w:r w:rsidR="00502F86" w:rsidRPr="00B052FC">
        <w:rPr>
          <w:rFonts w:hAnsi="標楷體" w:hint="eastAsia"/>
        </w:rPr>
        <w:t>，</w:t>
      </w:r>
      <w:r w:rsidR="00AE346F">
        <w:rPr>
          <w:rFonts w:hAnsi="標楷體" w:hint="eastAsia"/>
        </w:rPr>
        <w:t>其中</w:t>
      </w:r>
      <w:r w:rsidRPr="00B052FC">
        <w:rPr>
          <w:rFonts w:hAnsi="標楷體" w:hint="eastAsia"/>
        </w:rPr>
        <w:t>113年度補助</w:t>
      </w:r>
      <w:r w:rsidR="00AE346F">
        <w:rPr>
          <w:rFonts w:hAnsi="標楷體" w:hint="eastAsia"/>
        </w:rPr>
        <w:t>數位發展部(下稱</w:t>
      </w:r>
      <w:r w:rsidRPr="00B052FC">
        <w:rPr>
          <w:rFonts w:hAnsi="標楷體" w:hint="eastAsia"/>
        </w:rPr>
        <w:t>數發部</w:t>
      </w:r>
      <w:r w:rsidR="00AE346F">
        <w:rPr>
          <w:rFonts w:hAnsi="標楷體" w:hint="eastAsia"/>
        </w:rPr>
        <w:t>)</w:t>
      </w:r>
      <w:r w:rsidRPr="00B052FC">
        <w:rPr>
          <w:rFonts w:hAnsi="標楷體" w:hint="eastAsia"/>
        </w:rPr>
        <w:t>執行之「政府資安人力職能轉換訓練計畫」，執行率甚至僅10.01%</w:t>
      </w:r>
      <w:r w:rsidR="00AE346F">
        <w:rPr>
          <w:rFonts w:hAnsi="標楷體" w:hint="eastAsia"/>
        </w:rPr>
        <w:t>(詳表2</w:t>
      </w:r>
      <w:r w:rsidR="00127DD8">
        <w:rPr>
          <w:rFonts w:hAnsi="標楷體" w:hint="eastAsia"/>
        </w:rPr>
        <w:t>)</w:t>
      </w:r>
      <w:r w:rsidRPr="00B052FC">
        <w:rPr>
          <w:rFonts w:hAnsi="標楷體" w:hint="eastAsia"/>
        </w:rPr>
        <w:t>，顯示部分計畫在推動與執行面上未能有效運用核定資源</w:t>
      </w:r>
      <w:r w:rsidR="00502F86" w:rsidRPr="00B052FC">
        <w:rPr>
          <w:rFonts w:hAnsi="標楷體" w:hint="eastAsia"/>
        </w:rPr>
        <w:t>，容有待精進</w:t>
      </w:r>
      <w:r w:rsidRPr="00B052FC">
        <w:rPr>
          <w:rFonts w:hAnsi="標楷體" w:hint="eastAsia"/>
        </w:rPr>
        <w:t>。鑒於跨部會署計畫係支應重大且急迫之科技政策需求，資源配置應更精確，使用效率</w:t>
      </w:r>
      <w:r w:rsidR="00502F86" w:rsidRPr="00B052FC">
        <w:rPr>
          <w:rFonts w:hAnsi="標楷體" w:hint="eastAsia"/>
        </w:rPr>
        <w:t>應有效提升</w:t>
      </w:r>
      <w:r w:rsidRPr="00B052FC">
        <w:rPr>
          <w:rFonts w:hAnsi="標楷體" w:hint="eastAsia"/>
        </w:rPr>
        <w:t>，允宜強化提案審查機制，</w:t>
      </w:r>
      <w:r w:rsidR="00502F86" w:rsidRPr="00B052FC">
        <w:rPr>
          <w:rFonts w:hAnsi="標楷體" w:hint="eastAsia"/>
        </w:rPr>
        <w:t>綜整</w:t>
      </w:r>
      <w:r w:rsidRPr="00B052FC">
        <w:rPr>
          <w:rFonts w:hAnsi="標楷體" w:hint="eastAsia"/>
        </w:rPr>
        <w:t>評估計畫可行性、資源投入規模及執行進度管</w:t>
      </w:r>
      <w:r w:rsidR="00E67A91">
        <w:rPr>
          <w:rFonts w:hAnsi="標楷體" w:hint="eastAsia"/>
        </w:rPr>
        <w:t>控</w:t>
      </w:r>
      <w:r w:rsidRPr="00B052FC">
        <w:rPr>
          <w:rFonts w:hAnsi="標楷體" w:hint="eastAsia"/>
        </w:rPr>
        <w:t>能力，俾提升整體執行成效與科技資源運用效益。</w:t>
      </w:r>
    </w:p>
    <w:p w:rsidR="00606189" w:rsidRPr="00B052FC" w:rsidRDefault="00606189" w:rsidP="00606189">
      <w:pPr>
        <w:ind w:leftChars="0" w:left="709" w:hangingChars="250" w:hanging="709"/>
        <w:jc w:val="left"/>
        <w:rPr>
          <w:rFonts w:hAnsi="標楷體"/>
          <w:b/>
        </w:rPr>
      </w:pPr>
      <w:r w:rsidRPr="00B052FC">
        <w:rPr>
          <w:rFonts w:hAnsi="標楷體" w:hint="eastAsia"/>
          <w:b/>
        </w:rPr>
        <w:t>表2  跨部會署科發基金計畫111至113年度補助計畫執行情形表</w:t>
      </w:r>
    </w:p>
    <w:p w:rsidR="00606189" w:rsidRPr="00B052FC" w:rsidRDefault="00606189" w:rsidP="00606189">
      <w:pPr>
        <w:pStyle w:val="142"/>
        <w:jc w:val="right"/>
        <w:rPr>
          <w:rFonts w:hAnsi="標楷體" w:hint="eastAsia"/>
        </w:rPr>
      </w:pPr>
      <w:r w:rsidRPr="00B052FC">
        <w:rPr>
          <w:rFonts w:hAnsi="標楷體" w:hint="eastAsia"/>
          <w:szCs w:val="24"/>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1134"/>
        <w:gridCol w:w="3969"/>
        <w:gridCol w:w="993"/>
        <w:gridCol w:w="992"/>
        <w:gridCol w:w="850"/>
      </w:tblGrid>
      <w:tr w:rsidR="005D2274" w:rsidRPr="00B052FC" w:rsidTr="005D2274">
        <w:trPr>
          <w:tblHeader/>
        </w:trPr>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年度</w:t>
            </w:r>
          </w:p>
        </w:tc>
        <w:tc>
          <w:tcPr>
            <w:tcW w:w="1134"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機關</w:t>
            </w:r>
          </w:p>
        </w:tc>
        <w:tc>
          <w:tcPr>
            <w:tcW w:w="3969"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計畫名稱</w:t>
            </w:r>
          </w:p>
        </w:tc>
        <w:tc>
          <w:tcPr>
            <w:tcW w:w="993"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hint="eastAsia"/>
                <w:snapToGrid/>
              </w:rPr>
              <w:t>核定數</w:t>
            </w:r>
            <w:r w:rsidR="00B052FC" w:rsidRPr="00B052FC">
              <w:rPr>
                <w:rFonts w:hAnsi="標楷體" w:hint="eastAsia"/>
                <w:snapToGrid/>
              </w:rPr>
              <w:t>(</w:t>
            </w:r>
            <w:r w:rsidR="00B052FC" w:rsidRPr="00B052FC">
              <w:rPr>
                <w:rFonts w:hAnsi="標楷體"/>
                <w:snapToGrid/>
              </w:rPr>
              <w:t>A</w:t>
            </w:r>
            <w:r w:rsidR="00B052FC" w:rsidRPr="00B052FC">
              <w:rPr>
                <w:rFonts w:hAnsi="標楷體" w:hint="eastAsia"/>
                <w:snapToGrid/>
              </w:rPr>
              <w:t>)</w:t>
            </w:r>
          </w:p>
        </w:tc>
        <w:tc>
          <w:tcPr>
            <w:tcW w:w="992" w:type="dxa"/>
            <w:shd w:val="clear" w:color="auto" w:fill="auto"/>
            <w:vAlign w:val="center"/>
            <w:hideMark/>
          </w:tcPr>
          <w:p w:rsidR="00606189" w:rsidRPr="00B052FC" w:rsidRDefault="00606189" w:rsidP="00F256FA">
            <w:pPr>
              <w:pStyle w:val="142"/>
              <w:jc w:val="center"/>
              <w:rPr>
                <w:rFonts w:hAnsi="標楷體" w:cs="新細明體"/>
                <w:snapToGrid/>
              </w:rPr>
            </w:pPr>
            <w:r w:rsidRPr="00B052FC">
              <w:rPr>
                <w:rFonts w:hAnsi="標楷體" w:cs="新細明體" w:hint="eastAsia"/>
                <w:snapToGrid/>
              </w:rPr>
              <w:t>執行數</w:t>
            </w:r>
            <w:r w:rsidR="00B052FC" w:rsidRPr="00B052FC">
              <w:rPr>
                <w:rFonts w:hAnsi="標楷體" w:cs="新細明體" w:hint="eastAsia"/>
                <w:snapToGrid/>
              </w:rPr>
              <w:t>(</w:t>
            </w:r>
            <w:r w:rsidR="00B052FC" w:rsidRPr="00B052FC">
              <w:rPr>
                <w:rFonts w:hAnsi="標楷體" w:cs="新細明體"/>
                <w:snapToGrid/>
              </w:rPr>
              <w:t>B)</w:t>
            </w:r>
          </w:p>
        </w:tc>
        <w:tc>
          <w:tcPr>
            <w:tcW w:w="850" w:type="dxa"/>
            <w:vAlign w:val="center"/>
          </w:tcPr>
          <w:p w:rsidR="00606189" w:rsidRPr="00B052FC" w:rsidRDefault="00606189" w:rsidP="00F256FA">
            <w:pPr>
              <w:pStyle w:val="142"/>
              <w:jc w:val="center"/>
              <w:rPr>
                <w:rFonts w:hAnsi="標楷體" w:cs="新細明體" w:hint="eastAsia"/>
                <w:snapToGrid/>
              </w:rPr>
            </w:pPr>
            <w:r w:rsidRPr="00B052FC">
              <w:rPr>
                <w:rFonts w:hAnsi="標楷體" w:cs="新細明體" w:hint="eastAsia"/>
                <w:snapToGrid/>
              </w:rPr>
              <w:t>執行率</w:t>
            </w:r>
            <w:r w:rsidR="00B052FC" w:rsidRPr="00B052FC">
              <w:rPr>
                <w:rFonts w:hAnsi="標楷體" w:cs="新細明體" w:hint="eastAsia"/>
                <w:snapToGrid/>
              </w:rPr>
              <w:t>(</w:t>
            </w:r>
            <w:r w:rsidR="00B052FC" w:rsidRPr="00B052FC">
              <w:rPr>
                <w:rFonts w:hAnsi="標楷體" w:cs="新細明體"/>
                <w:snapToGrid/>
              </w:rPr>
              <w:t>B/A)</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經濟部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臺灣與歐洲半導體產業策略合作發展計畫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75,000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74,768</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99.69</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經濟部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中小企業淨零碳排計畫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hint="eastAsia"/>
                <w:snapToGrid/>
              </w:rPr>
              <w:t>144</w:t>
            </w:r>
            <w:r w:rsidRPr="00B052FC">
              <w:rPr>
                <w:rFonts w:hAnsi="標楷體"/>
                <w:snapToGrid/>
              </w:rPr>
              <w:t>,</w:t>
            </w:r>
            <w:r w:rsidRPr="00B052FC">
              <w:rPr>
                <w:rFonts w:hAnsi="標楷體" w:hint="eastAsia"/>
                <w:snapToGrid/>
              </w:rPr>
              <w:t>143</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hint="eastAsia"/>
                <w:snapToGrid/>
              </w:rPr>
              <w:t>142</w:t>
            </w:r>
            <w:r w:rsidRPr="00B052FC">
              <w:rPr>
                <w:rFonts w:hAnsi="標楷體"/>
                <w:snapToGrid/>
              </w:rPr>
              <w:t>,9</w:t>
            </w:r>
            <w:r w:rsidRPr="00B052FC">
              <w:rPr>
                <w:rFonts w:hAnsi="標楷體" w:hint="eastAsia"/>
                <w:snapToGrid/>
              </w:rPr>
              <w:t>82</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hint="eastAsia"/>
                <w:snapToGrid/>
                <w:szCs w:val="24"/>
              </w:rPr>
              <w:t>99.19</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衛福部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臺灣健康資料治理推動計畫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36,375</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32,596</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89.61</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核心科技產業戰略布局計畫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61,298</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60,998</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99.51</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lastRenderedPageBreak/>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精準健康科技與產業推動計畫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83,345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82,217</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98.65</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次世代數位科技創新整合與推動計畫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48,801</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47,484</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97.30</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科技基盤建構法制支援計畫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12,055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12,055</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100.00</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國科會</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智慧國家方案推動計畫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91,779</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74,230</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80.88</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國科會</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科技決策支援暨科技計畫推動諮詢</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94,998</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59,208</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62.33</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111</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數發部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加速中小微型企業普及上雲計畫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176,517</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139,641</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79.11</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數發部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產業供應鏈資安成熟度合規導入推動計畫（</w:t>
            </w:r>
            <w:r w:rsidRPr="00B052FC">
              <w:rPr>
                <w:rFonts w:hAnsi="標楷體"/>
                <w:snapToGrid/>
              </w:rPr>
              <w:t>1/1</w:t>
            </w:r>
            <w:r w:rsidRPr="00B052FC">
              <w:rPr>
                <w:rFonts w:hAnsi="標楷體" w:hint="eastAsia"/>
                <w:snapToGrid/>
              </w:rPr>
              <w:t>）</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52,000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51,667</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99.36</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農委會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高雄旗山溪水系灌區精進灌溉節水管理技術推廣建置計畫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53,500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52,998</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99.06</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111</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中央研究院</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運用基因型鑑定分析發展多基因風險分數以建立疾病風險評估模式</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139,714</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133,595</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95.62</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112</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國防部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國防部軍用商規無人機原型機研發案</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170,000</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139,307</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81.95</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112</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推動可信任生成式</w:t>
            </w:r>
            <w:r w:rsidRPr="00B052FC">
              <w:rPr>
                <w:rFonts w:hAnsi="標楷體"/>
                <w:snapToGrid/>
              </w:rPr>
              <w:t>AI</w:t>
            </w:r>
            <w:r w:rsidRPr="00B052FC">
              <w:rPr>
                <w:rFonts w:hAnsi="標楷體" w:hint="eastAsia"/>
                <w:snapToGrid/>
              </w:rPr>
              <w:t>發展先期計畫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232,218</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227,514</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97.97</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112</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國科會</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推動各產業導入生成式</w:t>
            </w:r>
            <w:r w:rsidRPr="00B052FC">
              <w:rPr>
                <w:rFonts w:hAnsi="標楷體"/>
                <w:snapToGrid/>
              </w:rPr>
              <w:t>AI</w:t>
            </w:r>
            <w:r w:rsidRPr="00B052FC">
              <w:rPr>
                <w:rFonts w:hAnsi="標楷體" w:hint="eastAsia"/>
                <w:snapToGrid/>
              </w:rPr>
              <w:t>先期計畫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119,867</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116,949</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97.57</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112</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數發部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推動國際海纜站韌性建設強化我國聯外通訊網路計畫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203,455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202,233</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99.40</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個人資料保護委員會籌備處</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因應新興科技發展之個資保護政策基盤建構計畫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18,000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17,999</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100.00</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交通部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運用</w:t>
            </w:r>
            <w:r w:rsidRPr="00B052FC">
              <w:rPr>
                <w:rFonts w:hAnsi="標楷體"/>
                <w:snapToGrid/>
              </w:rPr>
              <w:t xml:space="preserve"> GPU </w:t>
            </w:r>
            <w:r w:rsidRPr="00B052FC">
              <w:rPr>
                <w:rFonts w:hAnsi="標楷體" w:hint="eastAsia"/>
                <w:snapToGrid/>
              </w:rPr>
              <w:t>發展人工智慧</w:t>
            </w:r>
            <w:r w:rsidRPr="00B052FC">
              <w:rPr>
                <w:rFonts w:hAnsi="標楷體"/>
                <w:snapToGrid/>
              </w:rPr>
              <w:t>/</w:t>
            </w:r>
            <w:r w:rsidRPr="00B052FC">
              <w:rPr>
                <w:rFonts w:hAnsi="標楷體" w:hint="eastAsia"/>
                <w:snapToGrid/>
              </w:rPr>
              <w:t>機器學習氣象預測模式的功能及潛力評估</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38,123</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38,096</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99.93</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衛福部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建置全國性醫療費用資訊平台計畫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43,975</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42,826</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97.39</w:t>
            </w:r>
          </w:p>
        </w:tc>
      </w:tr>
      <w:tr w:rsidR="005D2274" w:rsidRPr="00B052FC" w:rsidTr="005D2274">
        <w:tc>
          <w:tcPr>
            <w:tcW w:w="562" w:type="dxa"/>
            <w:shd w:val="clear" w:color="auto" w:fill="auto"/>
            <w:vAlign w:val="center"/>
            <w:hideMark/>
          </w:tcPr>
          <w:p w:rsidR="00606189" w:rsidRPr="00B052FC" w:rsidRDefault="00606189" w:rsidP="00F256FA">
            <w:pPr>
              <w:pStyle w:val="142"/>
              <w:jc w:val="center"/>
              <w:rPr>
                <w:rFonts w:hAnsi="標楷體"/>
                <w:snapToGrid/>
              </w:rPr>
            </w:pPr>
            <w:r w:rsidRPr="00B052FC">
              <w:rPr>
                <w:rFonts w:hAnsi="標楷體"/>
                <w:snapToGrid/>
              </w:rPr>
              <w:t>113</w:t>
            </w:r>
          </w:p>
        </w:tc>
        <w:tc>
          <w:tcPr>
            <w:tcW w:w="1134"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數發部</w:t>
            </w:r>
          </w:p>
        </w:tc>
        <w:tc>
          <w:tcPr>
            <w:tcW w:w="3969" w:type="dxa"/>
            <w:shd w:val="clear" w:color="auto" w:fill="auto"/>
            <w:vAlign w:val="center"/>
            <w:hideMark/>
          </w:tcPr>
          <w:p w:rsidR="00606189" w:rsidRPr="00B052FC" w:rsidRDefault="00606189" w:rsidP="00F256FA">
            <w:pPr>
              <w:pStyle w:val="142"/>
              <w:rPr>
                <w:rFonts w:hAnsi="標楷體"/>
                <w:snapToGrid/>
              </w:rPr>
            </w:pPr>
            <w:r w:rsidRPr="00B052FC">
              <w:rPr>
                <w:rFonts w:hAnsi="標楷體" w:hint="eastAsia"/>
                <w:snapToGrid/>
              </w:rPr>
              <w:t>強化網路技術社群參與及人才培育推動計畫</w:t>
            </w:r>
          </w:p>
        </w:tc>
        <w:tc>
          <w:tcPr>
            <w:tcW w:w="993"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11,400</w:t>
            </w:r>
          </w:p>
        </w:tc>
        <w:tc>
          <w:tcPr>
            <w:tcW w:w="992" w:type="dxa"/>
            <w:shd w:val="clear" w:color="auto" w:fill="auto"/>
            <w:vAlign w:val="center"/>
            <w:hideMark/>
          </w:tcPr>
          <w:p w:rsidR="00606189" w:rsidRPr="00B052FC" w:rsidRDefault="00606189" w:rsidP="00F256FA">
            <w:pPr>
              <w:pStyle w:val="142"/>
              <w:jc w:val="right"/>
              <w:rPr>
                <w:rFonts w:hAnsi="標楷體"/>
                <w:snapToGrid/>
              </w:rPr>
            </w:pPr>
            <w:r w:rsidRPr="00B052FC">
              <w:rPr>
                <w:rFonts w:hAnsi="標楷體"/>
                <w:snapToGrid/>
              </w:rPr>
              <w:t>11,170</w:t>
            </w:r>
          </w:p>
        </w:tc>
        <w:tc>
          <w:tcPr>
            <w:tcW w:w="850" w:type="dxa"/>
            <w:vAlign w:val="center"/>
          </w:tcPr>
          <w:p w:rsidR="00606189" w:rsidRPr="00B052FC" w:rsidRDefault="00606189" w:rsidP="00F256FA">
            <w:pPr>
              <w:pStyle w:val="142"/>
              <w:jc w:val="right"/>
              <w:rPr>
                <w:rFonts w:hAnsi="標楷體"/>
                <w:snapToGrid/>
                <w:szCs w:val="24"/>
              </w:rPr>
            </w:pPr>
            <w:r w:rsidRPr="00B052FC">
              <w:rPr>
                <w:rFonts w:hAnsi="標楷體"/>
                <w:snapToGrid/>
                <w:szCs w:val="24"/>
              </w:rPr>
              <w:t>97.98</w:t>
            </w:r>
          </w:p>
        </w:tc>
      </w:tr>
      <w:tr w:rsidR="005D2274" w:rsidRPr="005D2274" w:rsidTr="005D2274">
        <w:tc>
          <w:tcPr>
            <w:tcW w:w="562" w:type="dxa"/>
            <w:shd w:val="clear" w:color="auto" w:fill="auto"/>
            <w:vAlign w:val="center"/>
            <w:hideMark/>
          </w:tcPr>
          <w:p w:rsidR="00606189" w:rsidRPr="005D2274" w:rsidRDefault="00606189" w:rsidP="00F256FA">
            <w:pPr>
              <w:pStyle w:val="142"/>
              <w:jc w:val="center"/>
              <w:rPr>
                <w:rFonts w:hAnsi="標楷體"/>
                <w:b/>
                <w:bCs/>
                <w:snapToGrid/>
              </w:rPr>
            </w:pPr>
            <w:r w:rsidRPr="005D2274">
              <w:rPr>
                <w:rFonts w:hAnsi="標楷體"/>
                <w:b/>
                <w:bCs/>
                <w:snapToGrid/>
              </w:rPr>
              <w:t>113</w:t>
            </w:r>
          </w:p>
        </w:tc>
        <w:tc>
          <w:tcPr>
            <w:tcW w:w="1134"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數發部</w:t>
            </w:r>
          </w:p>
        </w:tc>
        <w:tc>
          <w:tcPr>
            <w:tcW w:w="3969" w:type="dxa"/>
            <w:shd w:val="clear" w:color="auto" w:fill="auto"/>
            <w:vAlign w:val="center"/>
            <w:hideMark/>
          </w:tcPr>
          <w:p w:rsidR="00606189" w:rsidRPr="005D2274" w:rsidRDefault="00606189" w:rsidP="00F256FA">
            <w:pPr>
              <w:pStyle w:val="142"/>
              <w:rPr>
                <w:rFonts w:hAnsi="標楷體"/>
                <w:b/>
                <w:bCs/>
                <w:snapToGrid/>
              </w:rPr>
            </w:pPr>
            <w:r w:rsidRPr="005D2274">
              <w:rPr>
                <w:rFonts w:hAnsi="標楷體" w:hint="eastAsia"/>
                <w:b/>
                <w:bCs/>
                <w:snapToGrid/>
              </w:rPr>
              <w:t>政府資安人力職能轉換訓練計畫</w:t>
            </w:r>
          </w:p>
        </w:tc>
        <w:tc>
          <w:tcPr>
            <w:tcW w:w="993"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43,750</w:t>
            </w:r>
          </w:p>
        </w:tc>
        <w:tc>
          <w:tcPr>
            <w:tcW w:w="992" w:type="dxa"/>
            <w:shd w:val="clear" w:color="auto" w:fill="auto"/>
            <w:vAlign w:val="center"/>
            <w:hideMark/>
          </w:tcPr>
          <w:p w:rsidR="00606189" w:rsidRPr="005D2274" w:rsidRDefault="00606189" w:rsidP="00F256FA">
            <w:pPr>
              <w:pStyle w:val="142"/>
              <w:jc w:val="right"/>
              <w:rPr>
                <w:rFonts w:hAnsi="標楷體"/>
                <w:b/>
                <w:bCs/>
                <w:snapToGrid/>
              </w:rPr>
            </w:pPr>
            <w:r w:rsidRPr="005D2274">
              <w:rPr>
                <w:rFonts w:hAnsi="標楷體"/>
                <w:b/>
                <w:bCs/>
                <w:snapToGrid/>
              </w:rPr>
              <w:t>4,378</w:t>
            </w:r>
          </w:p>
        </w:tc>
        <w:tc>
          <w:tcPr>
            <w:tcW w:w="850" w:type="dxa"/>
            <w:vAlign w:val="center"/>
          </w:tcPr>
          <w:p w:rsidR="00606189" w:rsidRPr="005D2274" w:rsidRDefault="00606189" w:rsidP="00F256FA">
            <w:pPr>
              <w:pStyle w:val="142"/>
              <w:jc w:val="right"/>
              <w:rPr>
                <w:rFonts w:hAnsi="標楷體"/>
                <w:b/>
                <w:bCs/>
                <w:snapToGrid/>
                <w:szCs w:val="24"/>
              </w:rPr>
            </w:pPr>
            <w:r w:rsidRPr="005D2274">
              <w:rPr>
                <w:rFonts w:hAnsi="標楷體"/>
                <w:b/>
                <w:bCs/>
                <w:snapToGrid/>
                <w:szCs w:val="24"/>
              </w:rPr>
              <w:t>10.01</w:t>
            </w:r>
          </w:p>
        </w:tc>
      </w:tr>
    </w:tbl>
    <w:p w:rsidR="00606189" w:rsidRPr="00B052FC" w:rsidRDefault="00606189" w:rsidP="00606189">
      <w:pPr>
        <w:pStyle w:val="142"/>
        <w:rPr>
          <w:rFonts w:hAnsi="標楷體"/>
        </w:rPr>
      </w:pPr>
      <w:r w:rsidRPr="00B052FC">
        <w:rPr>
          <w:rFonts w:hAnsi="標楷體" w:hint="eastAsia"/>
        </w:rPr>
        <w:t>資料來源：國科會提供。</w:t>
      </w:r>
    </w:p>
    <w:p w:rsidR="00606189" w:rsidRPr="00B052FC" w:rsidRDefault="00606189" w:rsidP="00606189">
      <w:pPr>
        <w:ind w:left="566" w:firstLine="566"/>
        <w:rPr>
          <w:rFonts w:hAnsi="標楷體"/>
        </w:rPr>
      </w:pPr>
      <w:r w:rsidRPr="00B052FC">
        <w:rPr>
          <w:rFonts w:hAnsi="標楷體" w:hint="eastAsia"/>
        </w:rPr>
        <w:t>綜上，</w:t>
      </w:r>
      <w:r w:rsidR="0065048E" w:rsidRPr="00B052FC">
        <w:rPr>
          <w:rFonts w:hAnsi="標楷體" w:hint="eastAsia"/>
        </w:rPr>
        <w:t>111至113年度跨部會署計畫整體預算執行率呈現逐年下降趨勢，預算編列規模與實際緊急需求間存有落差，且部分補助計畫執行率低於90%，最低甚至僅10.01%，允宜檢討備援預算額度之合理性，並強化補助計畫提案審編機制，以提升資源配置精確性及整體運用效益。</w:t>
      </w:r>
    </w:p>
    <w:bookmarkEnd w:id="10"/>
    <w:bookmarkEnd w:id="4"/>
    <w:bookmarkEnd w:id="5"/>
    <w:bookmarkEnd w:id="6"/>
    <w:sectPr w:rsidR="00606189"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BC68A4" w:rsidRPr="00BC68A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8A4"/>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6AC09C7-8FF5-439C-A707-6585BB7B0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32592-EA97-47EB-939A-B17593988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398</Words>
  <Characters>2271</Characters>
  <Application>Microsoft Office Word</Application>
  <DocSecurity>0</DocSecurity>
  <Lines>18</Lines>
  <Paragraphs>5</Paragraphs>
  <ScaleCrop>false</ScaleCrop>
  <Company/>
  <LinksUpToDate>false</LinksUpToDate>
  <CharactersWithSpaces>2664</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