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5C1" w:rsidRPr="00BC734C" w:rsidRDefault="003035C1" w:rsidP="00597925">
      <w:pPr>
        <w:adjustRightInd w:val="0"/>
        <w:ind w:leftChars="0" w:left="0" w:firstLineChars="0" w:firstLine="0"/>
        <w:rPr>
          <w:rFonts w:hAnsi="標楷體"/>
          <w:b/>
          <w:sz w:val="36"/>
        </w:rPr>
      </w:pPr>
      <w:bookmarkStart w:id="0" w:name="_GoBack"/>
      <w:bookmarkEnd w:id="0"/>
      <w:r w:rsidRPr="00BC734C">
        <w:rPr>
          <w:rFonts w:hAnsi="標楷體" w:hint="eastAsia"/>
          <w:b/>
          <w:sz w:val="36"/>
        </w:rPr>
        <w:t>外交部主管113年度單位決算評估報告</w:t>
      </w:r>
    </w:p>
    <w:p w:rsidR="003035C1" w:rsidRPr="00BC734C" w:rsidRDefault="003035C1" w:rsidP="00597925">
      <w:pPr>
        <w:pStyle w:val="14"/>
        <w:ind w:left="567" w:hanging="567"/>
      </w:pPr>
      <w:bookmarkStart w:id="1" w:name="_Toc211864426"/>
      <w:r w:rsidRPr="00BC734C">
        <w:rPr>
          <w:rFonts w:hint="eastAsia"/>
        </w:rPr>
        <w:t>二、</w:t>
      </w:r>
      <w:r w:rsidR="00427C6F" w:rsidRPr="00BC734C">
        <w:rPr>
          <w:rFonts w:hint="eastAsia"/>
        </w:rPr>
        <w:t>近年</w:t>
      </w:r>
      <w:r w:rsidRPr="00BC734C">
        <w:rPr>
          <w:rFonts w:hint="eastAsia"/>
        </w:rPr>
        <w:t>外交部預撥駐外機構經常性經費之賸餘款期後收回情形</w:t>
      </w:r>
      <w:r w:rsidR="00427C6F" w:rsidRPr="00BC734C">
        <w:rPr>
          <w:rFonts w:hint="eastAsia"/>
        </w:rPr>
        <w:t>雖</w:t>
      </w:r>
      <w:r w:rsidRPr="00BC734C">
        <w:rPr>
          <w:rFonts w:hint="eastAsia"/>
        </w:rPr>
        <w:t>略有改善，惟</w:t>
      </w:r>
      <w:r w:rsidR="007B0C23" w:rsidRPr="00BC734C">
        <w:rPr>
          <w:rFonts w:hint="eastAsia"/>
        </w:rPr>
        <w:t>其改善</w:t>
      </w:r>
      <w:r w:rsidRPr="00BC734C">
        <w:rPr>
          <w:rFonts w:hint="eastAsia"/>
        </w:rPr>
        <w:t>欠缺穩定性且</w:t>
      </w:r>
      <w:r w:rsidR="00427C6F" w:rsidRPr="00BC734C">
        <w:rPr>
          <w:rFonts w:hint="eastAsia"/>
        </w:rPr>
        <w:t>回收</w:t>
      </w:r>
      <w:r w:rsidRPr="00BC734C">
        <w:rPr>
          <w:rFonts w:hint="eastAsia"/>
        </w:rPr>
        <w:t>金額</w:t>
      </w:r>
      <w:r w:rsidR="00427C6F" w:rsidRPr="00BC734C">
        <w:rPr>
          <w:rFonts w:hint="eastAsia"/>
        </w:rPr>
        <w:t>仍</w:t>
      </w:r>
      <w:r w:rsidRPr="00BC734C">
        <w:rPr>
          <w:rFonts w:hint="eastAsia"/>
        </w:rPr>
        <w:t>鉅，容待賡續改善</w:t>
      </w:r>
      <w:bookmarkEnd w:id="1"/>
    </w:p>
    <w:p w:rsidR="003035C1" w:rsidRPr="00BC734C" w:rsidRDefault="003035C1" w:rsidP="00597925">
      <w:pPr>
        <w:ind w:left="566" w:firstLine="566"/>
      </w:pPr>
      <w:r w:rsidRPr="00BC734C">
        <w:rPr>
          <w:rFonts w:hint="eastAsia"/>
        </w:rPr>
        <w:t>外交部</w:t>
      </w:r>
      <w:r w:rsidRPr="00BC734C">
        <w:t>11</w:t>
      </w:r>
      <w:r w:rsidRPr="00BC734C">
        <w:rPr>
          <w:rFonts w:hint="eastAsia"/>
        </w:rPr>
        <w:t>3年度「收回以前年度歲出」預算數2億6</w:t>
      </w:r>
      <w:r w:rsidRPr="00BC734C">
        <w:t>,</w:t>
      </w:r>
      <w:r w:rsidRPr="00BC734C">
        <w:rPr>
          <w:rFonts w:hint="eastAsia"/>
        </w:rPr>
        <w:t>620萬元，決算數1億9,485萬4千元，達成率73.2%。經查：</w:t>
      </w:r>
    </w:p>
    <w:p w:rsidR="003035C1" w:rsidRPr="00BC734C" w:rsidRDefault="003035C1" w:rsidP="00597925">
      <w:pPr>
        <w:pStyle w:val="a4"/>
        <w:ind w:left="849" w:hanging="283"/>
        <w:rPr>
          <w:rFonts w:hint="eastAsia"/>
          <w:b/>
          <w:bCs/>
        </w:rPr>
      </w:pPr>
      <w:r w:rsidRPr="00BC734C">
        <w:rPr>
          <w:rFonts w:hint="eastAsia"/>
          <w:b/>
          <w:bCs/>
        </w:rPr>
        <w:t>(一)匯撥駐外機構經常性經費多逾30億元，已制定規定管理</w:t>
      </w:r>
    </w:p>
    <w:p w:rsidR="003035C1" w:rsidRPr="00BC734C" w:rsidRDefault="003035C1" w:rsidP="00597925">
      <w:pPr>
        <w:pStyle w:val="2"/>
        <w:ind w:left="850" w:firstLine="566"/>
      </w:pPr>
      <w:r w:rsidRPr="00BC734C">
        <w:rPr>
          <w:rFonts w:hint="eastAsia"/>
        </w:rPr>
        <w:t>配合外交部駐外機構需要，經費分為經常性及專案，前者為業務運作經費曁該部或各主管機關規定併入指定月份報銷經費，後者為執行特定計畫之專案核撥報銷經費；其中人事費、租金、辦公費、交際費、獎補助費及其他機關駐外機構併報銷之業務費等，屬經常性經費採按月匯撥方式進行，108至113年度間除110年度外均逾30億元(詳表1)，金額龐鉅，容須制度化管理，以期帳務分明有序，</w:t>
      </w:r>
      <w:r w:rsidR="00427C6F" w:rsidRPr="00BC734C">
        <w:rPr>
          <w:rFonts w:hint="eastAsia"/>
        </w:rPr>
        <w:t>該部</w:t>
      </w:r>
      <w:r w:rsidRPr="00BC734C">
        <w:rPr>
          <w:rFonts w:hint="eastAsia"/>
        </w:rPr>
        <w:t>業已制定</w:t>
      </w:r>
      <w:r w:rsidR="00427C6F" w:rsidRPr="00BC734C">
        <w:rPr>
          <w:rFonts w:hint="eastAsia"/>
        </w:rPr>
        <w:t>「</w:t>
      </w:r>
      <w:r w:rsidRPr="00BC734C">
        <w:rPr>
          <w:rFonts w:hint="eastAsia"/>
        </w:rPr>
        <w:t>各機關駐外機構會計作業注意事項</w:t>
      </w:r>
      <w:r w:rsidR="00427C6F" w:rsidRPr="00BC734C">
        <w:rPr>
          <w:rFonts w:hint="eastAsia"/>
        </w:rPr>
        <w:t>」</w:t>
      </w:r>
      <w:r w:rsidRPr="00BC734C">
        <w:rPr>
          <w:rFonts w:hint="eastAsia"/>
        </w:rPr>
        <w:t>供依循。</w:t>
      </w:r>
    </w:p>
    <w:p w:rsidR="003035C1" w:rsidRPr="00BC734C" w:rsidRDefault="003035C1" w:rsidP="00597925">
      <w:pPr>
        <w:pStyle w:val="2"/>
        <w:ind w:left="850" w:firstLine="566"/>
      </w:pPr>
    </w:p>
    <w:p w:rsidR="003035C1" w:rsidRPr="00BC734C" w:rsidRDefault="003035C1" w:rsidP="00597925">
      <w:pPr>
        <w:pStyle w:val="2"/>
        <w:ind w:left="850" w:firstLine="566"/>
      </w:pPr>
    </w:p>
    <w:p w:rsidR="003035C1" w:rsidRPr="00BC734C" w:rsidRDefault="003035C1" w:rsidP="00597925">
      <w:pPr>
        <w:pStyle w:val="2"/>
        <w:ind w:left="850" w:firstLine="566"/>
        <w:rPr>
          <w:rFonts w:hint="eastAsia"/>
        </w:rPr>
      </w:pPr>
    </w:p>
    <w:p w:rsidR="003035C1" w:rsidRPr="00BC734C" w:rsidRDefault="003035C1" w:rsidP="00597925">
      <w:pPr>
        <w:pStyle w:val="ad"/>
        <w:ind w:left="644" w:hangingChars="227" w:hanging="644"/>
        <w:rPr>
          <w:snapToGrid/>
          <w:spacing w:val="-5"/>
          <w:kern w:val="0"/>
          <w:sz w:val="18"/>
          <w:szCs w:val="20"/>
        </w:rPr>
      </w:pPr>
      <w:r w:rsidRPr="00BC734C">
        <w:rPr>
          <w:rFonts w:hint="eastAsia"/>
          <w:b/>
          <w:bCs/>
          <w:snapToGrid/>
          <w:lang w:eastAsia="zh-HK"/>
        </w:rPr>
        <w:t>表</w:t>
      </w:r>
      <w:r w:rsidRPr="00BC734C">
        <w:rPr>
          <w:rFonts w:hint="eastAsia"/>
          <w:b/>
          <w:bCs/>
          <w:snapToGrid/>
        </w:rPr>
        <w:t>1</w:t>
      </w:r>
      <w:r w:rsidRPr="00BC734C">
        <w:rPr>
          <w:b/>
          <w:bCs/>
          <w:snapToGrid/>
        </w:rPr>
        <w:t xml:space="preserve"> 108</w:t>
      </w:r>
      <w:r w:rsidRPr="00BC734C">
        <w:rPr>
          <w:rFonts w:hint="eastAsia"/>
          <w:b/>
          <w:bCs/>
          <w:snapToGrid/>
        </w:rPr>
        <w:t>至1</w:t>
      </w:r>
      <w:r w:rsidRPr="00BC734C">
        <w:rPr>
          <w:b/>
          <w:bCs/>
          <w:snapToGrid/>
        </w:rPr>
        <w:t>1</w:t>
      </w:r>
      <w:r w:rsidRPr="00BC734C">
        <w:rPr>
          <w:rFonts w:hint="eastAsia"/>
          <w:b/>
          <w:bCs/>
          <w:snapToGrid/>
        </w:rPr>
        <w:t>3</w:t>
      </w:r>
      <w:r w:rsidRPr="00BC734C">
        <w:rPr>
          <w:b/>
          <w:bCs/>
          <w:snapToGrid/>
        </w:rPr>
        <w:t>年度</w:t>
      </w:r>
      <w:r w:rsidRPr="00BC734C">
        <w:rPr>
          <w:rFonts w:hint="eastAsia"/>
          <w:b/>
          <w:bCs/>
          <w:snapToGrid/>
        </w:rPr>
        <w:t>外交部匯撥駐外機構經常性經費及賸餘款期後收回情形對照表</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rFonts w:hint="eastAsia"/>
          <w:snapToGrid/>
          <w:sz w:val="24"/>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80"/>
        <w:gridCol w:w="3444"/>
        <w:gridCol w:w="2976"/>
      </w:tblGrid>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rPr>
                <w:b/>
                <w:bCs/>
              </w:rPr>
            </w:pPr>
            <w:r w:rsidRPr="00BC734C">
              <w:rPr>
                <w:rFonts w:hint="eastAsia"/>
                <w:b/>
                <w:bCs/>
              </w:rPr>
              <w:t>年度</w:t>
            </w:r>
          </w:p>
        </w:tc>
        <w:tc>
          <w:tcPr>
            <w:tcW w:w="3444" w:type="dxa"/>
            <w:shd w:val="clear" w:color="auto" w:fill="auto"/>
            <w:vAlign w:val="center"/>
            <w:hideMark/>
          </w:tcPr>
          <w:p w:rsidR="003035C1" w:rsidRPr="00BC734C" w:rsidRDefault="003035C1" w:rsidP="00597925">
            <w:pPr>
              <w:pStyle w:val="142"/>
              <w:jc w:val="center"/>
              <w:rPr>
                <w:b/>
                <w:bCs/>
              </w:rPr>
            </w:pPr>
            <w:r w:rsidRPr="00BC734C">
              <w:rPr>
                <w:rFonts w:hint="eastAsia"/>
                <w:b/>
                <w:bCs/>
              </w:rPr>
              <w:t>年度匯撥駐外館處經常性經費</w:t>
            </w:r>
          </w:p>
        </w:tc>
        <w:tc>
          <w:tcPr>
            <w:tcW w:w="2976" w:type="dxa"/>
            <w:shd w:val="clear" w:color="auto" w:fill="auto"/>
            <w:vAlign w:val="center"/>
            <w:hideMark/>
          </w:tcPr>
          <w:p w:rsidR="003035C1" w:rsidRPr="00BC734C" w:rsidRDefault="003035C1" w:rsidP="00597925">
            <w:pPr>
              <w:pStyle w:val="142"/>
              <w:jc w:val="center"/>
              <w:rPr>
                <w:rFonts w:hint="eastAsia"/>
                <w:b/>
                <w:bCs/>
              </w:rPr>
            </w:pPr>
            <w:r w:rsidRPr="00BC734C">
              <w:rPr>
                <w:rFonts w:hint="eastAsia"/>
                <w:b/>
                <w:bCs/>
              </w:rPr>
              <w:t>當年度收回以前年度歲出</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108</w:t>
            </w:r>
          </w:p>
        </w:tc>
        <w:tc>
          <w:tcPr>
            <w:tcW w:w="3444" w:type="dxa"/>
            <w:shd w:val="clear" w:color="auto" w:fill="auto"/>
            <w:noWrap/>
            <w:vAlign w:val="center"/>
            <w:hideMark/>
          </w:tcPr>
          <w:p w:rsidR="003035C1" w:rsidRPr="00BC734C" w:rsidRDefault="003035C1" w:rsidP="00597925">
            <w:pPr>
              <w:pStyle w:val="142"/>
              <w:jc w:val="right"/>
            </w:pPr>
            <w:r w:rsidRPr="00BC734C">
              <w:t>3,246,683</w:t>
            </w:r>
          </w:p>
        </w:tc>
        <w:tc>
          <w:tcPr>
            <w:tcW w:w="2976" w:type="dxa"/>
            <w:shd w:val="clear" w:color="auto" w:fill="auto"/>
            <w:noWrap/>
            <w:vAlign w:val="center"/>
            <w:hideMark/>
          </w:tcPr>
          <w:p w:rsidR="003035C1" w:rsidRPr="00BC734C" w:rsidRDefault="003035C1" w:rsidP="00597925">
            <w:pPr>
              <w:pStyle w:val="142"/>
              <w:jc w:val="right"/>
            </w:pPr>
            <w:r w:rsidRPr="00BC734C">
              <w:t>100,777</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109</w:t>
            </w:r>
          </w:p>
        </w:tc>
        <w:tc>
          <w:tcPr>
            <w:tcW w:w="3444" w:type="dxa"/>
            <w:shd w:val="clear" w:color="auto" w:fill="auto"/>
            <w:noWrap/>
            <w:vAlign w:val="center"/>
            <w:hideMark/>
          </w:tcPr>
          <w:p w:rsidR="003035C1" w:rsidRPr="00BC734C" w:rsidRDefault="003035C1" w:rsidP="00597925">
            <w:pPr>
              <w:pStyle w:val="142"/>
              <w:jc w:val="right"/>
            </w:pPr>
            <w:r w:rsidRPr="00BC734C">
              <w:t>3,107,163</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85,762</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110</w:t>
            </w:r>
          </w:p>
        </w:tc>
        <w:tc>
          <w:tcPr>
            <w:tcW w:w="3444" w:type="dxa"/>
            <w:shd w:val="clear" w:color="auto" w:fill="auto"/>
            <w:noWrap/>
            <w:vAlign w:val="center"/>
            <w:hideMark/>
          </w:tcPr>
          <w:p w:rsidR="003035C1" w:rsidRPr="00BC734C" w:rsidRDefault="003035C1" w:rsidP="00597925">
            <w:pPr>
              <w:pStyle w:val="142"/>
              <w:jc w:val="right"/>
              <w:rPr>
                <w:b/>
                <w:bCs/>
              </w:rPr>
            </w:pPr>
            <w:r w:rsidRPr="00BC734C">
              <w:rPr>
                <w:b/>
                <w:bCs/>
              </w:rPr>
              <w:t>2,973,916</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180,052</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111</w:t>
            </w:r>
          </w:p>
        </w:tc>
        <w:tc>
          <w:tcPr>
            <w:tcW w:w="3444" w:type="dxa"/>
            <w:shd w:val="clear" w:color="auto" w:fill="auto"/>
            <w:noWrap/>
            <w:vAlign w:val="center"/>
            <w:hideMark/>
          </w:tcPr>
          <w:p w:rsidR="003035C1" w:rsidRPr="00BC734C" w:rsidRDefault="003035C1" w:rsidP="00597925">
            <w:pPr>
              <w:pStyle w:val="142"/>
              <w:jc w:val="right"/>
            </w:pPr>
            <w:r w:rsidRPr="00BC734C">
              <w:t>3,133,659</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139,288</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112</w:t>
            </w:r>
          </w:p>
        </w:tc>
        <w:tc>
          <w:tcPr>
            <w:tcW w:w="3444" w:type="dxa"/>
            <w:shd w:val="clear" w:color="auto" w:fill="auto"/>
            <w:noWrap/>
            <w:vAlign w:val="center"/>
            <w:hideMark/>
          </w:tcPr>
          <w:p w:rsidR="003035C1" w:rsidRPr="00BC734C" w:rsidRDefault="003035C1" w:rsidP="00597925">
            <w:pPr>
              <w:pStyle w:val="142"/>
              <w:jc w:val="right"/>
            </w:pPr>
            <w:r w:rsidRPr="00BC734C">
              <w:t>3,222,704</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146,370</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113</w:t>
            </w:r>
          </w:p>
        </w:tc>
        <w:tc>
          <w:tcPr>
            <w:tcW w:w="3444" w:type="dxa"/>
            <w:shd w:val="clear" w:color="auto" w:fill="auto"/>
            <w:noWrap/>
            <w:vAlign w:val="center"/>
            <w:hideMark/>
          </w:tcPr>
          <w:p w:rsidR="003035C1" w:rsidRPr="00BC734C" w:rsidRDefault="003035C1" w:rsidP="00597925">
            <w:pPr>
              <w:pStyle w:val="142"/>
              <w:jc w:val="right"/>
            </w:pPr>
            <w:r w:rsidRPr="00BC734C">
              <w:t>3,425,947</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111,289</w:t>
            </w:r>
          </w:p>
        </w:tc>
      </w:tr>
    </w:tbl>
    <w:p w:rsidR="003035C1" w:rsidRPr="00BC734C" w:rsidRDefault="003035C1" w:rsidP="00597925">
      <w:pPr>
        <w:pStyle w:val="142"/>
      </w:pPr>
      <w:r w:rsidRPr="00BC734C">
        <w:t>說</w:t>
      </w:r>
      <w:r w:rsidRPr="00BC734C">
        <w:rPr>
          <w:rFonts w:hint="eastAsia"/>
        </w:rPr>
        <w:t xml:space="preserve"> </w:t>
      </w:r>
      <w:r w:rsidRPr="00BC734C">
        <w:t xml:space="preserve">   明</w:t>
      </w:r>
      <w:r w:rsidRPr="00BC734C">
        <w:rPr>
          <w:rFonts w:hint="eastAsia"/>
        </w:rPr>
        <w:t>：含駐外單位基本行政工作維持之人員及業務運作經費。</w:t>
      </w:r>
    </w:p>
    <w:p w:rsidR="003035C1" w:rsidRPr="00BC734C" w:rsidRDefault="003035C1" w:rsidP="00597925">
      <w:pPr>
        <w:pStyle w:val="142"/>
      </w:pPr>
      <w:r w:rsidRPr="00BC734C">
        <w:rPr>
          <w:rFonts w:hint="eastAsia"/>
        </w:rPr>
        <w:t>資料來源：外交部。</w:t>
      </w:r>
    </w:p>
    <w:p w:rsidR="003035C1" w:rsidRPr="00BC734C" w:rsidRDefault="003035C1" w:rsidP="00597925">
      <w:pPr>
        <w:pStyle w:val="a4"/>
        <w:ind w:left="849" w:hanging="283"/>
        <w:rPr>
          <w:b/>
        </w:rPr>
      </w:pPr>
      <w:r w:rsidRPr="00BC734C">
        <w:rPr>
          <w:rFonts w:hint="eastAsia"/>
          <w:b/>
        </w:rPr>
        <w:t>(二)匯撥款項期後收回情形略為改善，卻欠缺穩定性且金額尚鉅，仍有待加強處</w:t>
      </w:r>
    </w:p>
    <w:p w:rsidR="003035C1" w:rsidRPr="00BC734C" w:rsidRDefault="003035C1" w:rsidP="00597925">
      <w:pPr>
        <w:pStyle w:val="2"/>
        <w:ind w:left="850" w:firstLine="566"/>
      </w:pPr>
      <w:r w:rsidRPr="00BC734C">
        <w:rPr>
          <w:rFonts w:hint="eastAsia"/>
        </w:rPr>
        <w:lastRenderedPageBreak/>
        <w:t>依</w:t>
      </w:r>
      <w:r w:rsidR="00620D37" w:rsidRPr="00BC734C">
        <w:rPr>
          <w:rFonts w:hint="eastAsia"/>
        </w:rPr>
        <w:t>「</w:t>
      </w:r>
      <w:r w:rsidRPr="00BC734C">
        <w:rPr>
          <w:rFonts w:hint="eastAsia"/>
        </w:rPr>
        <w:t>各機關駐外機構會計作業注意事項</w:t>
      </w:r>
      <w:r w:rsidR="00620D37" w:rsidRPr="00BC734C">
        <w:rPr>
          <w:rFonts w:hint="eastAsia"/>
        </w:rPr>
        <w:t>」</w:t>
      </w:r>
      <w:r w:rsidRPr="00BC734C">
        <w:rPr>
          <w:rFonts w:hint="eastAsia"/>
        </w:rPr>
        <w:t>第9</w:t>
      </w:r>
      <w:r w:rsidR="00A823D3" w:rsidRPr="00BC734C">
        <w:rPr>
          <w:rFonts w:hint="eastAsia"/>
        </w:rPr>
        <w:t>項</w:t>
      </w:r>
      <w:r w:rsidRPr="00BC734C">
        <w:rPr>
          <w:rFonts w:hint="eastAsia"/>
        </w:rPr>
        <w:t>規定經常性經費結報時限略以，經常性經費應於次月2</w:t>
      </w:r>
      <w:r w:rsidRPr="00BC734C">
        <w:t>0</w:t>
      </w:r>
      <w:r w:rsidRPr="00BC734C">
        <w:rPr>
          <w:rFonts w:hint="eastAsia"/>
        </w:rPr>
        <w:t>日前結報，每年1</w:t>
      </w:r>
      <w:r w:rsidRPr="00BC734C">
        <w:t>2</w:t>
      </w:r>
      <w:r w:rsidRPr="00BC734C">
        <w:rPr>
          <w:rFonts w:hint="eastAsia"/>
        </w:rPr>
        <w:t>月份經常性經費得展延至次年3月2</w:t>
      </w:r>
      <w:r w:rsidRPr="00BC734C">
        <w:t>0</w:t>
      </w:r>
      <w:r w:rsidRPr="00BC734C">
        <w:rPr>
          <w:rFonts w:hint="eastAsia"/>
        </w:rPr>
        <w:t>日前結報，原則應於次年6月2</w:t>
      </w:r>
      <w:r w:rsidRPr="00BC734C">
        <w:t>0</w:t>
      </w:r>
      <w:r w:rsidRPr="00BC734C">
        <w:rPr>
          <w:rFonts w:hint="eastAsia"/>
        </w:rPr>
        <w:t>日前完成當年度駐外機構經費之核結及賸餘經費繳庫，至次年1月份經常性經費亦得順延至3月20日前結報。揆諸108至113年度駐外機構經常性經費賸餘款之期後收回情形(詳表1)，除109年度外，均逾億元，最高</w:t>
      </w:r>
      <w:r w:rsidR="007B0C23" w:rsidRPr="00BC734C">
        <w:rPr>
          <w:rFonts w:hint="eastAsia"/>
        </w:rPr>
        <w:t>曾</w:t>
      </w:r>
      <w:r w:rsidRPr="00BC734C">
        <w:rPr>
          <w:rFonts w:hint="eastAsia"/>
        </w:rPr>
        <w:t>於110年度達1億8</w:t>
      </w:r>
      <w:r w:rsidRPr="00BC734C">
        <w:t>,</w:t>
      </w:r>
      <w:r w:rsidRPr="00BC734C">
        <w:rPr>
          <w:rFonts w:hint="eastAsia"/>
        </w:rPr>
        <w:t>005萬2千元，111年度下降</w:t>
      </w:r>
      <w:r w:rsidR="007B0C23" w:rsidRPr="00BC734C">
        <w:rPr>
          <w:rFonts w:hint="eastAsia"/>
        </w:rPr>
        <w:t>後</w:t>
      </w:r>
      <w:r w:rsidRPr="00BC734C">
        <w:rPr>
          <w:rFonts w:hint="eastAsia"/>
        </w:rPr>
        <w:t>卻復於112年度增加，</w:t>
      </w:r>
      <w:r w:rsidR="007B0C23" w:rsidRPr="00BC734C">
        <w:rPr>
          <w:rFonts w:hint="eastAsia"/>
        </w:rPr>
        <w:t>其後雖於</w:t>
      </w:r>
      <w:r w:rsidRPr="00BC734C">
        <w:rPr>
          <w:rFonts w:hint="eastAsia"/>
        </w:rPr>
        <w:t>113年度改善為1億1,128萬9千元，金額尚鉅，仍待加強估列及審核過程，避免款項集中於12月撥付，以</w:t>
      </w:r>
      <w:r w:rsidR="001F4024" w:rsidRPr="00BC734C">
        <w:rPr>
          <w:rFonts w:hint="eastAsia"/>
        </w:rPr>
        <w:t>穩定</w:t>
      </w:r>
      <w:r w:rsidRPr="00BC734C">
        <w:rPr>
          <w:rFonts w:hint="eastAsia"/>
        </w:rPr>
        <w:t>降低期後收回金額。</w:t>
      </w:r>
    </w:p>
    <w:p w:rsidR="003035C1" w:rsidRPr="00BC734C" w:rsidRDefault="003035C1" w:rsidP="00733CE4">
      <w:pPr>
        <w:ind w:left="566" w:firstLine="566"/>
        <w:rPr>
          <w:snapToGrid/>
        </w:rPr>
      </w:pPr>
      <w:r w:rsidRPr="00BC734C">
        <w:rPr>
          <w:rFonts w:hint="eastAsia"/>
          <w:snapToGrid/>
        </w:rPr>
        <w:t>綜上，為因應駐外機構經費需求，外交部按月匯撥經常性經費，近年度駐外機構經常性經費賸餘數期後收回情形</w:t>
      </w:r>
      <w:r w:rsidR="00620D37" w:rsidRPr="00BC734C">
        <w:rPr>
          <w:rFonts w:hint="eastAsia"/>
          <w:snapToGrid/>
        </w:rPr>
        <w:t>雖</w:t>
      </w:r>
      <w:r w:rsidRPr="00BC734C">
        <w:rPr>
          <w:rFonts w:hint="eastAsia"/>
          <w:snapToGrid/>
        </w:rPr>
        <w:t>略有改善，惟</w:t>
      </w:r>
      <w:r w:rsidR="00C05F40" w:rsidRPr="00BC734C">
        <w:rPr>
          <w:rFonts w:hint="eastAsia"/>
          <w:snapToGrid/>
        </w:rPr>
        <w:t>其改善</w:t>
      </w:r>
      <w:r w:rsidRPr="00BC734C">
        <w:rPr>
          <w:rFonts w:hint="eastAsia"/>
          <w:snapToGrid/>
        </w:rPr>
        <w:t>欠缺穩定性且金額尚鉅，</w:t>
      </w:r>
      <w:r w:rsidRPr="00BC734C">
        <w:rPr>
          <w:rFonts w:hint="eastAsia"/>
        </w:rPr>
        <w:t>為利年度終了時確實結清當年度款項，以提高經費使用效率，允宜賡續加強估列精準性及結報程序</w:t>
      </w:r>
      <w:r w:rsidRPr="00BC734C">
        <w:rPr>
          <w:rFonts w:hint="eastAsia"/>
          <w:snapToGrid/>
        </w:rPr>
        <w:t>。</w:t>
      </w:r>
      <w:bookmarkStart w:id="2" w:name="_Toc229476289"/>
      <w:bookmarkStart w:id="3" w:name="_Toc276390718"/>
      <w:bookmarkStart w:id="4" w:name="_Toc303763647"/>
      <w:bookmarkStart w:id="5" w:name="_Toc110596349"/>
      <w:bookmarkStart w:id="6" w:name="_Toc110596348"/>
    </w:p>
    <w:bookmarkEnd w:id="2"/>
    <w:bookmarkEnd w:id="3"/>
    <w:bookmarkEnd w:id="4"/>
    <w:bookmarkEnd w:id="5"/>
    <w:bookmarkEnd w:id="6"/>
    <w:sectPr w:rsidR="003035C1" w:rsidRPr="00BC734C" w:rsidSect="00B06870">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FE0" w:rsidRDefault="00BC0FE0" w:rsidP="009325EC">
      <w:pPr>
        <w:spacing w:line="240" w:lineRule="auto"/>
        <w:ind w:left="560" w:firstLine="560"/>
      </w:pPr>
      <w:r>
        <w:separator/>
      </w:r>
    </w:p>
  </w:endnote>
  <w:endnote w:type="continuationSeparator" w:id="0">
    <w:p w:rsidR="00BC0FE0" w:rsidRDefault="00BC0FE0" w:rsidP="009325E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B06870" w:rsidP="00B06870">
    <w:pPr>
      <w:pStyle w:val="af0"/>
      <w:ind w:leftChars="0" w:left="0" w:firstLineChars="0" w:firstLine="0"/>
      <w:jc w:val="center"/>
    </w:pPr>
    <w:r>
      <w:fldChar w:fldCharType="begin"/>
    </w:r>
    <w:r>
      <w:instrText>PAGE   \* MERGEFORMAT</w:instrText>
    </w:r>
    <w:r>
      <w:fldChar w:fldCharType="separate"/>
    </w:r>
    <w:r w:rsidR="00014D99" w:rsidRPr="00014D9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FE0" w:rsidRDefault="00BC0FE0" w:rsidP="009325EC">
      <w:pPr>
        <w:spacing w:line="240" w:lineRule="auto"/>
        <w:ind w:left="560" w:firstLine="560"/>
      </w:pPr>
      <w:r>
        <w:separator/>
      </w:r>
    </w:p>
  </w:footnote>
  <w:footnote w:type="continuationSeparator" w:id="0">
    <w:p w:rsidR="00BC0FE0" w:rsidRDefault="00BC0FE0" w:rsidP="009325E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035C1"/>
    <w:rsid w:val="000061F4"/>
    <w:rsid w:val="00014D99"/>
    <w:rsid w:val="00026367"/>
    <w:rsid w:val="00035604"/>
    <w:rsid w:val="000972FA"/>
    <w:rsid w:val="00097EA7"/>
    <w:rsid w:val="000C1541"/>
    <w:rsid w:val="00135D37"/>
    <w:rsid w:val="001563DD"/>
    <w:rsid w:val="00176F8E"/>
    <w:rsid w:val="001A32BE"/>
    <w:rsid w:val="001B73B4"/>
    <w:rsid w:val="001B7F73"/>
    <w:rsid w:val="001F4024"/>
    <w:rsid w:val="00222CF2"/>
    <w:rsid w:val="0023357C"/>
    <w:rsid w:val="00255586"/>
    <w:rsid w:val="002602E5"/>
    <w:rsid w:val="003035C1"/>
    <w:rsid w:val="00392D95"/>
    <w:rsid w:val="003A2EC2"/>
    <w:rsid w:val="003D54AD"/>
    <w:rsid w:val="003F0152"/>
    <w:rsid w:val="00427C6F"/>
    <w:rsid w:val="00460291"/>
    <w:rsid w:val="00466E98"/>
    <w:rsid w:val="00496F3A"/>
    <w:rsid w:val="004A2B74"/>
    <w:rsid w:val="004C4549"/>
    <w:rsid w:val="00530139"/>
    <w:rsid w:val="0056759E"/>
    <w:rsid w:val="00581788"/>
    <w:rsid w:val="00597925"/>
    <w:rsid w:val="00606953"/>
    <w:rsid w:val="00620D37"/>
    <w:rsid w:val="0062688D"/>
    <w:rsid w:val="00687A3B"/>
    <w:rsid w:val="006D6B0F"/>
    <w:rsid w:val="006F25CB"/>
    <w:rsid w:val="0070004E"/>
    <w:rsid w:val="007015A1"/>
    <w:rsid w:val="00733CE4"/>
    <w:rsid w:val="00744408"/>
    <w:rsid w:val="007B0C23"/>
    <w:rsid w:val="00817206"/>
    <w:rsid w:val="008814C5"/>
    <w:rsid w:val="00890825"/>
    <w:rsid w:val="009325EC"/>
    <w:rsid w:val="009863C8"/>
    <w:rsid w:val="00993610"/>
    <w:rsid w:val="009E2FF2"/>
    <w:rsid w:val="00A06267"/>
    <w:rsid w:val="00A762D9"/>
    <w:rsid w:val="00A823D3"/>
    <w:rsid w:val="00AC5DE8"/>
    <w:rsid w:val="00AE0BBA"/>
    <w:rsid w:val="00AE4727"/>
    <w:rsid w:val="00B06870"/>
    <w:rsid w:val="00B7050F"/>
    <w:rsid w:val="00B96AD9"/>
    <w:rsid w:val="00BC0FE0"/>
    <w:rsid w:val="00BC734C"/>
    <w:rsid w:val="00BE006F"/>
    <w:rsid w:val="00BE4205"/>
    <w:rsid w:val="00C05F40"/>
    <w:rsid w:val="00C41B78"/>
    <w:rsid w:val="00C50614"/>
    <w:rsid w:val="00C61A98"/>
    <w:rsid w:val="00CB2DD2"/>
    <w:rsid w:val="00CD16EA"/>
    <w:rsid w:val="00CF4C2F"/>
    <w:rsid w:val="00D04D43"/>
    <w:rsid w:val="00D2560E"/>
    <w:rsid w:val="00DF4329"/>
    <w:rsid w:val="00E2760B"/>
    <w:rsid w:val="00E349A1"/>
    <w:rsid w:val="00E544C1"/>
    <w:rsid w:val="00EC0CE1"/>
    <w:rsid w:val="00ED2204"/>
    <w:rsid w:val="00EE14D4"/>
    <w:rsid w:val="00F36F12"/>
    <w:rsid w:val="00F446FC"/>
    <w:rsid w:val="00F603BF"/>
    <w:rsid w:val="00F608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AAE982AE-4EBA-42C9-A432-1206B791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035C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e">
    <w:name w:val="header"/>
    <w:basedOn w:val="a"/>
    <w:link w:val="af"/>
    <w:uiPriority w:val="99"/>
    <w:unhideWhenUsed/>
    <w:rsid w:val="00687A3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hangingChars="200" w:hanging="200"/>
    </w:pPr>
  </w:style>
  <w:style w:type="paragraph" w:styleId="22">
    <w:name w:val="toc 2"/>
    <w:basedOn w:val="a"/>
    <w:next w:val="a"/>
    <w:autoRedefine/>
    <w:uiPriority w:val="39"/>
    <w:qFormat/>
    <w:rsid w:val="003035C1"/>
    <w:pPr>
      <w:tabs>
        <w:tab w:val="right" w:leader="hyphen" w:pos="8490"/>
      </w:tabs>
      <w:ind w:leftChars="0" w:rightChars="100" w:right="100" w:hangingChars="200" w:hanging="200"/>
    </w:pPr>
    <w:rPr>
      <w:sz w:val="24"/>
    </w:rPr>
  </w:style>
  <w:style w:type="character" w:customStyle="1" w:styleId="af">
    <w:name w:val="頁首 字元"/>
    <w:link w:val="ae"/>
    <w:uiPriority w:val="99"/>
    <w:rsid w:val="00687A3B"/>
    <w:rPr>
      <w:rFonts w:ascii="標楷體" w:eastAsia="標楷體"/>
      <w:snapToGrid w:val="0"/>
      <w:kern w:val="2"/>
    </w:rPr>
  </w:style>
  <w:style w:type="paragraph" w:styleId="af0">
    <w:name w:val="footer"/>
    <w:basedOn w:val="a"/>
    <w:link w:val="af1"/>
    <w:uiPriority w:val="99"/>
    <w:unhideWhenUsed/>
    <w:rsid w:val="00687A3B"/>
    <w:pPr>
      <w:tabs>
        <w:tab w:val="center" w:pos="4153"/>
        <w:tab w:val="right" w:pos="8306"/>
      </w:tabs>
      <w:snapToGrid w:val="0"/>
    </w:pPr>
    <w:rPr>
      <w:sz w:val="20"/>
      <w:szCs w:val="20"/>
    </w:rPr>
  </w:style>
  <w:style w:type="character" w:customStyle="1" w:styleId="af1">
    <w:name w:val="頁尾 字元"/>
    <w:link w:val="af0"/>
    <w:uiPriority w:val="99"/>
    <w:rsid w:val="00687A3B"/>
    <w:rPr>
      <w:rFonts w:ascii="標楷體" w:eastAsia="標楷體"/>
      <w:snapToGrid w:val="0"/>
      <w:kern w:val="2"/>
    </w:rPr>
  </w:style>
  <w:style w:type="character" w:styleId="af2">
    <w:name w:val="Hyperlink"/>
    <w:uiPriority w:val="99"/>
    <w:qFormat/>
    <w:rsid w:val="003035C1"/>
    <w:rPr>
      <w:b/>
      <w:color w:val="0000FF"/>
      <w:u w:val="single"/>
    </w:rPr>
  </w:style>
  <w:style w:type="character" w:customStyle="1" w:styleId="a5">
    <w:name w:val="(一)(二)(三) 字元"/>
    <w:link w:val="a4"/>
    <w:rsid w:val="003035C1"/>
    <w:rPr>
      <w:rFonts w:ascii="標楷體" w:eastAsia="標楷體"/>
      <w:snapToGrid w:val="0"/>
      <w:kern w:val="2"/>
      <w:sz w:val="28"/>
      <w:szCs w:val="28"/>
    </w:rPr>
  </w:style>
  <w:style w:type="character" w:customStyle="1" w:styleId="143">
    <w:name w:val="表格內文(14行高) 字元"/>
    <w:link w:val="142"/>
    <w:qFormat/>
    <w:rsid w:val="003035C1"/>
    <w:rPr>
      <w:rFonts w:ascii="標楷體" w:eastAsia="標楷體"/>
      <w:snapToGrid w:val="0"/>
      <w:kern w:val="2"/>
      <w:sz w:val="24"/>
      <w:szCs w:val="28"/>
    </w:rPr>
  </w:style>
  <w:style w:type="character" w:customStyle="1" w:styleId="140">
    <w:name w:val="第二層(14號字) 字元"/>
    <w:link w:val="14"/>
    <w:rsid w:val="003035C1"/>
    <w:rPr>
      <w:rFonts w:ascii="標楷體" w:eastAsia="標楷體"/>
      <w:b/>
      <w:snapToGrid w:val="0"/>
      <w:kern w:val="2"/>
      <w:sz w:val="28"/>
    </w:rPr>
  </w:style>
  <w:style w:type="character" w:customStyle="1" w:styleId="21">
    <w:name w:val="(一)下內文縮2 字元"/>
    <w:link w:val="2"/>
    <w:rsid w:val="003035C1"/>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Error-Fusnotßnotenzeichen5,Error-Fußnotenzeic"/>
    <w:uiPriority w:val="99"/>
    <w:unhideWhenUsed/>
    <w:rsid w:val="003035C1"/>
    <w:rPr>
      <w:vertAlign w:val="superscript"/>
    </w:rPr>
  </w:style>
  <w:style w:type="character" w:customStyle="1" w:styleId="ac">
    <w:name w:val="姓名及分機 字元"/>
    <w:link w:val="ab"/>
    <w:rsid w:val="003035C1"/>
    <w:rPr>
      <w:rFonts w:ascii="標楷體" w:eastAsia="標楷體"/>
      <w:snapToGrid w:val="0"/>
      <w:kern w:val="2"/>
      <w:sz w:val="24"/>
      <w:szCs w:val="28"/>
    </w:rPr>
  </w:style>
  <w:style w:type="paragraph" w:styleId="af4">
    <w:name w:val="footnote text"/>
    <w:basedOn w:val="a"/>
    <w:link w:val="af5"/>
    <w:uiPriority w:val="99"/>
    <w:semiHidden/>
    <w:unhideWhenUsed/>
    <w:rsid w:val="0062688D"/>
    <w:pPr>
      <w:snapToGrid w:val="0"/>
      <w:jc w:val="left"/>
    </w:pPr>
    <w:rPr>
      <w:sz w:val="20"/>
      <w:szCs w:val="20"/>
    </w:rPr>
  </w:style>
  <w:style w:type="character" w:customStyle="1" w:styleId="af5">
    <w:name w:val="註腳文字 字元"/>
    <w:link w:val="af4"/>
    <w:uiPriority w:val="99"/>
    <w:semiHidden/>
    <w:rsid w:val="0062688D"/>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test.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ABC18-39C9-4DC7-BD5A-11C4F2653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test.dot</Template>
  <TotalTime>0</TotalTime>
  <Pages>2</Pages>
  <Words>165</Words>
  <Characters>942</Characters>
  <Application>Microsoft Office Word</Application>
  <DocSecurity>0</DocSecurity>
  <Lines>7</Lines>
  <Paragraphs>2</Paragraphs>
  <ScaleCrop>false</ScaleCrop>
  <Company>HOME</Company>
  <LinksUpToDate>false</LinksUpToDate>
  <CharactersWithSpaces>1105</CharactersWithSpaces>
  <SharedDoc>false</SharedDoc>
  <HLinks>
    <vt:vector size="18" baseType="variant">
      <vt:variant>
        <vt:i4>1572913</vt:i4>
      </vt:variant>
      <vt:variant>
        <vt:i4>14</vt:i4>
      </vt:variant>
      <vt:variant>
        <vt:i4>0</vt:i4>
      </vt:variant>
      <vt:variant>
        <vt:i4>5</vt:i4>
      </vt:variant>
      <vt:variant>
        <vt:lpwstr/>
      </vt:variant>
      <vt:variant>
        <vt:lpwstr>_Toc211864427</vt:lpwstr>
      </vt:variant>
      <vt:variant>
        <vt:i4>1572913</vt:i4>
      </vt:variant>
      <vt:variant>
        <vt:i4>8</vt:i4>
      </vt:variant>
      <vt:variant>
        <vt:i4>0</vt:i4>
      </vt:variant>
      <vt:variant>
        <vt:i4>5</vt:i4>
      </vt:variant>
      <vt:variant>
        <vt:lpwstr/>
      </vt:variant>
      <vt:variant>
        <vt:lpwstr>_Toc211864426</vt:lpwstr>
      </vt:variant>
      <vt:variant>
        <vt:i4>1572913</vt:i4>
      </vt:variant>
      <vt:variant>
        <vt:i4>2</vt:i4>
      </vt:variant>
      <vt:variant>
        <vt:i4>0</vt:i4>
      </vt:variant>
      <vt:variant>
        <vt:i4>5</vt:i4>
      </vt:variant>
      <vt:variant>
        <vt:lpwstr/>
      </vt:variant>
      <vt:variant>
        <vt:lpwstr>_Toc211864425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1601-01-01T00:00:00Z</cp:lastPrinted>
  <dcterms:created xsi:type="dcterms:W3CDTF">2025-12-22T06:54:00Z</dcterms:created>
  <dcterms:modified xsi:type="dcterms:W3CDTF">2025-12-22T06:54:00Z</dcterms:modified>
</cp:coreProperties>
</file>