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9646EF" w:rsidP="00331446">
      <w:pPr>
        <w:pStyle w:val="a9"/>
      </w:pPr>
      <w:bookmarkStart w:id="0" w:name="_GoBack"/>
      <w:bookmarkEnd w:id="0"/>
      <w:r w:rsidRPr="009646EF">
        <w:rPr>
          <w:rFonts w:hint="eastAsia"/>
        </w:rPr>
        <w:t>國家通訊傳播委員會主管11</w:t>
      </w:r>
      <w:r>
        <w:t>3</w:t>
      </w:r>
      <w:r w:rsidRPr="009646EF">
        <w:rPr>
          <w:rFonts w:hint="eastAsia"/>
        </w:rPr>
        <w:t>年度決算評估報告</w:t>
      </w:r>
    </w:p>
    <w:p w:rsidR="00E65058" w:rsidRDefault="007C76C5" w:rsidP="009646EF">
      <w:pPr>
        <w:pStyle w:val="14"/>
        <w:ind w:left="567" w:hanging="567"/>
      </w:pPr>
      <w:bookmarkStart w:id="1" w:name="_Toc216684105"/>
      <w:r>
        <w:rPr>
          <w:rFonts w:hint="eastAsia"/>
        </w:rPr>
        <w:t>一</w:t>
      </w:r>
      <w:r w:rsidR="006A21B8">
        <w:rPr>
          <w:rFonts w:hint="eastAsia"/>
        </w:rPr>
        <w:t>、</w:t>
      </w:r>
      <w:r w:rsidR="00277AA9" w:rsidRPr="00277AA9">
        <w:rPr>
          <w:rFonts w:hint="eastAsia"/>
        </w:rPr>
        <w:t>113年度決算</w:t>
      </w:r>
      <w:r w:rsidR="0063129F">
        <w:rPr>
          <w:rFonts w:hint="eastAsia"/>
        </w:rPr>
        <w:t>中，屬</w:t>
      </w:r>
      <w:r w:rsidR="00277AA9" w:rsidRPr="00277AA9">
        <w:rPr>
          <w:rFonts w:hint="eastAsia"/>
        </w:rPr>
        <w:t>以前年度</w:t>
      </w:r>
      <w:r w:rsidR="00B10081">
        <w:rPr>
          <w:rFonts w:hint="eastAsia"/>
        </w:rPr>
        <w:t>之</w:t>
      </w:r>
      <w:r w:rsidR="00277AA9" w:rsidRPr="00277AA9">
        <w:rPr>
          <w:rFonts w:hint="eastAsia"/>
        </w:rPr>
        <w:t>歲入保留</w:t>
      </w:r>
      <w:r w:rsidR="00DC0694">
        <w:rPr>
          <w:rFonts w:hint="eastAsia"/>
        </w:rPr>
        <w:t>占比</w:t>
      </w:r>
      <w:r w:rsidR="00277AA9" w:rsidRPr="00277AA9">
        <w:rPr>
          <w:rFonts w:hint="eastAsia"/>
        </w:rPr>
        <w:t>偏高，允宜積極追蹤清繳，俾確保政府權益</w:t>
      </w:r>
      <w:bookmarkEnd w:id="1"/>
    </w:p>
    <w:p w:rsidR="00370E3F" w:rsidRDefault="00E37164" w:rsidP="00E37164">
      <w:pPr>
        <w:ind w:left="566" w:firstLine="566"/>
      </w:pPr>
      <w:r w:rsidRPr="00E37164">
        <w:rPr>
          <w:rFonts w:hint="eastAsia"/>
        </w:rPr>
        <w:t>國家通訊傳播委員會（以下簡稱通傳會</w:t>
      </w:r>
      <w:r w:rsidR="002A6323">
        <w:rPr>
          <w:rFonts w:hint="eastAsia"/>
        </w:rPr>
        <w:t>）1</w:t>
      </w:r>
      <w:r w:rsidR="002A6323">
        <w:t>13</w:t>
      </w:r>
      <w:r w:rsidR="002A6323">
        <w:rPr>
          <w:rFonts w:hint="eastAsia"/>
        </w:rPr>
        <w:t>年度歲入預算數</w:t>
      </w:r>
      <w:r w:rsidR="002A6323" w:rsidRPr="002A6323">
        <w:rPr>
          <w:rFonts w:hint="eastAsia"/>
        </w:rPr>
        <w:t>2億518萬5千元</w:t>
      </w:r>
      <w:r w:rsidR="002A6323">
        <w:rPr>
          <w:rFonts w:hint="eastAsia"/>
        </w:rPr>
        <w:t>，決算數</w:t>
      </w:r>
      <w:r w:rsidR="002A6323" w:rsidRPr="002A6323">
        <w:rPr>
          <w:rFonts w:hint="eastAsia"/>
        </w:rPr>
        <w:t>2億6,507萬2千元</w:t>
      </w:r>
      <w:r w:rsidR="002A6323">
        <w:rPr>
          <w:rFonts w:hint="eastAsia"/>
        </w:rPr>
        <w:t>(含實現數</w:t>
      </w:r>
      <w:r w:rsidR="002A6323" w:rsidRPr="002A6323">
        <w:rPr>
          <w:rFonts w:hint="eastAsia"/>
        </w:rPr>
        <w:t>2億6,437萬1千元</w:t>
      </w:r>
      <w:r w:rsidR="002A6323">
        <w:rPr>
          <w:rFonts w:hint="eastAsia"/>
        </w:rPr>
        <w:t>及應收數</w:t>
      </w:r>
      <w:r w:rsidR="002A6323" w:rsidRPr="002A6323">
        <w:rPr>
          <w:rFonts w:hint="eastAsia"/>
        </w:rPr>
        <w:t>70萬1千元</w:t>
      </w:r>
      <w:r w:rsidR="002A6323">
        <w:rPr>
          <w:rFonts w:hint="eastAsia"/>
        </w:rPr>
        <w:t>)</w:t>
      </w:r>
      <w:r w:rsidR="00F17303">
        <w:rPr>
          <w:rFonts w:hint="eastAsia"/>
        </w:rPr>
        <w:t>，決算數占預算數比率1</w:t>
      </w:r>
      <w:r w:rsidR="00F17303">
        <w:t>29.19%</w:t>
      </w:r>
      <w:r w:rsidR="002A6323">
        <w:rPr>
          <w:rFonts w:hint="eastAsia"/>
        </w:rPr>
        <w:t>；</w:t>
      </w:r>
      <w:r w:rsidR="00216F7B">
        <w:rPr>
          <w:rFonts w:hint="eastAsia"/>
        </w:rPr>
        <w:t>1</w:t>
      </w:r>
      <w:r w:rsidR="00216F7B">
        <w:t>13</w:t>
      </w:r>
      <w:r w:rsidR="00216F7B">
        <w:rPr>
          <w:rFonts w:hint="eastAsia"/>
        </w:rPr>
        <w:t>年度決算</w:t>
      </w:r>
      <w:bookmarkStart w:id="2" w:name="_Hlk216104440"/>
      <w:r w:rsidR="0063129F">
        <w:rPr>
          <w:rFonts w:hint="eastAsia"/>
        </w:rPr>
        <w:t>中，屬</w:t>
      </w:r>
      <w:r w:rsidR="002A6323">
        <w:rPr>
          <w:rFonts w:hint="eastAsia"/>
        </w:rPr>
        <w:t>以前年度</w:t>
      </w:r>
      <w:r w:rsidR="0063129F">
        <w:rPr>
          <w:rFonts w:hint="eastAsia"/>
        </w:rPr>
        <w:t>歲入</w:t>
      </w:r>
      <w:r w:rsidR="00216F7B">
        <w:rPr>
          <w:rFonts w:hint="eastAsia"/>
        </w:rPr>
        <w:t>部分</w:t>
      </w:r>
      <w:bookmarkEnd w:id="2"/>
      <w:r w:rsidR="00216F7B">
        <w:rPr>
          <w:rFonts w:hint="eastAsia"/>
        </w:rPr>
        <w:t>，</w:t>
      </w:r>
      <w:r w:rsidR="009C6C5C">
        <w:rPr>
          <w:rFonts w:hint="eastAsia"/>
        </w:rPr>
        <w:t>保留</w:t>
      </w:r>
      <w:r w:rsidR="002A6323">
        <w:rPr>
          <w:rFonts w:hint="eastAsia"/>
        </w:rPr>
        <w:t>轉入</w:t>
      </w:r>
      <w:r w:rsidR="00216F7B">
        <w:rPr>
          <w:rFonts w:hint="eastAsia"/>
        </w:rPr>
        <w:t>數</w:t>
      </w:r>
      <w:r w:rsidR="00216F7B" w:rsidRPr="00216F7B">
        <w:rPr>
          <w:rFonts w:hint="eastAsia"/>
        </w:rPr>
        <w:t>6,288萬元</w:t>
      </w:r>
      <w:r w:rsidR="00216F7B">
        <w:rPr>
          <w:rFonts w:hint="eastAsia"/>
        </w:rPr>
        <w:t>，減免(註銷</w:t>
      </w:r>
      <w:r w:rsidR="00216F7B">
        <w:t>)</w:t>
      </w:r>
      <w:r w:rsidR="00216F7B">
        <w:rPr>
          <w:rFonts w:hint="eastAsia"/>
        </w:rPr>
        <w:t>數</w:t>
      </w:r>
      <w:r w:rsidR="00216F7B" w:rsidRPr="00216F7B">
        <w:rPr>
          <w:rFonts w:hint="eastAsia"/>
        </w:rPr>
        <w:t>945萬3千元</w:t>
      </w:r>
      <w:r w:rsidR="00216F7B">
        <w:rPr>
          <w:rFonts w:hint="eastAsia"/>
        </w:rPr>
        <w:t>，實現數</w:t>
      </w:r>
      <w:r w:rsidR="00216F7B" w:rsidRPr="00216F7B">
        <w:rPr>
          <w:rFonts w:hint="eastAsia"/>
        </w:rPr>
        <w:t>258萬1千元</w:t>
      </w:r>
      <w:r w:rsidR="00216F7B">
        <w:rPr>
          <w:rFonts w:hint="eastAsia"/>
        </w:rPr>
        <w:t>，未結清數</w:t>
      </w:r>
      <w:r w:rsidR="00216F7B" w:rsidRPr="00216F7B">
        <w:rPr>
          <w:rFonts w:hint="eastAsia"/>
        </w:rPr>
        <w:t>5,084萬6千元</w:t>
      </w:r>
      <w:r w:rsidR="00774C3B">
        <w:rPr>
          <w:rFonts w:hint="eastAsia"/>
        </w:rPr>
        <w:t>，未結清數占</w:t>
      </w:r>
      <w:r w:rsidR="00F17303">
        <w:rPr>
          <w:rFonts w:hint="eastAsia"/>
        </w:rPr>
        <w:t>應收</w:t>
      </w:r>
      <w:r w:rsidR="00774C3B">
        <w:rPr>
          <w:rFonts w:hint="eastAsia"/>
        </w:rPr>
        <w:t>轉入數之8</w:t>
      </w:r>
      <w:r w:rsidR="00774C3B">
        <w:t>0.86%</w:t>
      </w:r>
      <w:r w:rsidR="00216F7B">
        <w:rPr>
          <w:rFonts w:hint="eastAsia"/>
        </w:rPr>
        <w:t>。經查：</w:t>
      </w:r>
    </w:p>
    <w:p w:rsidR="00E37164" w:rsidRDefault="00E37164" w:rsidP="00E37164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</w:t>
      </w:r>
      <w:r>
        <w:t>)113</w:t>
      </w:r>
      <w:r>
        <w:rPr>
          <w:rFonts w:hint="eastAsia"/>
        </w:rPr>
        <w:t>年度決算</w:t>
      </w:r>
      <w:r w:rsidR="0063129F">
        <w:rPr>
          <w:rFonts w:hint="eastAsia"/>
        </w:rPr>
        <w:t>中，屬</w:t>
      </w:r>
      <w:r w:rsidR="00216F7B" w:rsidRPr="00216F7B">
        <w:rPr>
          <w:rFonts w:hint="eastAsia"/>
        </w:rPr>
        <w:t>以前年度</w:t>
      </w:r>
      <w:r>
        <w:rPr>
          <w:rFonts w:hint="eastAsia"/>
        </w:rPr>
        <w:t>歲入保留</w:t>
      </w:r>
      <w:r w:rsidR="00DC0694">
        <w:rPr>
          <w:rFonts w:hint="eastAsia"/>
        </w:rPr>
        <w:t>占比</w:t>
      </w:r>
      <w:r>
        <w:rPr>
          <w:rFonts w:hint="eastAsia"/>
        </w:rPr>
        <w:t>偏高</w:t>
      </w:r>
      <w:r w:rsidR="00A12144">
        <w:rPr>
          <w:rFonts w:hint="eastAsia"/>
        </w:rPr>
        <w:t>，且保留多年未執行完成</w:t>
      </w:r>
    </w:p>
    <w:p w:rsidR="00E37164" w:rsidRDefault="00E37164" w:rsidP="00E3716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就</w:t>
      </w:r>
      <w:r w:rsidRPr="00E37164">
        <w:rPr>
          <w:rFonts w:hint="eastAsia"/>
        </w:rPr>
        <w:t>通傳會113年度決算歲入保留</w:t>
      </w:r>
      <w:r w:rsidR="0093403D">
        <w:rPr>
          <w:rFonts w:hint="eastAsia"/>
        </w:rPr>
        <w:t>概況</w:t>
      </w:r>
      <w:r w:rsidRPr="00E37164">
        <w:rPr>
          <w:rFonts w:hint="eastAsia"/>
        </w:rPr>
        <w:t>表</w:t>
      </w:r>
      <w:r>
        <w:rPr>
          <w:rFonts w:hint="eastAsia"/>
        </w:rPr>
        <w:t>觀之</w:t>
      </w:r>
      <w:r w:rsidR="00C338D7">
        <w:rPr>
          <w:rFonts w:hint="eastAsia"/>
        </w:rPr>
        <w:t>(詳表1</w:t>
      </w:r>
      <w:r w:rsidR="00C338D7">
        <w:t>)</w:t>
      </w:r>
      <w:r>
        <w:rPr>
          <w:rFonts w:hint="eastAsia"/>
        </w:rPr>
        <w:t>，</w:t>
      </w:r>
      <w:r w:rsidR="00C338D7">
        <w:rPr>
          <w:rFonts w:hint="eastAsia"/>
        </w:rPr>
        <w:t>該會</w:t>
      </w:r>
      <w:r w:rsidR="00C338D7" w:rsidRPr="00C338D7">
        <w:rPr>
          <w:rFonts w:hint="eastAsia"/>
        </w:rPr>
        <w:t>113年度</w:t>
      </w:r>
      <w:r w:rsidR="00C338D7">
        <w:rPr>
          <w:rFonts w:hint="eastAsia"/>
        </w:rPr>
        <w:t>決算歲入保留</w:t>
      </w:r>
      <w:r w:rsidR="00A12144">
        <w:rPr>
          <w:rFonts w:hint="eastAsia"/>
        </w:rPr>
        <w:t>數</w:t>
      </w:r>
      <w:r w:rsidR="00C338D7">
        <w:rPr>
          <w:rFonts w:hint="eastAsia"/>
        </w:rPr>
        <w:t>合計</w:t>
      </w:r>
      <w:r w:rsidR="00C338D7" w:rsidRPr="00C338D7">
        <w:rPr>
          <w:rFonts w:hint="eastAsia"/>
        </w:rPr>
        <w:t>5,154萬7千元</w:t>
      </w:r>
      <w:r w:rsidR="00A0308E">
        <w:rPr>
          <w:rFonts w:hint="eastAsia"/>
        </w:rPr>
        <w:t>(含以前年度</w:t>
      </w:r>
      <w:r w:rsidR="009C6C5C">
        <w:rPr>
          <w:rFonts w:hint="eastAsia"/>
        </w:rPr>
        <w:t>保留</w:t>
      </w:r>
      <w:r w:rsidR="00A0308E">
        <w:rPr>
          <w:rFonts w:hint="eastAsia"/>
        </w:rPr>
        <w:t>數</w:t>
      </w:r>
      <w:r w:rsidR="00A0308E">
        <w:t>)</w:t>
      </w:r>
      <w:r w:rsidR="00C338D7">
        <w:rPr>
          <w:rFonts w:hint="eastAsia"/>
        </w:rPr>
        <w:t>，包</w:t>
      </w:r>
      <w:r w:rsidR="00C10760">
        <w:rPr>
          <w:rFonts w:hint="eastAsia"/>
        </w:rPr>
        <w:t>括</w:t>
      </w:r>
      <w:r w:rsidR="00C338D7" w:rsidRPr="00C338D7">
        <w:rPr>
          <w:rFonts w:hint="eastAsia"/>
        </w:rPr>
        <w:t>一般賠償收入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罰金罰鍰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怠金</w:t>
      </w:r>
      <w:r w:rsidR="00C338D7">
        <w:rPr>
          <w:rFonts w:hint="eastAsia"/>
        </w:rPr>
        <w:t>、</w:t>
      </w:r>
      <w:r w:rsidR="00C338D7" w:rsidRPr="00C338D7">
        <w:rPr>
          <w:rFonts w:hint="eastAsia"/>
        </w:rPr>
        <w:t>審查費</w:t>
      </w:r>
      <w:r w:rsidR="00C338D7">
        <w:rPr>
          <w:rFonts w:hint="eastAsia"/>
        </w:rPr>
        <w:t>及</w:t>
      </w:r>
      <w:r w:rsidR="00C338D7" w:rsidRPr="00C338D7">
        <w:rPr>
          <w:rFonts w:hint="eastAsia"/>
        </w:rPr>
        <w:t>許可費</w:t>
      </w:r>
      <w:r w:rsidR="00C338D7">
        <w:rPr>
          <w:rFonts w:hint="eastAsia"/>
        </w:rPr>
        <w:t>等，其中許可費保留</w:t>
      </w:r>
      <w:r w:rsidR="00C338D7" w:rsidRPr="00C338D7">
        <w:rPr>
          <w:rFonts w:hint="eastAsia"/>
        </w:rPr>
        <w:t>3,734萬4千元</w:t>
      </w:r>
      <w:r w:rsidR="00C338D7">
        <w:rPr>
          <w:rFonts w:hint="eastAsia"/>
        </w:rPr>
        <w:t>為最高，占總保留數之7</w:t>
      </w:r>
      <w:r w:rsidR="00C338D7">
        <w:t>2.45%</w:t>
      </w:r>
      <w:r w:rsidR="00A12144">
        <w:rPr>
          <w:rFonts w:hint="eastAsia"/>
        </w:rPr>
        <w:t>；另就保留年度觀之，</w:t>
      </w:r>
      <w:r w:rsidR="00C338D7">
        <w:rPr>
          <w:rFonts w:hint="eastAsia"/>
        </w:rPr>
        <w:t>1</w:t>
      </w:r>
      <w:r w:rsidR="00C338D7">
        <w:t>04</w:t>
      </w:r>
      <w:r w:rsidR="00C338D7">
        <w:rPr>
          <w:rFonts w:hint="eastAsia"/>
        </w:rPr>
        <w:t>年度</w:t>
      </w:r>
      <w:r w:rsidR="00A12144">
        <w:rPr>
          <w:rFonts w:hint="eastAsia"/>
        </w:rPr>
        <w:t>預算</w:t>
      </w:r>
      <w:r w:rsidR="00C338D7">
        <w:rPr>
          <w:rFonts w:hint="eastAsia"/>
        </w:rPr>
        <w:t>保留</w:t>
      </w:r>
      <w:r w:rsidR="00A12144">
        <w:rPr>
          <w:rFonts w:hint="eastAsia"/>
        </w:rPr>
        <w:t>數</w:t>
      </w:r>
      <w:r w:rsidR="009C6C5C">
        <w:rPr>
          <w:rFonts w:hint="eastAsia"/>
        </w:rPr>
        <w:t>仍</w:t>
      </w:r>
      <w:r w:rsidR="00693DC1">
        <w:rPr>
          <w:rFonts w:hint="eastAsia"/>
        </w:rPr>
        <w:t>高</w:t>
      </w:r>
      <w:r w:rsidR="00A12144">
        <w:rPr>
          <w:rFonts w:hint="eastAsia"/>
        </w:rPr>
        <w:t>達</w:t>
      </w:r>
      <w:r w:rsidR="00A12144" w:rsidRPr="00A12144">
        <w:rPr>
          <w:rFonts w:hint="eastAsia"/>
        </w:rPr>
        <w:t>4,437萬元</w:t>
      </w:r>
      <w:r w:rsidR="00A12144">
        <w:rPr>
          <w:rFonts w:hint="eastAsia"/>
        </w:rPr>
        <w:t>，占總保留數之8</w:t>
      </w:r>
      <w:r w:rsidR="00A12144">
        <w:t>6.08%</w:t>
      </w:r>
      <w:r w:rsidR="00A12144">
        <w:rPr>
          <w:rFonts w:hint="eastAsia"/>
        </w:rPr>
        <w:t>，顯示通傳會歲入保留多年未執行完成</w:t>
      </w:r>
      <w:r w:rsidR="00C338D7">
        <w:rPr>
          <w:rFonts w:hint="eastAsia"/>
        </w:rPr>
        <w:t>。</w:t>
      </w:r>
    </w:p>
    <w:p w:rsidR="00236EE4" w:rsidRDefault="00DC434F" w:rsidP="00DC434F">
      <w:pPr>
        <w:ind w:leftChars="0" w:left="0" w:firstLineChars="0" w:firstLine="0"/>
        <w:rPr>
          <w:rFonts w:hint="eastAsia"/>
        </w:rPr>
      </w:pPr>
      <w:r w:rsidRPr="00DC434F">
        <w:rPr>
          <w:rFonts w:hint="eastAsia"/>
          <w:b/>
          <w:bCs/>
        </w:rPr>
        <w:t>表1</w:t>
      </w:r>
      <w:r w:rsidRPr="00DC434F">
        <w:rPr>
          <w:b/>
          <w:bCs/>
        </w:rPr>
        <w:t xml:space="preserve">  </w:t>
      </w:r>
      <w:r w:rsidRPr="00DC434F">
        <w:rPr>
          <w:rFonts w:hint="eastAsia"/>
          <w:b/>
          <w:bCs/>
        </w:rPr>
        <w:t xml:space="preserve"> 通傳會1</w:t>
      </w:r>
      <w:r w:rsidRPr="00DC434F">
        <w:rPr>
          <w:b/>
          <w:bCs/>
        </w:rPr>
        <w:t>13</w:t>
      </w:r>
      <w:r w:rsidRPr="00DC434F">
        <w:rPr>
          <w:rFonts w:hint="eastAsia"/>
          <w:b/>
          <w:bCs/>
        </w:rPr>
        <w:t>年度決算歲入保留</w:t>
      </w:r>
      <w:r w:rsidR="0093403D">
        <w:rPr>
          <w:rFonts w:hint="eastAsia"/>
          <w:b/>
          <w:bCs/>
        </w:rPr>
        <w:t>概況</w:t>
      </w:r>
      <w:r w:rsidRPr="00DC434F">
        <w:rPr>
          <w:rFonts w:hint="eastAsia"/>
          <w:b/>
          <w:bCs/>
        </w:rPr>
        <w:t>表</w:t>
      </w:r>
      <w:r>
        <w:rPr>
          <w:rFonts w:hint="eastAsia"/>
        </w:rPr>
        <w:t xml:space="preserve"> </w:t>
      </w:r>
      <w:r>
        <w:t xml:space="preserve">       </w:t>
      </w:r>
      <w:r w:rsidRPr="00DC434F">
        <w:rPr>
          <w:rFonts w:hint="eastAsia"/>
          <w:sz w:val="24"/>
          <w:szCs w:val="24"/>
        </w:rPr>
        <w:t>單位：新臺幣千元</w:t>
      </w:r>
    </w:p>
    <w:tbl>
      <w:tblPr>
        <w:tblW w:w="84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2"/>
        <w:gridCol w:w="1560"/>
        <w:gridCol w:w="1134"/>
        <w:gridCol w:w="1022"/>
        <w:gridCol w:w="1022"/>
        <w:gridCol w:w="1022"/>
        <w:gridCol w:w="1023"/>
      </w:tblGrid>
      <w:tr w:rsidR="00875FA5" w:rsidRPr="00875FA5" w:rsidTr="003F080B">
        <w:trPr>
          <w:trHeight w:val="20"/>
          <w:tblHeader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E05EAA" w:rsidP="00875FA5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預算</w:t>
            </w:r>
            <w:r w:rsidR="00875FA5" w:rsidRPr="00875FA5">
              <w:rPr>
                <w:b/>
                <w:bCs/>
              </w:rPr>
              <w:t>年度</w:t>
            </w:r>
            <w:r w:rsidR="00875FA5" w:rsidRPr="00875FA5">
              <w:rPr>
                <w:rFonts w:hint="eastAsia"/>
                <w:b/>
                <w:bCs/>
              </w:rPr>
              <w:t>/科目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一般賠償收入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罰金罰鍰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怠金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審查費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許可費</w:t>
            </w:r>
          </w:p>
        </w:tc>
        <w:tc>
          <w:tcPr>
            <w:tcW w:w="1023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  <w:rPr>
                <w:b/>
                <w:bCs/>
              </w:rPr>
            </w:pPr>
            <w:r w:rsidRPr="00875FA5">
              <w:rPr>
                <w:b/>
                <w:bCs/>
              </w:rPr>
              <w:t>合計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99年度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4,651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4,651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104年度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7,200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37,170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44,370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109年度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327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330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  <w:hideMark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111年度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28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174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202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1,293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1,293</w:t>
            </w:r>
          </w:p>
        </w:tc>
      </w:tr>
      <w:tr w:rsidR="00875FA5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center"/>
            </w:pPr>
            <w:r w:rsidRPr="00875FA5">
              <w:t>113年度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600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100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1</w:t>
            </w:r>
          </w:p>
        </w:tc>
        <w:tc>
          <w:tcPr>
            <w:tcW w:w="1022" w:type="dxa"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875FA5" w:rsidRPr="00875FA5" w:rsidRDefault="00875FA5" w:rsidP="00875FA5">
            <w:pPr>
              <w:pStyle w:val="142"/>
              <w:jc w:val="right"/>
            </w:pPr>
            <w:r w:rsidRPr="00875FA5">
              <w:t>701</w:t>
            </w:r>
          </w:p>
        </w:tc>
      </w:tr>
      <w:tr w:rsidR="00200D24" w:rsidRPr="00875FA5" w:rsidTr="003F080B">
        <w:trPr>
          <w:trHeight w:val="20"/>
          <w:jc w:val="center"/>
        </w:trPr>
        <w:tc>
          <w:tcPr>
            <w:tcW w:w="168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center"/>
            </w:pPr>
            <w:r>
              <w:rPr>
                <w:rFonts w:hint="eastAsia"/>
              </w:rPr>
              <w:t>總計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36EE4" w:rsidRDefault="00236EE4" w:rsidP="00236EE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4,651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2,220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7,331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236EE4" w:rsidRDefault="00236EE4" w:rsidP="00236EE4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37,344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236EE4" w:rsidRPr="00875FA5" w:rsidRDefault="00236EE4" w:rsidP="00236EE4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51,547</w:t>
            </w:r>
          </w:p>
        </w:tc>
      </w:tr>
    </w:tbl>
    <w:p w:rsidR="00875FA5" w:rsidRDefault="00200D24" w:rsidP="00200D24">
      <w:pPr>
        <w:pStyle w:val="142"/>
      </w:pPr>
      <w:r>
        <w:rPr>
          <w:rFonts w:hint="eastAsia"/>
        </w:rPr>
        <w:t>資料來源：通傳會提供。</w:t>
      </w:r>
    </w:p>
    <w:p w:rsidR="00875FA5" w:rsidRDefault="00E37164" w:rsidP="00E37164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bookmarkStart w:id="3" w:name="_Hlk216169738"/>
      <w:r w:rsidR="0030465B">
        <w:t>113</w:t>
      </w:r>
      <w:r w:rsidR="0030465B">
        <w:rPr>
          <w:rFonts w:hint="eastAsia"/>
        </w:rPr>
        <w:t>年度歲入保留項目</w:t>
      </w:r>
      <w:r>
        <w:rPr>
          <w:rFonts w:hint="eastAsia"/>
        </w:rPr>
        <w:t>主要</w:t>
      </w:r>
      <w:bookmarkEnd w:id="3"/>
      <w:r>
        <w:rPr>
          <w:rFonts w:hint="eastAsia"/>
        </w:rPr>
        <w:t>係</w:t>
      </w:r>
      <w:r w:rsidR="006D71E9">
        <w:rPr>
          <w:rFonts w:hint="eastAsia"/>
        </w:rPr>
        <w:t>應收</w:t>
      </w:r>
      <w:r w:rsidR="0030465B" w:rsidRPr="0030465B">
        <w:rPr>
          <w:rFonts w:hint="eastAsia"/>
        </w:rPr>
        <w:t>特許費</w:t>
      </w:r>
      <w:r w:rsidR="006D71E9">
        <w:rPr>
          <w:rFonts w:hint="eastAsia"/>
        </w:rPr>
        <w:t>、</w:t>
      </w:r>
      <w:r w:rsidR="0030465B" w:rsidRPr="0030465B">
        <w:rPr>
          <w:rFonts w:hint="eastAsia"/>
        </w:rPr>
        <w:t>怠金及國有土地遭占用</w:t>
      </w:r>
      <w:r w:rsidR="0030465B">
        <w:rPr>
          <w:rFonts w:hint="eastAsia"/>
        </w:rPr>
        <w:t>之</w:t>
      </w:r>
      <w:r w:rsidR="0030465B" w:rsidRPr="0030465B">
        <w:rPr>
          <w:rFonts w:hint="eastAsia"/>
        </w:rPr>
        <w:t>賠償收入</w:t>
      </w:r>
    </w:p>
    <w:p w:rsidR="00EA1A1D" w:rsidRDefault="00973E47" w:rsidP="00A1214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觀</w:t>
      </w:r>
      <w:r w:rsidR="00A12144">
        <w:rPr>
          <w:rFonts w:hint="eastAsia"/>
        </w:rPr>
        <w:t>通傳會</w:t>
      </w:r>
      <w:r w:rsidR="0030465B" w:rsidRPr="0030465B">
        <w:rPr>
          <w:rFonts w:hint="eastAsia"/>
        </w:rPr>
        <w:t>113年度歲入保留主要項目</w:t>
      </w:r>
      <w:r w:rsidR="00A12144">
        <w:rPr>
          <w:rFonts w:hint="eastAsia"/>
        </w:rPr>
        <w:t>，</w:t>
      </w:r>
      <w:r w:rsidR="00EA1A1D" w:rsidRPr="00EA1A1D">
        <w:rPr>
          <w:rFonts w:hint="eastAsia"/>
        </w:rPr>
        <w:t>104年度歲入</w:t>
      </w:r>
      <w:r w:rsidR="00532FB1">
        <w:rPr>
          <w:rFonts w:hint="eastAsia"/>
        </w:rPr>
        <w:t>應收</w:t>
      </w:r>
      <w:r w:rsidR="00EA1A1D" w:rsidRPr="00EA1A1D">
        <w:rPr>
          <w:rFonts w:hint="eastAsia"/>
        </w:rPr>
        <w:t>保</w:t>
      </w:r>
      <w:r w:rsidR="00EA1A1D" w:rsidRPr="00EA1A1D">
        <w:rPr>
          <w:rFonts w:hint="eastAsia"/>
        </w:rPr>
        <w:lastRenderedPageBreak/>
        <w:t>留部分，包括大同電信公司欠繳無線寬頻接取業務特許費，及大同與全球一動電信公司欠繳許可費所衍生之怠金，均已移送行政執行</w:t>
      </w:r>
      <w:r w:rsidR="00C272BE">
        <w:rPr>
          <w:rFonts w:hint="eastAsia"/>
        </w:rPr>
        <w:t>；另</w:t>
      </w:r>
      <w:r w:rsidR="00EA1A1D" w:rsidRPr="00EA1A1D">
        <w:rPr>
          <w:rFonts w:hint="eastAsia"/>
        </w:rPr>
        <w:t>99年度</w:t>
      </w:r>
      <w:r w:rsidR="00532FB1">
        <w:rPr>
          <w:rFonts w:hint="eastAsia"/>
        </w:rPr>
        <w:t>應收</w:t>
      </w:r>
      <w:r w:rsidR="00EA1A1D" w:rsidRPr="00EA1A1D">
        <w:rPr>
          <w:rFonts w:hint="eastAsia"/>
        </w:rPr>
        <w:t>之一般賠償收入，為國有土地遭占用案件，依最高法院判決應給付之價金</w:t>
      </w:r>
      <w:r w:rsidR="00C272BE">
        <w:rPr>
          <w:rFonts w:hint="eastAsia"/>
        </w:rPr>
        <w:t>。</w:t>
      </w:r>
    </w:p>
    <w:p w:rsidR="00E37164" w:rsidRDefault="00E37164" w:rsidP="00AE59BA">
      <w:pPr>
        <w:ind w:left="566" w:firstLine="566"/>
      </w:pPr>
      <w:r>
        <w:rPr>
          <w:rFonts w:hint="eastAsia"/>
        </w:rPr>
        <w:t>綜上，</w:t>
      </w:r>
      <w:r w:rsidR="00C21670" w:rsidRPr="00C21670">
        <w:rPr>
          <w:rFonts w:hint="eastAsia"/>
        </w:rPr>
        <w:t>通傳會113年度歲入決算</w:t>
      </w:r>
      <w:r w:rsidR="0063129F">
        <w:rPr>
          <w:rFonts w:hint="eastAsia"/>
        </w:rPr>
        <w:t>中，屬</w:t>
      </w:r>
      <w:r w:rsidR="00C21670" w:rsidRPr="00C21670">
        <w:rPr>
          <w:rFonts w:hint="eastAsia"/>
        </w:rPr>
        <w:t>以前年度</w:t>
      </w:r>
      <w:r w:rsidR="0063129F">
        <w:rPr>
          <w:rFonts w:hint="eastAsia"/>
        </w:rPr>
        <w:t>之</w:t>
      </w:r>
      <w:r w:rsidR="00C21670" w:rsidRPr="00C21670">
        <w:rPr>
          <w:rFonts w:hint="eastAsia"/>
        </w:rPr>
        <w:t>未結清數5,084萬6千元</w:t>
      </w:r>
      <w:r w:rsidR="00C21670">
        <w:rPr>
          <w:rFonts w:hint="eastAsia"/>
        </w:rPr>
        <w:t>，</w:t>
      </w:r>
      <w:r w:rsidR="00DB1546">
        <w:rPr>
          <w:rFonts w:hint="eastAsia"/>
        </w:rPr>
        <w:t>其中</w:t>
      </w:r>
      <w:r w:rsidR="00C21670" w:rsidRPr="00C21670">
        <w:rPr>
          <w:rFonts w:hint="eastAsia"/>
        </w:rPr>
        <w:t>104年度</w:t>
      </w:r>
      <w:r w:rsidR="00EE6870">
        <w:rPr>
          <w:rFonts w:hint="eastAsia"/>
        </w:rPr>
        <w:t>保留</w:t>
      </w:r>
      <w:r w:rsidR="00C21670" w:rsidRPr="00C21670">
        <w:rPr>
          <w:rFonts w:hint="eastAsia"/>
        </w:rPr>
        <w:t>數</w:t>
      </w:r>
      <w:r w:rsidR="00DB1546">
        <w:rPr>
          <w:rFonts w:hint="eastAsia"/>
        </w:rPr>
        <w:t>達</w:t>
      </w:r>
      <w:r w:rsidR="00C21670" w:rsidRPr="00C21670">
        <w:rPr>
          <w:rFonts w:hint="eastAsia"/>
        </w:rPr>
        <w:t>4,437萬元，占總保留數之86.08%</w:t>
      </w:r>
      <w:r w:rsidR="00C21670">
        <w:rPr>
          <w:rFonts w:hint="eastAsia"/>
        </w:rPr>
        <w:t>，</w:t>
      </w:r>
      <w:r w:rsidR="00C21670" w:rsidRPr="00C21670">
        <w:rPr>
          <w:rFonts w:hint="eastAsia"/>
        </w:rPr>
        <w:t>保留多年未執行完成</w:t>
      </w:r>
      <w:r w:rsidR="00C272BE">
        <w:rPr>
          <w:rFonts w:hint="eastAsia"/>
        </w:rPr>
        <w:t>，允宜積極追蹤清繳</w:t>
      </w:r>
      <w:r w:rsidR="00031A41">
        <w:rPr>
          <w:rFonts w:hint="eastAsia"/>
        </w:rPr>
        <w:t>，俾</w:t>
      </w:r>
      <w:r w:rsidR="00031A41" w:rsidRPr="00031A41">
        <w:rPr>
          <w:rFonts w:hint="eastAsia"/>
        </w:rPr>
        <w:t>確保政府權益</w:t>
      </w:r>
      <w:r w:rsidR="00C272BE">
        <w:rPr>
          <w:rFonts w:hint="eastAsia"/>
        </w:rPr>
        <w:t>。</w:t>
      </w:r>
    </w:p>
    <w:sectPr w:rsidR="00E37164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9C" w:rsidRDefault="00CC1C9C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A6153" w:rsidRPr="001A6153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9C" w:rsidRDefault="00CC1C9C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C1C9C" w:rsidRDefault="00CC1C9C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11512"/>
    <w:rsid w:val="000129CA"/>
    <w:rsid w:val="0001480D"/>
    <w:rsid w:val="00015D60"/>
    <w:rsid w:val="0001672A"/>
    <w:rsid w:val="0002011E"/>
    <w:rsid w:val="00021649"/>
    <w:rsid w:val="00024914"/>
    <w:rsid w:val="00024C67"/>
    <w:rsid w:val="00024EC0"/>
    <w:rsid w:val="000261EB"/>
    <w:rsid w:val="00027168"/>
    <w:rsid w:val="0003033E"/>
    <w:rsid w:val="00030673"/>
    <w:rsid w:val="00030E26"/>
    <w:rsid w:val="00030F2D"/>
    <w:rsid w:val="00031A41"/>
    <w:rsid w:val="00031B71"/>
    <w:rsid w:val="00032F0A"/>
    <w:rsid w:val="0003484A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608"/>
    <w:rsid w:val="00047403"/>
    <w:rsid w:val="00047868"/>
    <w:rsid w:val="000525F7"/>
    <w:rsid w:val="000537C5"/>
    <w:rsid w:val="00056A79"/>
    <w:rsid w:val="00057CED"/>
    <w:rsid w:val="00061594"/>
    <w:rsid w:val="00062555"/>
    <w:rsid w:val="00062FD6"/>
    <w:rsid w:val="00063A62"/>
    <w:rsid w:val="00070079"/>
    <w:rsid w:val="00073A2D"/>
    <w:rsid w:val="00081950"/>
    <w:rsid w:val="00083022"/>
    <w:rsid w:val="00087940"/>
    <w:rsid w:val="00090920"/>
    <w:rsid w:val="00090EF1"/>
    <w:rsid w:val="00091179"/>
    <w:rsid w:val="00094319"/>
    <w:rsid w:val="00094A5C"/>
    <w:rsid w:val="000A2F2B"/>
    <w:rsid w:val="000A46C2"/>
    <w:rsid w:val="000A599D"/>
    <w:rsid w:val="000A6390"/>
    <w:rsid w:val="000A7D1F"/>
    <w:rsid w:val="000B0B49"/>
    <w:rsid w:val="000B0FCC"/>
    <w:rsid w:val="000B1D91"/>
    <w:rsid w:val="000B2221"/>
    <w:rsid w:val="000B24FB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C4F40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F2181"/>
    <w:rsid w:val="000F3FA0"/>
    <w:rsid w:val="000F560B"/>
    <w:rsid w:val="000F70E1"/>
    <w:rsid w:val="001004B7"/>
    <w:rsid w:val="0010249B"/>
    <w:rsid w:val="00104686"/>
    <w:rsid w:val="00105CF5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21D"/>
    <w:rsid w:val="00145DA2"/>
    <w:rsid w:val="001460AB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CC6"/>
    <w:rsid w:val="00182102"/>
    <w:rsid w:val="0018260E"/>
    <w:rsid w:val="0018372C"/>
    <w:rsid w:val="00183E3D"/>
    <w:rsid w:val="00183F5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06C"/>
    <w:rsid w:val="0019425F"/>
    <w:rsid w:val="00194465"/>
    <w:rsid w:val="001959BF"/>
    <w:rsid w:val="00195FFD"/>
    <w:rsid w:val="00196ED1"/>
    <w:rsid w:val="001A1771"/>
    <w:rsid w:val="001A301A"/>
    <w:rsid w:val="001A3F3F"/>
    <w:rsid w:val="001A6153"/>
    <w:rsid w:val="001A6BE1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5D37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D8"/>
    <w:rsid w:val="001E1503"/>
    <w:rsid w:val="001E293B"/>
    <w:rsid w:val="001E472B"/>
    <w:rsid w:val="001E4F4F"/>
    <w:rsid w:val="001E52E6"/>
    <w:rsid w:val="001E65B6"/>
    <w:rsid w:val="001F174D"/>
    <w:rsid w:val="001F3056"/>
    <w:rsid w:val="001F4037"/>
    <w:rsid w:val="00200D24"/>
    <w:rsid w:val="00201796"/>
    <w:rsid w:val="00202A9D"/>
    <w:rsid w:val="002063DF"/>
    <w:rsid w:val="00206D1C"/>
    <w:rsid w:val="00207212"/>
    <w:rsid w:val="0020758B"/>
    <w:rsid w:val="0021130A"/>
    <w:rsid w:val="00211D36"/>
    <w:rsid w:val="002129FB"/>
    <w:rsid w:val="00215158"/>
    <w:rsid w:val="00216F7B"/>
    <w:rsid w:val="00217C70"/>
    <w:rsid w:val="00220472"/>
    <w:rsid w:val="00222CF9"/>
    <w:rsid w:val="00224B6E"/>
    <w:rsid w:val="002266DB"/>
    <w:rsid w:val="00226F76"/>
    <w:rsid w:val="00230325"/>
    <w:rsid w:val="0023207D"/>
    <w:rsid w:val="00232129"/>
    <w:rsid w:val="002354A8"/>
    <w:rsid w:val="00236EE4"/>
    <w:rsid w:val="00237552"/>
    <w:rsid w:val="00240A11"/>
    <w:rsid w:val="00241AFC"/>
    <w:rsid w:val="00241EBD"/>
    <w:rsid w:val="00245D74"/>
    <w:rsid w:val="002469D0"/>
    <w:rsid w:val="002475C1"/>
    <w:rsid w:val="002507C5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2C0F"/>
    <w:rsid w:val="00272F2E"/>
    <w:rsid w:val="002737DC"/>
    <w:rsid w:val="00276CAA"/>
    <w:rsid w:val="002772A2"/>
    <w:rsid w:val="00277AA9"/>
    <w:rsid w:val="002857A9"/>
    <w:rsid w:val="0028742F"/>
    <w:rsid w:val="002905ED"/>
    <w:rsid w:val="002956DC"/>
    <w:rsid w:val="00295A88"/>
    <w:rsid w:val="00297AB3"/>
    <w:rsid w:val="00297EEA"/>
    <w:rsid w:val="002A15D5"/>
    <w:rsid w:val="002A2097"/>
    <w:rsid w:val="002A43D9"/>
    <w:rsid w:val="002A50DF"/>
    <w:rsid w:val="002A5116"/>
    <w:rsid w:val="002A6323"/>
    <w:rsid w:val="002A63DF"/>
    <w:rsid w:val="002B2926"/>
    <w:rsid w:val="002B48AF"/>
    <w:rsid w:val="002B4B3C"/>
    <w:rsid w:val="002B5803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F1B"/>
    <w:rsid w:val="002D7FBA"/>
    <w:rsid w:val="002E07A0"/>
    <w:rsid w:val="002E0B4A"/>
    <w:rsid w:val="002E1039"/>
    <w:rsid w:val="002E2152"/>
    <w:rsid w:val="002E3210"/>
    <w:rsid w:val="002E69BE"/>
    <w:rsid w:val="002E70C6"/>
    <w:rsid w:val="002F0D87"/>
    <w:rsid w:val="002F486F"/>
    <w:rsid w:val="002F5926"/>
    <w:rsid w:val="002F6C94"/>
    <w:rsid w:val="002F6E01"/>
    <w:rsid w:val="002F7054"/>
    <w:rsid w:val="00301305"/>
    <w:rsid w:val="00301CF3"/>
    <w:rsid w:val="003025AE"/>
    <w:rsid w:val="0030465B"/>
    <w:rsid w:val="003068E9"/>
    <w:rsid w:val="00310A4C"/>
    <w:rsid w:val="00314218"/>
    <w:rsid w:val="00315048"/>
    <w:rsid w:val="00315412"/>
    <w:rsid w:val="003163FF"/>
    <w:rsid w:val="003232A3"/>
    <w:rsid w:val="003239E8"/>
    <w:rsid w:val="00325389"/>
    <w:rsid w:val="003269EA"/>
    <w:rsid w:val="00326B31"/>
    <w:rsid w:val="003303F6"/>
    <w:rsid w:val="00331446"/>
    <w:rsid w:val="00333A01"/>
    <w:rsid w:val="00333B89"/>
    <w:rsid w:val="00336DAE"/>
    <w:rsid w:val="0034140F"/>
    <w:rsid w:val="00342070"/>
    <w:rsid w:val="00342C88"/>
    <w:rsid w:val="00343696"/>
    <w:rsid w:val="0034387F"/>
    <w:rsid w:val="00343CE1"/>
    <w:rsid w:val="0034461F"/>
    <w:rsid w:val="00345A44"/>
    <w:rsid w:val="00347604"/>
    <w:rsid w:val="00350A4A"/>
    <w:rsid w:val="00351FDC"/>
    <w:rsid w:val="003525B7"/>
    <w:rsid w:val="00352D62"/>
    <w:rsid w:val="00354EBE"/>
    <w:rsid w:val="0035585D"/>
    <w:rsid w:val="0035627D"/>
    <w:rsid w:val="003604DB"/>
    <w:rsid w:val="003610F5"/>
    <w:rsid w:val="00361CB1"/>
    <w:rsid w:val="00370A25"/>
    <w:rsid w:val="00370E3F"/>
    <w:rsid w:val="00371499"/>
    <w:rsid w:val="003720E8"/>
    <w:rsid w:val="00373D1F"/>
    <w:rsid w:val="0037408F"/>
    <w:rsid w:val="0037710F"/>
    <w:rsid w:val="003778F8"/>
    <w:rsid w:val="00377FA5"/>
    <w:rsid w:val="00380079"/>
    <w:rsid w:val="00381BF2"/>
    <w:rsid w:val="00383C66"/>
    <w:rsid w:val="003846D9"/>
    <w:rsid w:val="00384C2A"/>
    <w:rsid w:val="00385FF5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2FD8"/>
    <w:rsid w:val="003B47CD"/>
    <w:rsid w:val="003B5A5D"/>
    <w:rsid w:val="003C283C"/>
    <w:rsid w:val="003C5437"/>
    <w:rsid w:val="003C6C59"/>
    <w:rsid w:val="003D15FA"/>
    <w:rsid w:val="003D2C82"/>
    <w:rsid w:val="003D36A3"/>
    <w:rsid w:val="003D4773"/>
    <w:rsid w:val="003D4ADB"/>
    <w:rsid w:val="003D53FC"/>
    <w:rsid w:val="003D5FD4"/>
    <w:rsid w:val="003D7217"/>
    <w:rsid w:val="003D797D"/>
    <w:rsid w:val="003E3742"/>
    <w:rsid w:val="003E41B1"/>
    <w:rsid w:val="003E4256"/>
    <w:rsid w:val="003E4F49"/>
    <w:rsid w:val="003E52DE"/>
    <w:rsid w:val="003E6817"/>
    <w:rsid w:val="003E71FF"/>
    <w:rsid w:val="003F080B"/>
    <w:rsid w:val="003F1CF7"/>
    <w:rsid w:val="003F28D0"/>
    <w:rsid w:val="003F2B7F"/>
    <w:rsid w:val="003F33D8"/>
    <w:rsid w:val="003F4513"/>
    <w:rsid w:val="003F45B5"/>
    <w:rsid w:val="003F4ED0"/>
    <w:rsid w:val="003F60AB"/>
    <w:rsid w:val="004028E8"/>
    <w:rsid w:val="00404A00"/>
    <w:rsid w:val="00405830"/>
    <w:rsid w:val="004064DC"/>
    <w:rsid w:val="00410F19"/>
    <w:rsid w:val="00411A95"/>
    <w:rsid w:val="00416335"/>
    <w:rsid w:val="004164A2"/>
    <w:rsid w:val="00422825"/>
    <w:rsid w:val="004228CE"/>
    <w:rsid w:val="00424E23"/>
    <w:rsid w:val="00425854"/>
    <w:rsid w:val="004259A4"/>
    <w:rsid w:val="00425F91"/>
    <w:rsid w:val="00426670"/>
    <w:rsid w:val="00426902"/>
    <w:rsid w:val="00430C0D"/>
    <w:rsid w:val="00435174"/>
    <w:rsid w:val="00436922"/>
    <w:rsid w:val="0044128B"/>
    <w:rsid w:val="00442104"/>
    <w:rsid w:val="004434BC"/>
    <w:rsid w:val="00446359"/>
    <w:rsid w:val="00446C24"/>
    <w:rsid w:val="00447F87"/>
    <w:rsid w:val="00451C20"/>
    <w:rsid w:val="00451DAB"/>
    <w:rsid w:val="00452DBE"/>
    <w:rsid w:val="00456438"/>
    <w:rsid w:val="004568E8"/>
    <w:rsid w:val="00456E92"/>
    <w:rsid w:val="004607C2"/>
    <w:rsid w:val="004620BE"/>
    <w:rsid w:val="0046622C"/>
    <w:rsid w:val="00467AFE"/>
    <w:rsid w:val="00471ACF"/>
    <w:rsid w:val="00472CFB"/>
    <w:rsid w:val="00473DA0"/>
    <w:rsid w:val="00476703"/>
    <w:rsid w:val="00480FC1"/>
    <w:rsid w:val="0048336E"/>
    <w:rsid w:val="004861D2"/>
    <w:rsid w:val="00486998"/>
    <w:rsid w:val="004869A1"/>
    <w:rsid w:val="00487876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C7A05"/>
    <w:rsid w:val="004D0FEE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49E1"/>
    <w:rsid w:val="004F6696"/>
    <w:rsid w:val="004F72DE"/>
    <w:rsid w:val="00500038"/>
    <w:rsid w:val="00500CDC"/>
    <w:rsid w:val="00502238"/>
    <w:rsid w:val="00504A56"/>
    <w:rsid w:val="005054C4"/>
    <w:rsid w:val="00505991"/>
    <w:rsid w:val="00510E19"/>
    <w:rsid w:val="00516FCB"/>
    <w:rsid w:val="00517094"/>
    <w:rsid w:val="00517CB3"/>
    <w:rsid w:val="00520133"/>
    <w:rsid w:val="00522517"/>
    <w:rsid w:val="00523227"/>
    <w:rsid w:val="00523FCA"/>
    <w:rsid w:val="005254E4"/>
    <w:rsid w:val="00526034"/>
    <w:rsid w:val="00527B95"/>
    <w:rsid w:val="00530477"/>
    <w:rsid w:val="00530D52"/>
    <w:rsid w:val="0053100E"/>
    <w:rsid w:val="00531CCA"/>
    <w:rsid w:val="00532FB1"/>
    <w:rsid w:val="00533C44"/>
    <w:rsid w:val="00533DB7"/>
    <w:rsid w:val="00534145"/>
    <w:rsid w:val="0053575D"/>
    <w:rsid w:val="00537DA6"/>
    <w:rsid w:val="00540312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4B4"/>
    <w:rsid w:val="00562642"/>
    <w:rsid w:val="00562DD0"/>
    <w:rsid w:val="00563B95"/>
    <w:rsid w:val="005642A1"/>
    <w:rsid w:val="00564C12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7531"/>
    <w:rsid w:val="00590BD7"/>
    <w:rsid w:val="00596758"/>
    <w:rsid w:val="0059738B"/>
    <w:rsid w:val="0059793A"/>
    <w:rsid w:val="005A1910"/>
    <w:rsid w:val="005A4912"/>
    <w:rsid w:val="005A517A"/>
    <w:rsid w:val="005A5C36"/>
    <w:rsid w:val="005A7640"/>
    <w:rsid w:val="005B0A28"/>
    <w:rsid w:val="005B1490"/>
    <w:rsid w:val="005B3F5F"/>
    <w:rsid w:val="005B3F83"/>
    <w:rsid w:val="005B4A5C"/>
    <w:rsid w:val="005B553F"/>
    <w:rsid w:val="005B55CE"/>
    <w:rsid w:val="005B66EA"/>
    <w:rsid w:val="005B681E"/>
    <w:rsid w:val="005C2410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582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129F"/>
    <w:rsid w:val="00633EC4"/>
    <w:rsid w:val="006345D3"/>
    <w:rsid w:val="006360DC"/>
    <w:rsid w:val="00637B69"/>
    <w:rsid w:val="00637CB0"/>
    <w:rsid w:val="0064089F"/>
    <w:rsid w:val="00642656"/>
    <w:rsid w:val="00643FF1"/>
    <w:rsid w:val="00644FB6"/>
    <w:rsid w:val="00647976"/>
    <w:rsid w:val="006507B8"/>
    <w:rsid w:val="0065167D"/>
    <w:rsid w:val="0065210C"/>
    <w:rsid w:val="006558CE"/>
    <w:rsid w:val="00657E80"/>
    <w:rsid w:val="00660245"/>
    <w:rsid w:val="00660C73"/>
    <w:rsid w:val="00661CD6"/>
    <w:rsid w:val="006620A6"/>
    <w:rsid w:val="0066315D"/>
    <w:rsid w:val="00663F78"/>
    <w:rsid w:val="006649EA"/>
    <w:rsid w:val="00664F1C"/>
    <w:rsid w:val="006661E7"/>
    <w:rsid w:val="0066712B"/>
    <w:rsid w:val="006679DA"/>
    <w:rsid w:val="00667D73"/>
    <w:rsid w:val="00671BE2"/>
    <w:rsid w:val="00675DDA"/>
    <w:rsid w:val="00677660"/>
    <w:rsid w:val="006779B7"/>
    <w:rsid w:val="006807F9"/>
    <w:rsid w:val="00681B1A"/>
    <w:rsid w:val="00684983"/>
    <w:rsid w:val="006857C3"/>
    <w:rsid w:val="00686171"/>
    <w:rsid w:val="00686A61"/>
    <w:rsid w:val="00691FF2"/>
    <w:rsid w:val="00691FF6"/>
    <w:rsid w:val="00693787"/>
    <w:rsid w:val="00693DC1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C103D"/>
    <w:rsid w:val="006C3140"/>
    <w:rsid w:val="006C43AA"/>
    <w:rsid w:val="006C672D"/>
    <w:rsid w:val="006D0890"/>
    <w:rsid w:val="006D0BB5"/>
    <w:rsid w:val="006D7190"/>
    <w:rsid w:val="006D71E9"/>
    <w:rsid w:val="006E0435"/>
    <w:rsid w:val="006E2B6D"/>
    <w:rsid w:val="006E3054"/>
    <w:rsid w:val="006E3512"/>
    <w:rsid w:val="006E64ED"/>
    <w:rsid w:val="006F077F"/>
    <w:rsid w:val="006F16A2"/>
    <w:rsid w:val="006F2399"/>
    <w:rsid w:val="006F671D"/>
    <w:rsid w:val="007015A1"/>
    <w:rsid w:val="0070163A"/>
    <w:rsid w:val="00701E45"/>
    <w:rsid w:val="00702693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60C3"/>
    <w:rsid w:val="00716B7A"/>
    <w:rsid w:val="00717B7F"/>
    <w:rsid w:val="00720840"/>
    <w:rsid w:val="00720D29"/>
    <w:rsid w:val="007222BA"/>
    <w:rsid w:val="00724029"/>
    <w:rsid w:val="00724578"/>
    <w:rsid w:val="007248A2"/>
    <w:rsid w:val="00725A76"/>
    <w:rsid w:val="00725C6D"/>
    <w:rsid w:val="00727042"/>
    <w:rsid w:val="00727196"/>
    <w:rsid w:val="0073093F"/>
    <w:rsid w:val="00740591"/>
    <w:rsid w:val="007415B7"/>
    <w:rsid w:val="00742B50"/>
    <w:rsid w:val="007440B5"/>
    <w:rsid w:val="00744319"/>
    <w:rsid w:val="00744408"/>
    <w:rsid w:val="007446BC"/>
    <w:rsid w:val="0074529E"/>
    <w:rsid w:val="00745A07"/>
    <w:rsid w:val="00745F30"/>
    <w:rsid w:val="00754D2F"/>
    <w:rsid w:val="007570F8"/>
    <w:rsid w:val="00761C3C"/>
    <w:rsid w:val="00762A17"/>
    <w:rsid w:val="00764861"/>
    <w:rsid w:val="00766557"/>
    <w:rsid w:val="00766A3B"/>
    <w:rsid w:val="007724CF"/>
    <w:rsid w:val="00774C3B"/>
    <w:rsid w:val="00775E48"/>
    <w:rsid w:val="0077743A"/>
    <w:rsid w:val="007775F7"/>
    <w:rsid w:val="00777634"/>
    <w:rsid w:val="00780AC8"/>
    <w:rsid w:val="00780D61"/>
    <w:rsid w:val="00781EA2"/>
    <w:rsid w:val="00784B05"/>
    <w:rsid w:val="00787297"/>
    <w:rsid w:val="00791DD6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C2D00"/>
    <w:rsid w:val="007C312C"/>
    <w:rsid w:val="007C32BC"/>
    <w:rsid w:val="007C65F5"/>
    <w:rsid w:val="007C76C5"/>
    <w:rsid w:val="007D1A50"/>
    <w:rsid w:val="007D1B62"/>
    <w:rsid w:val="007D5491"/>
    <w:rsid w:val="007D633E"/>
    <w:rsid w:val="007D750E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8DF"/>
    <w:rsid w:val="007F29BC"/>
    <w:rsid w:val="007F5476"/>
    <w:rsid w:val="00800060"/>
    <w:rsid w:val="00801512"/>
    <w:rsid w:val="008030C8"/>
    <w:rsid w:val="008034A4"/>
    <w:rsid w:val="00803B99"/>
    <w:rsid w:val="008060B6"/>
    <w:rsid w:val="0080651B"/>
    <w:rsid w:val="00807607"/>
    <w:rsid w:val="008136E3"/>
    <w:rsid w:val="00813E74"/>
    <w:rsid w:val="00815542"/>
    <w:rsid w:val="008161EE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0C2C"/>
    <w:rsid w:val="00871D06"/>
    <w:rsid w:val="00871E97"/>
    <w:rsid w:val="00875FA5"/>
    <w:rsid w:val="0087600E"/>
    <w:rsid w:val="008767AC"/>
    <w:rsid w:val="00877195"/>
    <w:rsid w:val="008813EA"/>
    <w:rsid w:val="00881846"/>
    <w:rsid w:val="00883FBC"/>
    <w:rsid w:val="0088421C"/>
    <w:rsid w:val="00884BAD"/>
    <w:rsid w:val="00885362"/>
    <w:rsid w:val="008873FA"/>
    <w:rsid w:val="008905CD"/>
    <w:rsid w:val="00892437"/>
    <w:rsid w:val="00894738"/>
    <w:rsid w:val="00896DB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6804"/>
    <w:rsid w:val="008D0BF3"/>
    <w:rsid w:val="008D282F"/>
    <w:rsid w:val="008D2AF4"/>
    <w:rsid w:val="008D3E65"/>
    <w:rsid w:val="008D4E3E"/>
    <w:rsid w:val="008E1081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3124"/>
    <w:rsid w:val="009036E7"/>
    <w:rsid w:val="00904D9E"/>
    <w:rsid w:val="00905BB7"/>
    <w:rsid w:val="00907A1B"/>
    <w:rsid w:val="00910B82"/>
    <w:rsid w:val="009123E2"/>
    <w:rsid w:val="0091355D"/>
    <w:rsid w:val="00913E14"/>
    <w:rsid w:val="0091595C"/>
    <w:rsid w:val="00915B75"/>
    <w:rsid w:val="00917EE4"/>
    <w:rsid w:val="00921A81"/>
    <w:rsid w:val="0092316D"/>
    <w:rsid w:val="0092466D"/>
    <w:rsid w:val="00925B28"/>
    <w:rsid w:val="0092631B"/>
    <w:rsid w:val="0092736F"/>
    <w:rsid w:val="0092785C"/>
    <w:rsid w:val="009309AA"/>
    <w:rsid w:val="009313F0"/>
    <w:rsid w:val="00931E85"/>
    <w:rsid w:val="00932768"/>
    <w:rsid w:val="00932BCC"/>
    <w:rsid w:val="00933EC7"/>
    <w:rsid w:val="0093403D"/>
    <w:rsid w:val="00942E21"/>
    <w:rsid w:val="00945514"/>
    <w:rsid w:val="009479FA"/>
    <w:rsid w:val="009519D4"/>
    <w:rsid w:val="00952596"/>
    <w:rsid w:val="00952C91"/>
    <w:rsid w:val="009563AC"/>
    <w:rsid w:val="00956C0B"/>
    <w:rsid w:val="00956D66"/>
    <w:rsid w:val="0096257D"/>
    <w:rsid w:val="009630FC"/>
    <w:rsid w:val="00963899"/>
    <w:rsid w:val="00963C17"/>
    <w:rsid w:val="00964363"/>
    <w:rsid w:val="009646EF"/>
    <w:rsid w:val="00966497"/>
    <w:rsid w:val="009666D7"/>
    <w:rsid w:val="00966958"/>
    <w:rsid w:val="00966DC9"/>
    <w:rsid w:val="00967C58"/>
    <w:rsid w:val="00967F98"/>
    <w:rsid w:val="00973E47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153F"/>
    <w:rsid w:val="009A43DB"/>
    <w:rsid w:val="009A5B53"/>
    <w:rsid w:val="009A5DBE"/>
    <w:rsid w:val="009A648C"/>
    <w:rsid w:val="009A6964"/>
    <w:rsid w:val="009A7D2D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51A7"/>
    <w:rsid w:val="009C52F9"/>
    <w:rsid w:val="009C590F"/>
    <w:rsid w:val="009C6C5C"/>
    <w:rsid w:val="009C6FB8"/>
    <w:rsid w:val="009C7C8E"/>
    <w:rsid w:val="009D1BD9"/>
    <w:rsid w:val="009D2AEA"/>
    <w:rsid w:val="009D4116"/>
    <w:rsid w:val="009D622F"/>
    <w:rsid w:val="009E2017"/>
    <w:rsid w:val="009E4A0E"/>
    <w:rsid w:val="009F1171"/>
    <w:rsid w:val="009F248C"/>
    <w:rsid w:val="009F36A7"/>
    <w:rsid w:val="009F3E05"/>
    <w:rsid w:val="009F496C"/>
    <w:rsid w:val="009F6CE6"/>
    <w:rsid w:val="009F7DF9"/>
    <w:rsid w:val="00A00725"/>
    <w:rsid w:val="00A01091"/>
    <w:rsid w:val="00A01908"/>
    <w:rsid w:val="00A01955"/>
    <w:rsid w:val="00A0308E"/>
    <w:rsid w:val="00A047CD"/>
    <w:rsid w:val="00A04C15"/>
    <w:rsid w:val="00A055D8"/>
    <w:rsid w:val="00A05863"/>
    <w:rsid w:val="00A06A3D"/>
    <w:rsid w:val="00A075AD"/>
    <w:rsid w:val="00A07732"/>
    <w:rsid w:val="00A12144"/>
    <w:rsid w:val="00A128FB"/>
    <w:rsid w:val="00A13285"/>
    <w:rsid w:val="00A13E27"/>
    <w:rsid w:val="00A158B2"/>
    <w:rsid w:val="00A168CE"/>
    <w:rsid w:val="00A170A3"/>
    <w:rsid w:val="00A213EA"/>
    <w:rsid w:val="00A24159"/>
    <w:rsid w:val="00A27B1A"/>
    <w:rsid w:val="00A31BDE"/>
    <w:rsid w:val="00A32168"/>
    <w:rsid w:val="00A325F4"/>
    <w:rsid w:val="00A32C2B"/>
    <w:rsid w:val="00A33A19"/>
    <w:rsid w:val="00A33AFA"/>
    <w:rsid w:val="00A33D79"/>
    <w:rsid w:val="00A36366"/>
    <w:rsid w:val="00A36656"/>
    <w:rsid w:val="00A40B33"/>
    <w:rsid w:val="00A419A5"/>
    <w:rsid w:val="00A42054"/>
    <w:rsid w:val="00A44BD9"/>
    <w:rsid w:val="00A44CDD"/>
    <w:rsid w:val="00A47A50"/>
    <w:rsid w:val="00A506D4"/>
    <w:rsid w:val="00A506FB"/>
    <w:rsid w:val="00A518CA"/>
    <w:rsid w:val="00A5206C"/>
    <w:rsid w:val="00A540B3"/>
    <w:rsid w:val="00A55270"/>
    <w:rsid w:val="00A55BE7"/>
    <w:rsid w:val="00A5792E"/>
    <w:rsid w:val="00A623C5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E3D"/>
    <w:rsid w:val="00A908F7"/>
    <w:rsid w:val="00A9127B"/>
    <w:rsid w:val="00A94169"/>
    <w:rsid w:val="00A948EA"/>
    <w:rsid w:val="00A96DA6"/>
    <w:rsid w:val="00A979E6"/>
    <w:rsid w:val="00AA01C5"/>
    <w:rsid w:val="00AA3F66"/>
    <w:rsid w:val="00AA445B"/>
    <w:rsid w:val="00AA5195"/>
    <w:rsid w:val="00AA62C7"/>
    <w:rsid w:val="00AA6E02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6360"/>
    <w:rsid w:val="00AD6FC7"/>
    <w:rsid w:val="00AD798A"/>
    <w:rsid w:val="00AE3D4D"/>
    <w:rsid w:val="00AE59BA"/>
    <w:rsid w:val="00AF1F1C"/>
    <w:rsid w:val="00AF4DB7"/>
    <w:rsid w:val="00AF5739"/>
    <w:rsid w:val="00B0105D"/>
    <w:rsid w:val="00B011D4"/>
    <w:rsid w:val="00B01951"/>
    <w:rsid w:val="00B02142"/>
    <w:rsid w:val="00B03CB0"/>
    <w:rsid w:val="00B057EE"/>
    <w:rsid w:val="00B062DD"/>
    <w:rsid w:val="00B10081"/>
    <w:rsid w:val="00B10952"/>
    <w:rsid w:val="00B14F86"/>
    <w:rsid w:val="00B16A46"/>
    <w:rsid w:val="00B21366"/>
    <w:rsid w:val="00B22D3C"/>
    <w:rsid w:val="00B2329D"/>
    <w:rsid w:val="00B27069"/>
    <w:rsid w:val="00B3352E"/>
    <w:rsid w:val="00B3656D"/>
    <w:rsid w:val="00B40120"/>
    <w:rsid w:val="00B40F73"/>
    <w:rsid w:val="00B44159"/>
    <w:rsid w:val="00B47043"/>
    <w:rsid w:val="00B503B5"/>
    <w:rsid w:val="00B50A5D"/>
    <w:rsid w:val="00B5179F"/>
    <w:rsid w:val="00B517EA"/>
    <w:rsid w:val="00B52486"/>
    <w:rsid w:val="00B54C17"/>
    <w:rsid w:val="00B55B36"/>
    <w:rsid w:val="00B56374"/>
    <w:rsid w:val="00B57CFA"/>
    <w:rsid w:val="00B6153F"/>
    <w:rsid w:val="00B61F18"/>
    <w:rsid w:val="00B62467"/>
    <w:rsid w:val="00B6443E"/>
    <w:rsid w:val="00B64A6E"/>
    <w:rsid w:val="00B65EFF"/>
    <w:rsid w:val="00B67CCD"/>
    <w:rsid w:val="00B70823"/>
    <w:rsid w:val="00B72125"/>
    <w:rsid w:val="00B72BCB"/>
    <w:rsid w:val="00B73304"/>
    <w:rsid w:val="00B73915"/>
    <w:rsid w:val="00B76E80"/>
    <w:rsid w:val="00B77B56"/>
    <w:rsid w:val="00B809A2"/>
    <w:rsid w:val="00B826FA"/>
    <w:rsid w:val="00B859B3"/>
    <w:rsid w:val="00B86464"/>
    <w:rsid w:val="00B86D69"/>
    <w:rsid w:val="00B90672"/>
    <w:rsid w:val="00B91340"/>
    <w:rsid w:val="00B937D0"/>
    <w:rsid w:val="00B95156"/>
    <w:rsid w:val="00B952AE"/>
    <w:rsid w:val="00B97A05"/>
    <w:rsid w:val="00BA0C4D"/>
    <w:rsid w:val="00BA1603"/>
    <w:rsid w:val="00BA1E60"/>
    <w:rsid w:val="00BA236D"/>
    <w:rsid w:val="00BA343C"/>
    <w:rsid w:val="00BA6C20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19A8"/>
    <w:rsid w:val="00BC3429"/>
    <w:rsid w:val="00BC3B27"/>
    <w:rsid w:val="00BC4377"/>
    <w:rsid w:val="00BC6133"/>
    <w:rsid w:val="00BC6FC1"/>
    <w:rsid w:val="00BD3D24"/>
    <w:rsid w:val="00BE1466"/>
    <w:rsid w:val="00BE1F01"/>
    <w:rsid w:val="00BE29A5"/>
    <w:rsid w:val="00BE2B4E"/>
    <w:rsid w:val="00BE4268"/>
    <w:rsid w:val="00BE46C3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BF748E"/>
    <w:rsid w:val="00C00B08"/>
    <w:rsid w:val="00C06B12"/>
    <w:rsid w:val="00C06F1E"/>
    <w:rsid w:val="00C076FF"/>
    <w:rsid w:val="00C10760"/>
    <w:rsid w:val="00C13587"/>
    <w:rsid w:val="00C13596"/>
    <w:rsid w:val="00C138BD"/>
    <w:rsid w:val="00C15162"/>
    <w:rsid w:val="00C15975"/>
    <w:rsid w:val="00C178DE"/>
    <w:rsid w:val="00C200D1"/>
    <w:rsid w:val="00C21670"/>
    <w:rsid w:val="00C21D0B"/>
    <w:rsid w:val="00C21FD2"/>
    <w:rsid w:val="00C234D9"/>
    <w:rsid w:val="00C23541"/>
    <w:rsid w:val="00C25630"/>
    <w:rsid w:val="00C26356"/>
    <w:rsid w:val="00C272BE"/>
    <w:rsid w:val="00C317E7"/>
    <w:rsid w:val="00C32007"/>
    <w:rsid w:val="00C32A53"/>
    <w:rsid w:val="00C338D7"/>
    <w:rsid w:val="00C33B6B"/>
    <w:rsid w:val="00C37764"/>
    <w:rsid w:val="00C37B90"/>
    <w:rsid w:val="00C40E49"/>
    <w:rsid w:val="00C42B58"/>
    <w:rsid w:val="00C43879"/>
    <w:rsid w:val="00C4595F"/>
    <w:rsid w:val="00C462B1"/>
    <w:rsid w:val="00C462FA"/>
    <w:rsid w:val="00C53E19"/>
    <w:rsid w:val="00C541DA"/>
    <w:rsid w:val="00C56F41"/>
    <w:rsid w:val="00C571D2"/>
    <w:rsid w:val="00C60D38"/>
    <w:rsid w:val="00C61489"/>
    <w:rsid w:val="00C61CD1"/>
    <w:rsid w:val="00C62BBF"/>
    <w:rsid w:val="00C63AE5"/>
    <w:rsid w:val="00C64340"/>
    <w:rsid w:val="00C662E0"/>
    <w:rsid w:val="00C66928"/>
    <w:rsid w:val="00C66B01"/>
    <w:rsid w:val="00C66D2B"/>
    <w:rsid w:val="00C67AEB"/>
    <w:rsid w:val="00C67FC5"/>
    <w:rsid w:val="00C71710"/>
    <w:rsid w:val="00C72D10"/>
    <w:rsid w:val="00C73598"/>
    <w:rsid w:val="00C73C53"/>
    <w:rsid w:val="00C73E9A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737F"/>
    <w:rsid w:val="00CA7B70"/>
    <w:rsid w:val="00CB195B"/>
    <w:rsid w:val="00CB4AE0"/>
    <w:rsid w:val="00CC1C9C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5472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C7B"/>
    <w:rsid w:val="00D24C39"/>
    <w:rsid w:val="00D26A44"/>
    <w:rsid w:val="00D2760F"/>
    <w:rsid w:val="00D279F4"/>
    <w:rsid w:val="00D31B97"/>
    <w:rsid w:val="00D31C37"/>
    <w:rsid w:val="00D331D1"/>
    <w:rsid w:val="00D3431B"/>
    <w:rsid w:val="00D4067A"/>
    <w:rsid w:val="00D44FB8"/>
    <w:rsid w:val="00D450B4"/>
    <w:rsid w:val="00D45E71"/>
    <w:rsid w:val="00D4680C"/>
    <w:rsid w:val="00D46879"/>
    <w:rsid w:val="00D4721A"/>
    <w:rsid w:val="00D47FC5"/>
    <w:rsid w:val="00D506ED"/>
    <w:rsid w:val="00D50928"/>
    <w:rsid w:val="00D5181A"/>
    <w:rsid w:val="00D52873"/>
    <w:rsid w:val="00D54374"/>
    <w:rsid w:val="00D54757"/>
    <w:rsid w:val="00D555A6"/>
    <w:rsid w:val="00D57CCC"/>
    <w:rsid w:val="00D63EA6"/>
    <w:rsid w:val="00D63ED7"/>
    <w:rsid w:val="00D65B85"/>
    <w:rsid w:val="00D705B3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236D"/>
    <w:rsid w:val="00DA23E8"/>
    <w:rsid w:val="00DA49B5"/>
    <w:rsid w:val="00DA6A6F"/>
    <w:rsid w:val="00DB07D8"/>
    <w:rsid w:val="00DB09F5"/>
    <w:rsid w:val="00DB1546"/>
    <w:rsid w:val="00DB7FB0"/>
    <w:rsid w:val="00DC0694"/>
    <w:rsid w:val="00DC20A0"/>
    <w:rsid w:val="00DC2329"/>
    <w:rsid w:val="00DC434F"/>
    <w:rsid w:val="00DC615C"/>
    <w:rsid w:val="00DD106A"/>
    <w:rsid w:val="00DE05E8"/>
    <w:rsid w:val="00DE28C3"/>
    <w:rsid w:val="00DE375A"/>
    <w:rsid w:val="00DE411E"/>
    <w:rsid w:val="00DF03BF"/>
    <w:rsid w:val="00DF0D25"/>
    <w:rsid w:val="00DF0EE7"/>
    <w:rsid w:val="00DF1739"/>
    <w:rsid w:val="00DF2078"/>
    <w:rsid w:val="00DF3E46"/>
    <w:rsid w:val="00DF60D5"/>
    <w:rsid w:val="00DF694F"/>
    <w:rsid w:val="00DF6C4E"/>
    <w:rsid w:val="00DF745E"/>
    <w:rsid w:val="00DF7A66"/>
    <w:rsid w:val="00E023F8"/>
    <w:rsid w:val="00E05634"/>
    <w:rsid w:val="00E05EAA"/>
    <w:rsid w:val="00E0705D"/>
    <w:rsid w:val="00E10909"/>
    <w:rsid w:val="00E13329"/>
    <w:rsid w:val="00E14AD4"/>
    <w:rsid w:val="00E15AEF"/>
    <w:rsid w:val="00E1668A"/>
    <w:rsid w:val="00E172F2"/>
    <w:rsid w:val="00E17E30"/>
    <w:rsid w:val="00E207D9"/>
    <w:rsid w:val="00E22345"/>
    <w:rsid w:val="00E228FE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164"/>
    <w:rsid w:val="00E379C9"/>
    <w:rsid w:val="00E4030C"/>
    <w:rsid w:val="00E40CDB"/>
    <w:rsid w:val="00E41733"/>
    <w:rsid w:val="00E439D8"/>
    <w:rsid w:val="00E449DA"/>
    <w:rsid w:val="00E44D35"/>
    <w:rsid w:val="00E457C2"/>
    <w:rsid w:val="00E53EEE"/>
    <w:rsid w:val="00E555B9"/>
    <w:rsid w:val="00E5574F"/>
    <w:rsid w:val="00E63BB7"/>
    <w:rsid w:val="00E63BF1"/>
    <w:rsid w:val="00E65058"/>
    <w:rsid w:val="00E659A2"/>
    <w:rsid w:val="00E6699D"/>
    <w:rsid w:val="00E67BD4"/>
    <w:rsid w:val="00E7143E"/>
    <w:rsid w:val="00E726CC"/>
    <w:rsid w:val="00E7591A"/>
    <w:rsid w:val="00E76668"/>
    <w:rsid w:val="00E76FB4"/>
    <w:rsid w:val="00E820C5"/>
    <w:rsid w:val="00E82705"/>
    <w:rsid w:val="00E83382"/>
    <w:rsid w:val="00E83707"/>
    <w:rsid w:val="00E8432F"/>
    <w:rsid w:val="00E84EC6"/>
    <w:rsid w:val="00E90518"/>
    <w:rsid w:val="00E919F2"/>
    <w:rsid w:val="00E91E35"/>
    <w:rsid w:val="00E93AA1"/>
    <w:rsid w:val="00E94B06"/>
    <w:rsid w:val="00E95262"/>
    <w:rsid w:val="00EA15CD"/>
    <w:rsid w:val="00EA1A1D"/>
    <w:rsid w:val="00EA1E5F"/>
    <w:rsid w:val="00EA3D8D"/>
    <w:rsid w:val="00EA6368"/>
    <w:rsid w:val="00EA63E1"/>
    <w:rsid w:val="00EA7C49"/>
    <w:rsid w:val="00EA7EC6"/>
    <w:rsid w:val="00EB18CB"/>
    <w:rsid w:val="00EB198A"/>
    <w:rsid w:val="00EB2E3B"/>
    <w:rsid w:val="00EB3931"/>
    <w:rsid w:val="00EB46D2"/>
    <w:rsid w:val="00EB5AD9"/>
    <w:rsid w:val="00EB5CB3"/>
    <w:rsid w:val="00EB5EBB"/>
    <w:rsid w:val="00EB67CF"/>
    <w:rsid w:val="00EB717D"/>
    <w:rsid w:val="00EC1087"/>
    <w:rsid w:val="00EC14E9"/>
    <w:rsid w:val="00EC2803"/>
    <w:rsid w:val="00ED00C5"/>
    <w:rsid w:val="00ED40CA"/>
    <w:rsid w:val="00ED410D"/>
    <w:rsid w:val="00ED4AEE"/>
    <w:rsid w:val="00ED4BA8"/>
    <w:rsid w:val="00ED6AD6"/>
    <w:rsid w:val="00EE1FD6"/>
    <w:rsid w:val="00EE3BA6"/>
    <w:rsid w:val="00EE3F80"/>
    <w:rsid w:val="00EE48C0"/>
    <w:rsid w:val="00EE5B98"/>
    <w:rsid w:val="00EE60AD"/>
    <w:rsid w:val="00EE6870"/>
    <w:rsid w:val="00EE7E9B"/>
    <w:rsid w:val="00EF39BD"/>
    <w:rsid w:val="00EF666E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24D"/>
    <w:rsid w:val="00F143BB"/>
    <w:rsid w:val="00F14D87"/>
    <w:rsid w:val="00F150AE"/>
    <w:rsid w:val="00F17303"/>
    <w:rsid w:val="00F17D68"/>
    <w:rsid w:val="00F20EC7"/>
    <w:rsid w:val="00F2207D"/>
    <w:rsid w:val="00F2363D"/>
    <w:rsid w:val="00F25353"/>
    <w:rsid w:val="00F256DA"/>
    <w:rsid w:val="00F25D75"/>
    <w:rsid w:val="00F26929"/>
    <w:rsid w:val="00F269B1"/>
    <w:rsid w:val="00F306E2"/>
    <w:rsid w:val="00F30C49"/>
    <w:rsid w:val="00F31ABA"/>
    <w:rsid w:val="00F32B78"/>
    <w:rsid w:val="00F34484"/>
    <w:rsid w:val="00F3465F"/>
    <w:rsid w:val="00F35B4C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05F8"/>
    <w:rsid w:val="00F537C7"/>
    <w:rsid w:val="00F55A6F"/>
    <w:rsid w:val="00F55E2B"/>
    <w:rsid w:val="00F6076B"/>
    <w:rsid w:val="00F60CE2"/>
    <w:rsid w:val="00F60D24"/>
    <w:rsid w:val="00F616F5"/>
    <w:rsid w:val="00F616F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752AE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3ABE"/>
    <w:rsid w:val="00FB4E45"/>
    <w:rsid w:val="00FB65D9"/>
    <w:rsid w:val="00FB6D18"/>
    <w:rsid w:val="00FC22BB"/>
    <w:rsid w:val="00FC3068"/>
    <w:rsid w:val="00FC350F"/>
    <w:rsid w:val="00FC3A0A"/>
    <w:rsid w:val="00FC61C8"/>
    <w:rsid w:val="00FD6749"/>
    <w:rsid w:val="00FD7C3C"/>
    <w:rsid w:val="00FD7D8A"/>
    <w:rsid w:val="00FE0261"/>
    <w:rsid w:val="00FE5069"/>
    <w:rsid w:val="00FE5329"/>
    <w:rsid w:val="00FE756C"/>
    <w:rsid w:val="00FF1EB0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ABE592-A4F1-4AA3-8BF6-25A4E957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071CB-3F31-4B83-BFE3-1DB705F1E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Links>
    <vt:vector size="36" baseType="variant"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_Toc216684109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_Toc216684108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_Toc216684107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_Toc216684106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_Toc216684105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2025-12-24T02:55:00Z</dcterms:created>
  <dcterms:modified xsi:type="dcterms:W3CDTF">2025-12-24T02:55:00Z</dcterms:modified>
</cp:coreProperties>
</file>