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F2189E">
        <w:rPr>
          <w:rFonts w:hint="eastAsia"/>
        </w:rPr>
        <w:t>3</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F2189E">
        <w:rPr>
          <w:rFonts w:hint="eastAsia"/>
          <w:color w:val="000000"/>
        </w:rPr>
        <w:t>3</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F2189E">
        <w:rPr>
          <w:rFonts w:hint="eastAsia"/>
        </w:rPr>
        <w:t>3</w:t>
      </w:r>
      <w:r w:rsidR="008C4B3A" w:rsidRPr="00471701">
        <w:rPr>
          <w:rFonts w:hint="eastAsia"/>
        </w:rPr>
        <w:t>年度歲入決算數</w:t>
      </w:r>
      <w:r w:rsidR="00631C91">
        <w:rPr>
          <w:rFonts w:hint="eastAsia"/>
        </w:rPr>
        <w:t>3.6</w:t>
      </w:r>
      <w:r w:rsidR="00D10D1B">
        <w:rPr>
          <w:rFonts w:hint="eastAsia"/>
        </w:rPr>
        <w:t>0</w:t>
      </w:r>
      <w:r w:rsidR="008C4B3A" w:rsidRPr="00471701">
        <w:rPr>
          <w:rFonts w:hint="eastAsia"/>
        </w:rPr>
        <w:t>億元，較法定預算數</w:t>
      </w:r>
      <w:r w:rsidR="00D10D1B">
        <w:rPr>
          <w:rFonts w:hint="eastAsia"/>
        </w:rPr>
        <w:t>2.5</w:t>
      </w:r>
      <w:r w:rsidR="00AD2138">
        <w:rPr>
          <w:rFonts w:hint="eastAsia"/>
        </w:rPr>
        <w:t>4</w:t>
      </w:r>
      <w:r w:rsidR="008C4B3A" w:rsidRPr="00471701">
        <w:rPr>
          <w:rFonts w:hint="eastAsia"/>
        </w:rPr>
        <w:t>億元增加</w:t>
      </w:r>
      <w:r w:rsidR="00AD2138">
        <w:rPr>
          <w:rFonts w:hint="eastAsia"/>
        </w:rPr>
        <w:t>1</w:t>
      </w:r>
      <w:r w:rsidR="00D10D1B">
        <w:rPr>
          <w:rFonts w:hint="eastAsia"/>
        </w:rPr>
        <w:t>.06</w:t>
      </w:r>
      <w:r w:rsidR="008C4B3A" w:rsidRPr="00471701">
        <w:rPr>
          <w:rFonts w:hint="eastAsia"/>
        </w:rPr>
        <w:t>億元</w:t>
      </w:r>
      <w:r w:rsidR="00A827BF">
        <w:rPr>
          <w:rFonts w:hint="eastAsia"/>
        </w:rPr>
        <w:t>(</w:t>
      </w:r>
      <w:r w:rsidR="008C4B3A" w:rsidRPr="00471701">
        <w:rPr>
          <w:rFonts w:hint="eastAsia"/>
        </w:rPr>
        <w:t>達成率</w:t>
      </w:r>
      <w:r w:rsidR="002A0F80">
        <w:rPr>
          <w:rFonts w:hint="eastAsia"/>
        </w:rPr>
        <w:t>1</w:t>
      </w:r>
      <w:r w:rsidR="00D10D1B">
        <w:rPr>
          <w:rFonts w:hint="eastAsia"/>
        </w:rPr>
        <w:t>41.67</w:t>
      </w:r>
      <w:r w:rsidR="008C4B3A" w:rsidRPr="00471701">
        <w:rPr>
          <w:rFonts w:hint="eastAsia"/>
        </w:rPr>
        <w:t>%</w:t>
      </w:r>
      <w:r w:rsidR="00A827BF">
        <w:rPr>
          <w:rFonts w:hint="eastAsia"/>
        </w:rPr>
        <w:t>)</w:t>
      </w:r>
      <w:r w:rsidR="008C4B3A" w:rsidRPr="00471701">
        <w:rPr>
          <w:rFonts w:hint="eastAsia"/>
        </w:rPr>
        <w:t>；歲出預算數</w:t>
      </w:r>
      <w:r w:rsidR="00D10D1B">
        <w:rPr>
          <w:rFonts w:hint="eastAsia"/>
        </w:rPr>
        <w:t>261.27</w:t>
      </w:r>
      <w:r w:rsidR="008C4B3A" w:rsidRPr="00471701">
        <w:rPr>
          <w:rFonts w:hint="eastAsia"/>
        </w:rPr>
        <w:t>億元，決算審定數</w:t>
      </w:r>
      <w:r w:rsidR="00D10D1B">
        <w:rPr>
          <w:rFonts w:hint="eastAsia"/>
        </w:rPr>
        <w:t>257.58</w:t>
      </w:r>
      <w:r w:rsidR="008C4B3A" w:rsidRPr="00471701">
        <w:rPr>
          <w:rFonts w:hint="eastAsia"/>
        </w:rPr>
        <w:t>億元</w:t>
      </w:r>
      <w:r w:rsidR="00A827BF">
        <w:rPr>
          <w:rFonts w:hint="eastAsia"/>
        </w:rPr>
        <w:t>(執行</w:t>
      </w:r>
      <w:r w:rsidR="008C4B3A" w:rsidRPr="00471701">
        <w:rPr>
          <w:rFonts w:hint="eastAsia"/>
        </w:rPr>
        <w:t>率</w:t>
      </w:r>
      <w:r w:rsidR="002A0F80">
        <w:rPr>
          <w:rFonts w:hint="eastAsia"/>
        </w:rPr>
        <w:t>9</w:t>
      </w:r>
      <w:r w:rsidR="00D10D1B">
        <w:rPr>
          <w:rFonts w:hint="eastAsia"/>
        </w:rPr>
        <w:t>8.59</w:t>
      </w:r>
      <w:r w:rsidR="008C4B3A" w:rsidRPr="00471701">
        <w:rPr>
          <w:rFonts w:hint="eastAsia"/>
        </w:rPr>
        <w:t>%</w:t>
      </w:r>
      <w:r w:rsidR="00A827BF">
        <w:rPr>
          <w:rFonts w:hint="eastAsia"/>
        </w:rPr>
        <w:t>)</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w:t>
      </w:r>
      <w:r w:rsidR="007104AE" w:rsidRPr="00471701">
        <w:rPr>
          <w:rFonts w:hint="eastAsia"/>
        </w:rPr>
        <w:t>國立文化機構作業基金11</w:t>
      </w:r>
      <w:r w:rsidR="00241EE1">
        <w:rPr>
          <w:rFonts w:hint="eastAsia"/>
        </w:rPr>
        <w:t>3</w:t>
      </w:r>
      <w:r w:rsidR="007104AE" w:rsidRPr="00471701">
        <w:rPr>
          <w:rFonts w:hint="eastAsia"/>
        </w:rPr>
        <w:t>年度收入決算數</w:t>
      </w:r>
      <w:r w:rsidR="00241EE1">
        <w:rPr>
          <w:rFonts w:hint="eastAsia"/>
        </w:rPr>
        <w:t>7.77</w:t>
      </w:r>
      <w:r w:rsidR="007104AE" w:rsidRPr="00471701">
        <w:rPr>
          <w:rFonts w:hint="eastAsia"/>
        </w:rPr>
        <w:t>億元，較預算數8.</w:t>
      </w:r>
      <w:r w:rsidR="00241EE1">
        <w:rPr>
          <w:rFonts w:hint="eastAsia"/>
        </w:rPr>
        <w:t>42</w:t>
      </w:r>
      <w:r w:rsidR="007104AE" w:rsidRPr="00471701">
        <w:rPr>
          <w:rFonts w:hint="eastAsia"/>
        </w:rPr>
        <w:t>億元</w:t>
      </w:r>
      <w:r w:rsidR="00241EE1">
        <w:rPr>
          <w:rFonts w:hint="eastAsia"/>
        </w:rPr>
        <w:t>減少</w:t>
      </w:r>
      <w:r w:rsidR="007104AE" w:rsidRPr="00471701">
        <w:rPr>
          <w:rFonts w:hint="eastAsia"/>
        </w:rPr>
        <w:t>0.</w:t>
      </w:r>
      <w:r w:rsidR="00241EE1">
        <w:rPr>
          <w:rFonts w:hint="eastAsia"/>
        </w:rPr>
        <w:t>65</w:t>
      </w:r>
      <w:r w:rsidR="007104AE" w:rsidRPr="00471701">
        <w:rPr>
          <w:rFonts w:hint="eastAsia"/>
        </w:rPr>
        <w:t>億元</w:t>
      </w:r>
      <w:r w:rsidR="007104AE">
        <w:rPr>
          <w:rFonts w:hint="eastAsia"/>
        </w:rPr>
        <w:t>，</w:t>
      </w:r>
      <w:r w:rsidR="007104AE" w:rsidRPr="00471701">
        <w:rPr>
          <w:rFonts w:hint="eastAsia"/>
        </w:rPr>
        <w:t>達成率</w:t>
      </w:r>
      <w:r w:rsidR="00241EE1">
        <w:rPr>
          <w:rFonts w:hint="eastAsia"/>
        </w:rPr>
        <w:t>92.2</w:t>
      </w:r>
      <w:r w:rsidR="007104AE" w:rsidRPr="00471701">
        <w:rPr>
          <w:rFonts w:hint="eastAsia"/>
        </w:rPr>
        <w:t>8%；支出決算數7.</w:t>
      </w:r>
      <w:r w:rsidR="00241EE1">
        <w:rPr>
          <w:rFonts w:hint="eastAsia"/>
        </w:rPr>
        <w:t>84</w:t>
      </w:r>
      <w:r w:rsidR="007104AE" w:rsidRPr="00471701">
        <w:rPr>
          <w:rFonts w:hint="eastAsia"/>
        </w:rPr>
        <w:t>億元，較預算數9.</w:t>
      </w:r>
      <w:r w:rsidR="00241EE1">
        <w:rPr>
          <w:rFonts w:hint="eastAsia"/>
        </w:rPr>
        <w:t>64</w:t>
      </w:r>
      <w:r w:rsidR="007104AE" w:rsidRPr="00471701">
        <w:rPr>
          <w:rFonts w:hint="eastAsia"/>
        </w:rPr>
        <w:t>億元減少1.</w:t>
      </w:r>
      <w:r w:rsidR="00241EE1">
        <w:rPr>
          <w:rFonts w:hint="eastAsia"/>
        </w:rPr>
        <w:t>80</w:t>
      </w:r>
      <w:r w:rsidR="007104AE" w:rsidRPr="00471701">
        <w:rPr>
          <w:rFonts w:hint="eastAsia"/>
        </w:rPr>
        <w:t>億元</w:t>
      </w:r>
      <w:r w:rsidR="007104AE">
        <w:rPr>
          <w:rFonts w:hint="eastAsia"/>
        </w:rPr>
        <w:t>，</w:t>
      </w:r>
      <w:r w:rsidR="007104AE" w:rsidRPr="00471701">
        <w:rPr>
          <w:rFonts w:hint="eastAsia"/>
        </w:rPr>
        <w:t>執行率</w:t>
      </w:r>
      <w:r w:rsidR="00241EE1">
        <w:rPr>
          <w:rFonts w:hint="eastAsia"/>
        </w:rPr>
        <w:t>81.33</w:t>
      </w:r>
      <w:r w:rsidR="007104AE" w:rsidRPr="00471701">
        <w:rPr>
          <w:rFonts w:hint="eastAsia"/>
        </w:rPr>
        <w:t>%</w:t>
      </w:r>
      <w:r w:rsidR="007104AE">
        <w:rPr>
          <w:rFonts w:hint="eastAsia"/>
        </w:rPr>
        <w:t>。</w:t>
      </w:r>
      <w:r w:rsidR="002A0F80">
        <w:t>文化發展基金</w:t>
      </w:r>
      <w:r w:rsidR="002A0F80" w:rsidRPr="002A34E8">
        <w:rPr>
          <w:rFonts w:hint="eastAsia"/>
          <w:color w:val="000000"/>
        </w:rPr>
        <w:t>11</w:t>
      </w:r>
      <w:r w:rsidR="002A0F80">
        <w:rPr>
          <w:rFonts w:hint="eastAsia"/>
          <w:color w:val="000000"/>
        </w:rPr>
        <w:t>3</w:t>
      </w:r>
      <w:r w:rsidR="002A0F80" w:rsidRPr="002A34E8">
        <w:rPr>
          <w:rFonts w:hint="eastAsia"/>
          <w:color w:val="000000"/>
        </w:rPr>
        <w:t>年度基金來源決算數</w:t>
      </w:r>
      <w:r w:rsidR="002A0F80">
        <w:rPr>
          <w:rFonts w:hint="eastAsia"/>
          <w:color w:val="000000"/>
        </w:rPr>
        <w:t>4</w:t>
      </w:r>
      <w:r w:rsidR="002A0F80" w:rsidRPr="002A34E8">
        <w:rPr>
          <w:rFonts w:hint="eastAsia"/>
          <w:color w:val="000000"/>
        </w:rPr>
        <w:t>.</w:t>
      </w:r>
      <w:r w:rsidR="002A0F80">
        <w:rPr>
          <w:rFonts w:hint="eastAsia"/>
          <w:color w:val="000000"/>
        </w:rPr>
        <w:t>18</w:t>
      </w:r>
      <w:r w:rsidR="002A0F80" w:rsidRPr="002A34E8">
        <w:rPr>
          <w:rFonts w:hint="eastAsia"/>
          <w:color w:val="000000"/>
        </w:rPr>
        <w:t>億元，較預算數</w:t>
      </w:r>
      <w:r w:rsidR="002A0F80">
        <w:rPr>
          <w:rFonts w:hint="eastAsia"/>
          <w:color w:val="000000"/>
        </w:rPr>
        <w:t>0.81</w:t>
      </w:r>
      <w:r w:rsidR="002A0F80" w:rsidRPr="002A34E8">
        <w:rPr>
          <w:rFonts w:hint="eastAsia"/>
          <w:color w:val="000000"/>
        </w:rPr>
        <w:t>億元</w:t>
      </w:r>
      <w:r w:rsidR="002A0F80">
        <w:rPr>
          <w:rFonts w:hint="eastAsia"/>
          <w:color w:val="000000"/>
        </w:rPr>
        <w:t>增加3.37</w:t>
      </w:r>
      <w:r w:rsidR="002A0F80" w:rsidRPr="002A34E8">
        <w:rPr>
          <w:rFonts w:hint="eastAsia"/>
          <w:color w:val="000000"/>
        </w:rPr>
        <w:t>億元</w:t>
      </w:r>
      <w:r w:rsidR="00A827BF">
        <w:rPr>
          <w:rFonts w:hint="eastAsia"/>
          <w:color w:val="000000"/>
        </w:rPr>
        <w:t>(</w:t>
      </w:r>
      <w:r w:rsidR="002A0F80">
        <w:rPr>
          <w:rFonts w:hint="eastAsia"/>
          <w:color w:val="000000"/>
        </w:rPr>
        <w:t>達成率516.05</w:t>
      </w:r>
      <w:r w:rsidR="002A0F80" w:rsidRPr="002A34E8">
        <w:rPr>
          <w:rFonts w:hint="eastAsia"/>
          <w:color w:val="000000"/>
        </w:rPr>
        <w:t>%</w:t>
      </w:r>
      <w:r w:rsidR="00A827BF">
        <w:rPr>
          <w:rFonts w:hint="eastAsia"/>
          <w:color w:val="000000"/>
        </w:rPr>
        <w:t>)</w:t>
      </w:r>
      <w:r w:rsidR="002A0F80" w:rsidRPr="002A34E8">
        <w:rPr>
          <w:rFonts w:hint="eastAsia"/>
          <w:color w:val="000000"/>
        </w:rPr>
        <w:t>；基金用途</w:t>
      </w:r>
      <w:r w:rsidR="002A0F80" w:rsidRPr="008B3AB7">
        <w:rPr>
          <w:rFonts w:hint="eastAsia"/>
          <w:color w:val="000000"/>
        </w:rPr>
        <w:t>決算數</w:t>
      </w:r>
      <w:r w:rsidR="002A0F80">
        <w:rPr>
          <w:rFonts w:hint="eastAsia"/>
          <w:color w:val="000000"/>
        </w:rPr>
        <w:t>0.35億元</w:t>
      </w:r>
      <w:r w:rsidR="002A0F80" w:rsidRPr="008B3AB7">
        <w:rPr>
          <w:rFonts w:hint="eastAsia"/>
          <w:color w:val="000000"/>
        </w:rPr>
        <w:t>，較預算數</w:t>
      </w:r>
      <w:r w:rsidR="002A0F80">
        <w:rPr>
          <w:rFonts w:hint="eastAsia"/>
          <w:color w:val="000000"/>
        </w:rPr>
        <w:t>0.54億元</w:t>
      </w:r>
      <w:r w:rsidR="002A0F80" w:rsidRPr="008B3AB7">
        <w:rPr>
          <w:rFonts w:hint="eastAsia"/>
          <w:color w:val="000000"/>
        </w:rPr>
        <w:t>減少</w:t>
      </w:r>
      <w:r w:rsidR="002A0F80">
        <w:rPr>
          <w:rFonts w:hint="eastAsia"/>
          <w:color w:val="000000"/>
        </w:rPr>
        <w:t>0.19</w:t>
      </w:r>
      <w:r w:rsidR="002A0F80" w:rsidRPr="008B3AB7">
        <w:rPr>
          <w:rFonts w:hint="eastAsia"/>
          <w:color w:val="000000"/>
        </w:rPr>
        <w:t>億元</w:t>
      </w:r>
      <w:r w:rsidR="00A827BF">
        <w:rPr>
          <w:rFonts w:hint="eastAsia"/>
          <w:color w:val="000000"/>
        </w:rPr>
        <w:t>(</w:t>
      </w:r>
      <w:r w:rsidR="002A0F80">
        <w:rPr>
          <w:rFonts w:hint="eastAsia"/>
          <w:color w:val="000000"/>
        </w:rPr>
        <w:t>執行率64.81</w:t>
      </w:r>
      <w:r w:rsidR="002A0F80" w:rsidRPr="008B3AB7">
        <w:rPr>
          <w:rFonts w:hint="eastAsia"/>
          <w:color w:val="000000"/>
        </w:rPr>
        <w:t>%</w:t>
      </w:r>
      <w:r w:rsidR="00A827BF">
        <w:rPr>
          <w:rFonts w:hint="eastAsia"/>
          <w:color w:val="000000"/>
        </w:rPr>
        <w:t>)</w:t>
      </w:r>
      <w:r w:rsidR="002A0F80"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7104AE" w:rsidRPr="007104AE" w:rsidRDefault="00D10D1B" w:rsidP="007104AE">
      <w:pPr>
        <w:pStyle w:val="123"/>
        <w:ind w:leftChars="198" w:left="878" w:hangingChars="112" w:hanging="317"/>
      </w:pPr>
      <w:r>
        <w:rPr>
          <w:rFonts w:hint="eastAsia"/>
        </w:rPr>
        <w:t>1.</w:t>
      </w:r>
      <w:r w:rsidR="007104AE" w:rsidRPr="007104AE">
        <w:rPr>
          <w:rFonts w:hint="eastAsia"/>
        </w:rPr>
        <w:t>國家文化藝術基金會11</w:t>
      </w:r>
      <w:r w:rsidR="007104AE">
        <w:rPr>
          <w:rFonts w:hint="eastAsia"/>
        </w:rPr>
        <w:t>3</w:t>
      </w:r>
      <w:r w:rsidR="007104AE" w:rsidRPr="007104AE">
        <w:rPr>
          <w:rFonts w:hint="eastAsia"/>
        </w:rPr>
        <w:t>年度決算收入總額</w:t>
      </w:r>
      <w:r w:rsidR="007104AE">
        <w:rPr>
          <w:rFonts w:hint="eastAsia"/>
        </w:rPr>
        <w:t>8</w:t>
      </w:r>
      <w:r w:rsidR="007104AE" w:rsidRPr="007104AE">
        <w:rPr>
          <w:rFonts w:hint="eastAsia"/>
        </w:rPr>
        <w:t>.</w:t>
      </w:r>
      <w:r w:rsidR="007104AE">
        <w:rPr>
          <w:rFonts w:hint="eastAsia"/>
        </w:rPr>
        <w:t>7</w:t>
      </w:r>
      <w:r w:rsidR="007104AE" w:rsidRPr="007104AE">
        <w:rPr>
          <w:rFonts w:hint="eastAsia"/>
        </w:rPr>
        <w:t>1億元，支出總額5.1</w:t>
      </w:r>
      <w:r w:rsidR="007104AE">
        <w:rPr>
          <w:rFonts w:hint="eastAsia"/>
        </w:rPr>
        <w:t>5</w:t>
      </w:r>
      <w:r w:rsidR="007104AE" w:rsidRPr="007104AE">
        <w:rPr>
          <w:rFonts w:hint="eastAsia"/>
        </w:rPr>
        <w:t>億元，總收支相抵後本期賸餘</w:t>
      </w:r>
      <w:r w:rsidR="007104AE">
        <w:rPr>
          <w:rFonts w:hint="eastAsia"/>
        </w:rPr>
        <w:t>3.56</w:t>
      </w:r>
      <w:r w:rsidR="007104AE" w:rsidRPr="007104AE">
        <w:rPr>
          <w:rFonts w:hint="eastAsia"/>
        </w:rPr>
        <w:t>億元。</w:t>
      </w:r>
    </w:p>
    <w:p w:rsidR="006528DF" w:rsidRDefault="007104AE" w:rsidP="007104AE">
      <w:pPr>
        <w:ind w:leftChars="198" w:left="878" w:hangingChars="112" w:hanging="317"/>
      </w:pPr>
      <w:r w:rsidRPr="007104AE">
        <w:rPr>
          <w:rFonts w:hint="eastAsia"/>
        </w:rPr>
        <w:t>2.中央通訊社11</w:t>
      </w:r>
      <w:r w:rsidR="00241EE1">
        <w:rPr>
          <w:rFonts w:hint="eastAsia"/>
        </w:rPr>
        <w:t>3</w:t>
      </w:r>
      <w:r w:rsidRPr="007104AE">
        <w:rPr>
          <w:rFonts w:hint="eastAsia"/>
        </w:rPr>
        <w:t>年度決算收入總額</w:t>
      </w:r>
      <w:r>
        <w:rPr>
          <w:rFonts w:hint="eastAsia"/>
        </w:rPr>
        <w:t>6.18</w:t>
      </w:r>
      <w:r w:rsidRPr="007104AE">
        <w:rPr>
          <w:rFonts w:hint="eastAsia"/>
        </w:rPr>
        <w:t>億元，支出總額</w:t>
      </w:r>
      <w:r>
        <w:rPr>
          <w:rFonts w:hint="eastAsia"/>
        </w:rPr>
        <w:t>6.50</w:t>
      </w:r>
      <w:r w:rsidRPr="007104AE">
        <w:rPr>
          <w:rFonts w:hint="eastAsia"/>
        </w:rPr>
        <w:t>億元，總收支相抵後本期</w:t>
      </w:r>
      <w:r>
        <w:rPr>
          <w:rFonts w:hint="eastAsia"/>
        </w:rPr>
        <w:t>短絀</w:t>
      </w:r>
      <w:r w:rsidRPr="007104AE">
        <w:rPr>
          <w:rFonts w:hint="eastAsia"/>
        </w:rPr>
        <w:t>0.</w:t>
      </w:r>
      <w:r w:rsidR="00241EE1">
        <w:rPr>
          <w:rFonts w:hint="eastAsia"/>
        </w:rPr>
        <w:t>32</w:t>
      </w:r>
      <w:r w:rsidRPr="007104AE">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F2189E">
        <w:rPr>
          <w:rFonts w:hint="eastAsia"/>
        </w:rPr>
        <w:t>3</w:t>
      </w:r>
      <w:r w:rsidRPr="00471701">
        <w:rPr>
          <w:rFonts w:hint="eastAsia"/>
        </w:rPr>
        <w:t>年度決算收入總額</w:t>
      </w:r>
      <w:r w:rsidR="0004045E" w:rsidRPr="00471701">
        <w:rPr>
          <w:rFonts w:hint="eastAsia"/>
        </w:rPr>
        <w:t>5.</w:t>
      </w:r>
      <w:r w:rsidR="00B4196E">
        <w:rPr>
          <w:rFonts w:hint="eastAsia"/>
        </w:rPr>
        <w:t>50</w:t>
      </w:r>
      <w:r w:rsidRPr="00471701">
        <w:rPr>
          <w:rFonts w:hint="eastAsia"/>
        </w:rPr>
        <w:t>億元</w:t>
      </w:r>
      <w:r w:rsidR="00635030">
        <w:rPr>
          <w:rFonts w:hint="eastAsia"/>
        </w:rPr>
        <w:t>，</w:t>
      </w:r>
      <w:r w:rsidRPr="00471701">
        <w:rPr>
          <w:rFonts w:hint="eastAsia"/>
        </w:rPr>
        <w:t>支出總額</w:t>
      </w:r>
      <w:r w:rsidR="00B4196E">
        <w:rPr>
          <w:rFonts w:hint="eastAsia"/>
        </w:rPr>
        <w:t>6.16</w:t>
      </w:r>
      <w:r w:rsidRPr="00471701">
        <w:rPr>
          <w:rFonts w:hint="eastAsia"/>
        </w:rPr>
        <w:t>億元，總收支相抵後本期短絀</w:t>
      </w:r>
      <w:r w:rsidR="0004045E" w:rsidRPr="00471701">
        <w:rPr>
          <w:rFonts w:hint="eastAsia"/>
        </w:rPr>
        <w:t>0.</w:t>
      </w:r>
      <w:r w:rsidR="00B4196E">
        <w:rPr>
          <w:rFonts w:hint="eastAsia"/>
        </w:rPr>
        <w:t>66</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B4196E">
        <w:rPr>
          <w:rFonts w:hint="eastAsia"/>
        </w:rPr>
        <w:t>3</w:t>
      </w:r>
      <w:r w:rsidRPr="00471701">
        <w:rPr>
          <w:rFonts w:hint="eastAsia"/>
        </w:rPr>
        <w:t>年度決算收入總額</w:t>
      </w:r>
      <w:r w:rsidR="001840F3">
        <w:rPr>
          <w:rFonts w:hint="eastAsia"/>
        </w:rPr>
        <w:t>47.5</w:t>
      </w:r>
      <w:r w:rsidR="00A827BF">
        <w:rPr>
          <w:rFonts w:hint="eastAsia"/>
        </w:rPr>
        <w:t>3</w:t>
      </w:r>
      <w:r w:rsidRPr="00471701">
        <w:rPr>
          <w:rFonts w:hint="eastAsia"/>
        </w:rPr>
        <w:t>億元</w:t>
      </w:r>
      <w:r w:rsidR="00635030">
        <w:rPr>
          <w:rFonts w:hint="eastAsia"/>
        </w:rPr>
        <w:t>，</w:t>
      </w:r>
      <w:r w:rsidRPr="00471701">
        <w:rPr>
          <w:rFonts w:hint="eastAsia"/>
        </w:rPr>
        <w:t>支出總額</w:t>
      </w:r>
      <w:r w:rsidR="001840F3">
        <w:rPr>
          <w:rFonts w:hint="eastAsia"/>
        </w:rPr>
        <w:t>41.94</w:t>
      </w:r>
      <w:r w:rsidRPr="00471701">
        <w:rPr>
          <w:rFonts w:hint="eastAsia"/>
        </w:rPr>
        <w:t>億元，總收支相抵後本期短絀</w:t>
      </w:r>
      <w:r w:rsidR="001840F3">
        <w:rPr>
          <w:rFonts w:hint="eastAsia"/>
        </w:rPr>
        <w:t>5.59</w:t>
      </w:r>
      <w:r w:rsidRPr="00471701">
        <w:rPr>
          <w:rFonts w:hint="eastAsia"/>
        </w:rPr>
        <w:t>億元。</w:t>
      </w:r>
    </w:p>
    <w:p w:rsidR="008C4B3A" w:rsidRDefault="006528DF" w:rsidP="00B013C5">
      <w:pPr>
        <w:pStyle w:val="a9"/>
        <w:ind w:firstLine="566"/>
      </w:pPr>
      <w:r>
        <w:rPr>
          <w:rFonts w:hint="eastAsia"/>
        </w:rPr>
        <w:t>謹就</w:t>
      </w:r>
      <w:r w:rsidR="00B013C5">
        <w:rPr>
          <w:rFonts w:hint="eastAsia"/>
        </w:rPr>
        <w:t>文化部主管11</w:t>
      </w:r>
      <w:r w:rsidR="001840F3">
        <w:rPr>
          <w:rFonts w:hint="eastAsia"/>
        </w:rPr>
        <w:t>3</w:t>
      </w:r>
      <w:r w:rsidR="00B013C5">
        <w:rPr>
          <w:rFonts w:hint="eastAsia"/>
        </w:rPr>
        <w:t>年度決算</w:t>
      </w:r>
      <w:r w:rsidR="008C4B3A" w:rsidRPr="00471701">
        <w:rPr>
          <w:rFonts w:hint="eastAsia"/>
        </w:rPr>
        <w:t>評估如下：</w:t>
      </w:r>
    </w:p>
    <w:p w:rsidR="007613A9" w:rsidRPr="003E745C" w:rsidRDefault="007613A9" w:rsidP="007613A9">
      <w:pPr>
        <w:pStyle w:val="14"/>
        <w:ind w:left="567" w:hanging="567"/>
      </w:pPr>
      <w:bookmarkStart w:id="1" w:name="_Toc510280910"/>
      <w:bookmarkStart w:id="2" w:name="_Toc510281016"/>
      <w:bookmarkStart w:id="3" w:name="_Toc510281151"/>
      <w:bookmarkStart w:id="4" w:name="_Toc510281243"/>
      <w:bookmarkStart w:id="5" w:name="_Toc530662737"/>
      <w:bookmarkStart w:id="6" w:name="_Toc530667434"/>
      <w:bookmarkStart w:id="7" w:name="_Toc51158149"/>
      <w:bookmarkStart w:id="8" w:name="_Toc82075872"/>
      <w:bookmarkStart w:id="9" w:name="_Toc82531824"/>
      <w:bookmarkStart w:id="10" w:name="_Toc217311632"/>
      <w:r>
        <w:rPr>
          <w:rFonts w:hint="eastAsia"/>
        </w:rPr>
        <w:lastRenderedPageBreak/>
        <w:t>四、</w:t>
      </w:r>
      <w:r w:rsidRPr="003E745C">
        <w:rPr>
          <w:rFonts w:hint="eastAsia"/>
        </w:rPr>
        <w:t>文化部影視及流行音樂產業局辦理</w:t>
      </w:r>
      <w:r>
        <w:rPr>
          <w:rFonts w:hint="eastAsia"/>
        </w:rPr>
        <w:t>「</w:t>
      </w:r>
      <w:r w:rsidRPr="003E745C">
        <w:rPr>
          <w:rFonts w:hint="eastAsia"/>
        </w:rPr>
        <w:t>廣播電視內容產業發展旗艦計畫</w:t>
      </w:r>
      <w:r>
        <w:rPr>
          <w:rFonts w:hint="eastAsia"/>
        </w:rPr>
        <w:t>」</w:t>
      </w:r>
      <w:r w:rsidRPr="003E745C">
        <w:rPr>
          <w:rFonts w:hint="eastAsia"/>
        </w:rPr>
        <w:t>執行進度未如預期，允宜加強督促業者儘速履約，以達計畫預期效益</w:t>
      </w:r>
      <w:bookmarkEnd w:id="10"/>
    </w:p>
    <w:p w:rsidR="007613A9" w:rsidRDefault="007613A9" w:rsidP="007613A9">
      <w:pPr>
        <w:ind w:left="566" w:firstLine="566"/>
      </w:pPr>
      <w:r w:rsidRPr="007154C6">
        <w:rPr>
          <w:rFonts w:hint="eastAsia"/>
        </w:rPr>
        <w:t>文化部影視及流行音樂產業局(以下簡稱影視局)113年度預算「廣播電視事業輔導」業務計畫項下編列「廣播電視內容產業發展旗艦計畫」4億5,226萬1千元，執行數4億5,286萬2千元(含執行以前年度保留數)。經查：</w:t>
      </w:r>
    </w:p>
    <w:p w:rsidR="007613A9" w:rsidRPr="00EB3D81" w:rsidRDefault="007613A9" w:rsidP="007613A9">
      <w:pPr>
        <w:pStyle w:val="a5"/>
        <w:ind w:left="849" w:hanging="283"/>
        <w:rPr>
          <w:b/>
          <w:bCs/>
        </w:rPr>
      </w:pPr>
      <w:r w:rsidRPr="00EB3D81">
        <w:rPr>
          <w:rFonts w:hint="eastAsia"/>
          <w:b/>
          <w:bCs/>
        </w:rPr>
        <w:t>(一)行政院108年核定「影視音產業發展中程計畫」，旨在健全影視音產業生態系</w:t>
      </w:r>
    </w:p>
    <w:p w:rsidR="007613A9" w:rsidRDefault="007613A9" w:rsidP="007613A9">
      <w:pPr>
        <w:pStyle w:val="22"/>
        <w:ind w:left="850" w:firstLine="566"/>
      </w:pPr>
      <w:r>
        <w:rPr>
          <w:rFonts w:hint="eastAsia"/>
        </w:rPr>
        <w:t>行政院108年7月核定「影視音產業發展中程計畫」，總經費100.93億元，計畫期程109至113年度，包含電影產業發展旗艦計畫、廣播電視內容產業發展旗艦計畫及流行音樂產業發展旗艦計畫等3項子計畫，係為建構文化內容產業生態系，建立文化金融體系，帶動資金挹注內容製作，優化產業環境；挖掘並培育產業人才，促成國際人才與技術交流；以「越在地越國際」之核心理念，提高我國影視作品之原生內容力及國際競爭力，形塑臺灣內容品牌之國際辨識度；加速內容產業數位轉型，促進跨業/跨國資源整合，以提升我國影音內容產製與傳播能量；以國家隊整合行銷概念，拓展我國影視內容國際市場，並強化品牌國際布局。</w:t>
      </w:r>
    </w:p>
    <w:p w:rsidR="007613A9" w:rsidRPr="00EB3D81" w:rsidRDefault="007613A9" w:rsidP="007613A9">
      <w:pPr>
        <w:pStyle w:val="a5"/>
        <w:ind w:left="849" w:hanging="283"/>
        <w:rPr>
          <w:b/>
          <w:bCs/>
        </w:rPr>
      </w:pPr>
      <w:r w:rsidRPr="00EB3D81">
        <w:rPr>
          <w:rFonts w:hint="eastAsia"/>
          <w:b/>
          <w:bCs/>
        </w:rPr>
        <w:t>(二)113年度</w:t>
      </w:r>
      <w:r>
        <w:rPr>
          <w:rFonts w:hint="eastAsia"/>
          <w:b/>
          <w:bCs/>
        </w:rPr>
        <w:t>「</w:t>
      </w:r>
      <w:r w:rsidRPr="00EB3D81">
        <w:rPr>
          <w:rFonts w:hint="eastAsia"/>
          <w:b/>
          <w:bCs/>
        </w:rPr>
        <w:t>廣播電視內容產業發展旗艦計畫</w:t>
      </w:r>
      <w:r>
        <w:rPr>
          <w:rFonts w:hint="eastAsia"/>
          <w:b/>
          <w:bCs/>
        </w:rPr>
        <w:t>」</w:t>
      </w:r>
      <w:r w:rsidRPr="00EB3D81">
        <w:rPr>
          <w:rFonts w:hint="eastAsia"/>
          <w:b/>
          <w:bCs/>
        </w:rPr>
        <w:t>執行進度未如預期，允宜加強督導業者儘速履約</w:t>
      </w:r>
    </w:p>
    <w:p w:rsidR="007613A9" w:rsidRDefault="007613A9" w:rsidP="007613A9">
      <w:pPr>
        <w:pStyle w:val="22"/>
        <w:ind w:left="850" w:firstLine="566"/>
      </w:pPr>
      <w:r>
        <w:rPr>
          <w:rFonts w:hint="eastAsia"/>
        </w:rPr>
        <w:t>「廣播電視內容產業發展旗艦計畫」主要係為建構友善之廣電產製環境，落實「投補雙軌」，運用投融資、利息補貼機制及補助，輔導內容產製及人才培育，並鼓勵獲補助業者加強新科技應用及開發新商業模式，以充實廣電產製能量及人才等。</w:t>
      </w:r>
      <w:r>
        <w:rPr>
          <w:rFonts w:hint="eastAsia"/>
        </w:rPr>
        <w:lastRenderedPageBreak/>
        <w:t>113年度該計畫執行數4億5,286萬2千元，占可支用預算數5億416萬元之89.83%，執行率容待精進。詢據影視局表示，113年度執行進度未如預期主要係部分獲補助案件因撤案、展延履約期程或履約後再審等因素，致無法如期撥付款項，允宜加強督導業者儘速履約執行，以達計畫預期效益。</w:t>
      </w:r>
    </w:p>
    <w:p w:rsidR="007613A9" w:rsidRDefault="007613A9" w:rsidP="007613A9">
      <w:pPr>
        <w:ind w:left="566" w:firstLine="566"/>
      </w:pPr>
      <w:r>
        <w:rPr>
          <w:rFonts w:hint="eastAsia"/>
        </w:rPr>
        <w:t>綜上，影視局113年度辦理「廣播電視內容產業發展旗艦計畫」尚有部分案件廠商未完成履約，允宜確實控管計畫執行進度，加強督導業者儘速履約，以達計畫預期效益。</w:t>
      </w:r>
    </w:p>
    <w:bookmarkEnd w:id="1"/>
    <w:bookmarkEnd w:id="2"/>
    <w:bookmarkEnd w:id="3"/>
    <w:bookmarkEnd w:id="4"/>
    <w:bookmarkEnd w:id="5"/>
    <w:bookmarkEnd w:id="6"/>
    <w:bookmarkEnd w:id="7"/>
    <w:bookmarkEnd w:id="8"/>
    <w:bookmarkEnd w:id="9"/>
    <w:sectPr w:rsidR="007613A9"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376" w:rsidRDefault="00F71376" w:rsidP="00B0087B">
      <w:pPr>
        <w:spacing w:line="240" w:lineRule="auto"/>
        <w:ind w:left="560" w:firstLine="560"/>
      </w:pPr>
      <w:r>
        <w:separator/>
      </w:r>
    </w:p>
  </w:endnote>
  <w:endnote w:type="continuationSeparator" w:id="0">
    <w:p w:rsidR="00F71376" w:rsidRDefault="00F71376"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C12EA7">
    <w:pPr>
      <w:pStyle w:val="af2"/>
      <w:ind w:leftChars="0" w:left="0" w:firstLine="400"/>
      <w:jc w:val="center"/>
    </w:pPr>
    <w:r>
      <w:fldChar w:fldCharType="begin"/>
    </w:r>
    <w:r>
      <w:instrText>PAGE   \* MERGEFORMAT</w:instrText>
    </w:r>
    <w:r>
      <w:fldChar w:fldCharType="separate"/>
    </w:r>
    <w:r w:rsidR="008B7E24" w:rsidRPr="008B7E2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376" w:rsidRDefault="00F71376" w:rsidP="00215EB8">
      <w:pPr>
        <w:spacing w:line="240" w:lineRule="auto"/>
        <w:ind w:left="560" w:firstLine="560"/>
      </w:pPr>
      <w:r>
        <w:separator/>
      </w:r>
    </w:p>
  </w:footnote>
  <w:footnote w:type="continuationSeparator" w:id="0">
    <w:p w:rsidR="00F71376" w:rsidRDefault="00F71376"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74B7777"/>
    <w:multiLevelType w:val="hybridMultilevel"/>
    <w:tmpl w:val="DBBAFA96"/>
    <w:lvl w:ilvl="0" w:tplc="F1CCD194">
      <w:start w:val="1"/>
      <w:numFmt w:val="decimal"/>
      <w:lvlText w:val="%1."/>
      <w:lvlJc w:val="left"/>
      <w:pPr>
        <w:ind w:left="995" w:hanging="43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3"/>
  </w:num>
  <w:num w:numId="4">
    <w:abstractNumId w:val="17"/>
  </w:num>
  <w:num w:numId="5">
    <w:abstractNumId w:val="3"/>
  </w:num>
  <w:num w:numId="6">
    <w:abstractNumId w:val="10"/>
  </w:num>
  <w:num w:numId="7">
    <w:abstractNumId w:val="4"/>
  </w:num>
  <w:num w:numId="8">
    <w:abstractNumId w:val="15"/>
  </w:num>
  <w:num w:numId="9">
    <w:abstractNumId w:val="9"/>
  </w:num>
  <w:num w:numId="10">
    <w:abstractNumId w:val="2"/>
  </w:num>
  <w:num w:numId="11">
    <w:abstractNumId w:val="8"/>
  </w:num>
  <w:num w:numId="12">
    <w:abstractNumId w:val="14"/>
  </w:num>
  <w:num w:numId="13">
    <w:abstractNumId w:val="16"/>
  </w:num>
  <w:num w:numId="14">
    <w:abstractNumId w:val="7"/>
  </w:num>
  <w:num w:numId="15">
    <w:abstractNumId w:val="11"/>
  </w:num>
  <w:num w:numId="16">
    <w:abstractNumId w:val="5"/>
  </w:num>
  <w:num w:numId="17">
    <w:abstractNumId w:val="12"/>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5AEB"/>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621"/>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5BEA"/>
    <w:rsid w:val="00046BE0"/>
    <w:rsid w:val="00046FAF"/>
    <w:rsid w:val="00047597"/>
    <w:rsid w:val="00047A39"/>
    <w:rsid w:val="00047BEC"/>
    <w:rsid w:val="00047CCF"/>
    <w:rsid w:val="00051AB3"/>
    <w:rsid w:val="00053099"/>
    <w:rsid w:val="00053E5E"/>
    <w:rsid w:val="0005404B"/>
    <w:rsid w:val="000543AE"/>
    <w:rsid w:val="000549D3"/>
    <w:rsid w:val="00054BF5"/>
    <w:rsid w:val="000551EA"/>
    <w:rsid w:val="0005560C"/>
    <w:rsid w:val="00055C3F"/>
    <w:rsid w:val="00056702"/>
    <w:rsid w:val="00056CB1"/>
    <w:rsid w:val="00056D6E"/>
    <w:rsid w:val="000571F7"/>
    <w:rsid w:val="00057310"/>
    <w:rsid w:val="000574CD"/>
    <w:rsid w:val="000576DB"/>
    <w:rsid w:val="0005796F"/>
    <w:rsid w:val="000579CC"/>
    <w:rsid w:val="00057DEB"/>
    <w:rsid w:val="00057E57"/>
    <w:rsid w:val="00060071"/>
    <w:rsid w:val="0006064B"/>
    <w:rsid w:val="0006128B"/>
    <w:rsid w:val="00061451"/>
    <w:rsid w:val="0006157A"/>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1923"/>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4128"/>
    <w:rsid w:val="000D4AFA"/>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BBA"/>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C3"/>
    <w:rsid w:val="000F53DA"/>
    <w:rsid w:val="000F5EC2"/>
    <w:rsid w:val="000F630F"/>
    <w:rsid w:val="000F6985"/>
    <w:rsid w:val="000F69D0"/>
    <w:rsid w:val="000F7274"/>
    <w:rsid w:val="000F7556"/>
    <w:rsid w:val="000F75FB"/>
    <w:rsid w:val="00100151"/>
    <w:rsid w:val="00100633"/>
    <w:rsid w:val="00100929"/>
    <w:rsid w:val="00100ECD"/>
    <w:rsid w:val="0010103E"/>
    <w:rsid w:val="00101259"/>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6AE"/>
    <w:rsid w:val="00120734"/>
    <w:rsid w:val="00120F1A"/>
    <w:rsid w:val="00120F46"/>
    <w:rsid w:val="00121015"/>
    <w:rsid w:val="00121A41"/>
    <w:rsid w:val="00121A51"/>
    <w:rsid w:val="00122102"/>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DA2"/>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398"/>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0F3"/>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0E09"/>
    <w:rsid w:val="001A11E8"/>
    <w:rsid w:val="001A232B"/>
    <w:rsid w:val="001A276C"/>
    <w:rsid w:val="001A34A5"/>
    <w:rsid w:val="001A39DB"/>
    <w:rsid w:val="001A3C4F"/>
    <w:rsid w:val="001A3C6C"/>
    <w:rsid w:val="001A43C6"/>
    <w:rsid w:val="001A4761"/>
    <w:rsid w:val="001A4ABA"/>
    <w:rsid w:val="001A4D23"/>
    <w:rsid w:val="001A50EF"/>
    <w:rsid w:val="001A5670"/>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2C1"/>
    <w:rsid w:val="001C54E1"/>
    <w:rsid w:val="001C56A0"/>
    <w:rsid w:val="001C5AAE"/>
    <w:rsid w:val="001C60A7"/>
    <w:rsid w:val="001C789B"/>
    <w:rsid w:val="001C7A15"/>
    <w:rsid w:val="001C7F3B"/>
    <w:rsid w:val="001D0156"/>
    <w:rsid w:val="001D0214"/>
    <w:rsid w:val="001D0C85"/>
    <w:rsid w:val="001D0E00"/>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81C"/>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4256"/>
    <w:rsid w:val="00235AD7"/>
    <w:rsid w:val="00235CD1"/>
    <w:rsid w:val="00237AE1"/>
    <w:rsid w:val="00237C39"/>
    <w:rsid w:val="00237FD1"/>
    <w:rsid w:val="00241854"/>
    <w:rsid w:val="00241EE1"/>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5FC2"/>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A73"/>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0A4"/>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602"/>
    <w:rsid w:val="002959FF"/>
    <w:rsid w:val="00296FEA"/>
    <w:rsid w:val="00296FFC"/>
    <w:rsid w:val="002977E5"/>
    <w:rsid w:val="002A04FF"/>
    <w:rsid w:val="002A0758"/>
    <w:rsid w:val="002A08F2"/>
    <w:rsid w:val="002A0F80"/>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0EB1"/>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07562"/>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35"/>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12A"/>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A6D"/>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59F7"/>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4A3C"/>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376A"/>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82F"/>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2F9"/>
    <w:rsid w:val="00473332"/>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5D82"/>
    <w:rsid w:val="004B64FC"/>
    <w:rsid w:val="004B6CFA"/>
    <w:rsid w:val="004B6E1D"/>
    <w:rsid w:val="004B723D"/>
    <w:rsid w:val="004B7B36"/>
    <w:rsid w:val="004B7B6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C7D7C"/>
    <w:rsid w:val="004D04C0"/>
    <w:rsid w:val="004D0963"/>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D6BDE"/>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84"/>
    <w:rsid w:val="00525AD9"/>
    <w:rsid w:val="00525D14"/>
    <w:rsid w:val="00525E02"/>
    <w:rsid w:val="00526614"/>
    <w:rsid w:val="00526798"/>
    <w:rsid w:val="00526D69"/>
    <w:rsid w:val="00526FC9"/>
    <w:rsid w:val="005273C9"/>
    <w:rsid w:val="00530F4A"/>
    <w:rsid w:val="005319D3"/>
    <w:rsid w:val="005319D4"/>
    <w:rsid w:val="0053433C"/>
    <w:rsid w:val="005347F5"/>
    <w:rsid w:val="005349E7"/>
    <w:rsid w:val="005351B8"/>
    <w:rsid w:val="005356E4"/>
    <w:rsid w:val="00535FFA"/>
    <w:rsid w:val="0053601E"/>
    <w:rsid w:val="0053686B"/>
    <w:rsid w:val="00536AE1"/>
    <w:rsid w:val="00536B23"/>
    <w:rsid w:val="0053704F"/>
    <w:rsid w:val="0053722B"/>
    <w:rsid w:val="00537A63"/>
    <w:rsid w:val="00540030"/>
    <w:rsid w:val="00540091"/>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924"/>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AC1"/>
    <w:rsid w:val="00572F27"/>
    <w:rsid w:val="00573423"/>
    <w:rsid w:val="00574085"/>
    <w:rsid w:val="0057454D"/>
    <w:rsid w:val="00574725"/>
    <w:rsid w:val="005748F3"/>
    <w:rsid w:val="00574CC8"/>
    <w:rsid w:val="005750F2"/>
    <w:rsid w:val="005766C3"/>
    <w:rsid w:val="00576F83"/>
    <w:rsid w:val="0057774B"/>
    <w:rsid w:val="005777F3"/>
    <w:rsid w:val="00577A4D"/>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6DCB"/>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8C2"/>
    <w:rsid w:val="005E5D23"/>
    <w:rsid w:val="005E698D"/>
    <w:rsid w:val="005E6C88"/>
    <w:rsid w:val="005E740F"/>
    <w:rsid w:val="005F0995"/>
    <w:rsid w:val="005F1C79"/>
    <w:rsid w:val="005F21A6"/>
    <w:rsid w:val="005F3805"/>
    <w:rsid w:val="005F3E96"/>
    <w:rsid w:val="005F3FBC"/>
    <w:rsid w:val="005F4E69"/>
    <w:rsid w:val="005F5963"/>
    <w:rsid w:val="005F6EDB"/>
    <w:rsid w:val="005F7944"/>
    <w:rsid w:val="00600123"/>
    <w:rsid w:val="00600FAA"/>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C91"/>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28DF"/>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391"/>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033"/>
    <w:rsid w:val="006952AC"/>
    <w:rsid w:val="00695BAD"/>
    <w:rsid w:val="00695D92"/>
    <w:rsid w:val="00696231"/>
    <w:rsid w:val="006963B8"/>
    <w:rsid w:val="00696B20"/>
    <w:rsid w:val="006974B2"/>
    <w:rsid w:val="00697590"/>
    <w:rsid w:val="006975CC"/>
    <w:rsid w:val="00697678"/>
    <w:rsid w:val="00697849"/>
    <w:rsid w:val="00697B16"/>
    <w:rsid w:val="006A0DB1"/>
    <w:rsid w:val="006A1349"/>
    <w:rsid w:val="006A18FD"/>
    <w:rsid w:val="006A2414"/>
    <w:rsid w:val="006A434B"/>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A7C"/>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7D0"/>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04E"/>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4C0"/>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70D"/>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4AE"/>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8F"/>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1D6"/>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3A9"/>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88"/>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6A4"/>
    <w:rsid w:val="007B780F"/>
    <w:rsid w:val="007B7BE9"/>
    <w:rsid w:val="007B7CE5"/>
    <w:rsid w:val="007C1775"/>
    <w:rsid w:val="007C28C0"/>
    <w:rsid w:val="007C2E98"/>
    <w:rsid w:val="007C304E"/>
    <w:rsid w:val="007C34DD"/>
    <w:rsid w:val="007C3675"/>
    <w:rsid w:val="007C373F"/>
    <w:rsid w:val="007C3C8D"/>
    <w:rsid w:val="007C4AF1"/>
    <w:rsid w:val="007C4C72"/>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25E"/>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3F39"/>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2F12"/>
    <w:rsid w:val="00833314"/>
    <w:rsid w:val="00833524"/>
    <w:rsid w:val="00834F85"/>
    <w:rsid w:val="00834FFE"/>
    <w:rsid w:val="00836BDC"/>
    <w:rsid w:val="00836BF1"/>
    <w:rsid w:val="00836C9A"/>
    <w:rsid w:val="00837000"/>
    <w:rsid w:val="00837764"/>
    <w:rsid w:val="00840794"/>
    <w:rsid w:val="00840CD3"/>
    <w:rsid w:val="00840D2B"/>
    <w:rsid w:val="008410CB"/>
    <w:rsid w:val="008414ED"/>
    <w:rsid w:val="00842A4C"/>
    <w:rsid w:val="0084405D"/>
    <w:rsid w:val="008440A9"/>
    <w:rsid w:val="008440CE"/>
    <w:rsid w:val="00844609"/>
    <w:rsid w:val="008448D3"/>
    <w:rsid w:val="00844EA5"/>
    <w:rsid w:val="00844FB2"/>
    <w:rsid w:val="00845578"/>
    <w:rsid w:val="0084579B"/>
    <w:rsid w:val="0084594B"/>
    <w:rsid w:val="00845E9E"/>
    <w:rsid w:val="00846021"/>
    <w:rsid w:val="00846F1F"/>
    <w:rsid w:val="008471A8"/>
    <w:rsid w:val="008500C0"/>
    <w:rsid w:val="0085025A"/>
    <w:rsid w:val="0085237D"/>
    <w:rsid w:val="008526AF"/>
    <w:rsid w:val="00853104"/>
    <w:rsid w:val="0085357B"/>
    <w:rsid w:val="0085370A"/>
    <w:rsid w:val="0085404E"/>
    <w:rsid w:val="0085424E"/>
    <w:rsid w:val="008545F5"/>
    <w:rsid w:val="008546E1"/>
    <w:rsid w:val="00854703"/>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2A5"/>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863"/>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3F18"/>
    <w:rsid w:val="008A5601"/>
    <w:rsid w:val="008A6DBF"/>
    <w:rsid w:val="008A7738"/>
    <w:rsid w:val="008A7B6B"/>
    <w:rsid w:val="008A7E28"/>
    <w:rsid w:val="008A7FC6"/>
    <w:rsid w:val="008A7FE9"/>
    <w:rsid w:val="008B0439"/>
    <w:rsid w:val="008B05E1"/>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6FC7"/>
    <w:rsid w:val="008B70B7"/>
    <w:rsid w:val="008B7E24"/>
    <w:rsid w:val="008B7FDF"/>
    <w:rsid w:val="008C0074"/>
    <w:rsid w:val="008C0E13"/>
    <w:rsid w:val="008C1375"/>
    <w:rsid w:val="008C1535"/>
    <w:rsid w:val="008C1C59"/>
    <w:rsid w:val="008C2B26"/>
    <w:rsid w:val="008C30A2"/>
    <w:rsid w:val="008C4461"/>
    <w:rsid w:val="008C4B3A"/>
    <w:rsid w:val="008C5327"/>
    <w:rsid w:val="008C61E2"/>
    <w:rsid w:val="008C6AFC"/>
    <w:rsid w:val="008C6D34"/>
    <w:rsid w:val="008C6FAE"/>
    <w:rsid w:val="008C7902"/>
    <w:rsid w:val="008D03D8"/>
    <w:rsid w:val="008D0F40"/>
    <w:rsid w:val="008D1901"/>
    <w:rsid w:val="008D1988"/>
    <w:rsid w:val="008D1B8E"/>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3C0"/>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25B"/>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8E2"/>
    <w:rsid w:val="009459F7"/>
    <w:rsid w:val="00945A45"/>
    <w:rsid w:val="00945DBC"/>
    <w:rsid w:val="00945FBB"/>
    <w:rsid w:val="00946B6D"/>
    <w:rsid w:val="00946BB3"/>
    <w:rsid w:val="00947511"/>
    <w:rsid w:val="00947644"/>
    <w:rsid w:val="00947AE2"/>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789"/>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0FB8"/>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03F"/>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1D6"/>
    <w:rsid w:val="009B56BE"/>
    <w:rsid w:val="009B571F"/>
    <w:rsid w:val="009B58B3"/>
    <w:rsid w:val="009B58FF"/>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6BAC"/>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24A"/>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2C2"/>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8DE"/>
    <w:rsid w:val="00A65AB3"/>
    <w:rsid w:val="00A66023"/>
    <w:rsid w:val="00A66236"/>
    <w:rsid w:val="00A66306"/>
    <w:rsid w:val="00A66374"/>
    <w:rsid w:val="00A66569"/>
    <w:rsid w:val="00A66B84"/>
    <w:rsid w:val="00A66CCF"/>
    <w:rsid w:val="00A66E28"/>
    <w:rsid w:val="00A673FC"/>
    <w:rsid w:val="00A6744B"/>
    <w:rsid w:val="00A67487"/>
    <w:rsid w:val="00A6765C"/>
    <w:rsid w:val="00A6765D"/>
    <w:rsid w:val="00A679FD"/>
    <w:rsid w:val="00A67E13"/>
    <w:rsid w:val="00A67FB2"/>
    <w:rsid w:val="00A7005B"/>
    <w:rsid w:val="00A70552"/>
    <w:rsid w:val="00A713A3"/>
    <w:rsid w:val="00A71661"/>
    <w:rsid w:val="00A71815"/>
    <w:rsid w:val="00A71E41"/>
    <w:rsid w:val="00A71FD9"/>
    <w:rsid w:val="00A723CB"/>
    <w:rsid w:val="00A72526"/>
    <w:rsid w:val="00A728A4"/>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7BF"/>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482"/>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138"/>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57D"/>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4C48"/>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093C"/>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AF6"/>
    <w:rsid w:val="00B36CC7"/>
    <w:rsid w:val="00B372AD"/>
    <w:rsid w:val="00B3746F"/>
    <w:rsid w:val="00B37579"/>
    <w:rsid w:val="00B37E97"/>
    <w:rsid w:val="00B408B3"/>
    <w:rsid w:val="00B4196E"/>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6A4"/>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689A"/>
    <w:rsid w:val="00B77146"/>
    <w:rsid w:val="00B77C29"/>
    <w:rsid w:val="00B8018C"/>
    <w:rsid w:val="00B806FB"/>
    <w:rsid w:val="00B80D78"/>
    <w:rsid w:val="00B815F2"/>
    <w:rsid w:val="00B8252E"/>
    <w:rsid w:val="00B82809"/>
    <w:rsid w:val="00B82C38"/>
    <w:rsid w:val="00B83273"/>
    <w:rsid w:val="00B833BE"/>
    <w:rsid w:val="00B835BA"/>
    <w:rsid w:val="00B8374D"/>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D1D"/>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6CA"/>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2B6"/>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2EA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43C"/>
    <w:rsid w:val="00C37968"/>
    <w:rsid w:val="00C37E3F"/>
    <w:rsid w:val="00C40B43"/>
    <w:rsid w:val="00C41BA7"/>
    <w:rsid w:val="00C41BCF"/>
    <w:rsid w:val="00C420DC"/>
    <w:rsid w:val="00C43297"/>
    <w:rsid w:val="00C43434"/>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1CE"/>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4801"/>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9DE"/>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2A89"/>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348"/>
    <w:rsid w:val="00CC6C4E"/>
    <w:rsid w:val="00CD09B1"/>
    <w:rsid w:val="00CD0CC6"/>
    <w:rsid w:val="00CD152C"/>
    <w:rsid w:val="00CD1ABC"/>
    <w:rsid w:val="00CD1E3E"/>
    <w:rsid w:val="00CD26B6"/>
    <w:rsid w:val="00CD2B15"/>
    <w:rsid w:val="00CD2E36"/>
    <w:rsid w:val="00CD3161"/>
    <w:rsid w:val="00CD352B"/>
    <w:rsid w:val="00CD3813"/>
    <w:rsid w:val="00CD3B54"/>
    <w:rsid w:val="00CD47B5"/>
    <w:rsid w:val="00CD4E6A"/>
    <w:rsid w:val="00CD5386"/>
    <w:rsid w:val="00CD5728"/>
    <w:rsid w:val="00CD5D26"/>
    <w:rsid w:val="00CD60CF"/>
    <w:rsid w:val="00CD63BB"/>
    <w:rsid w:val="00CD7326"/>
    <w:rsid w:val="00CD784E"/>
    <w:rsid w:val="00CD7E70"/>
    <w:rsid w:val="00CE0C86"/>
    <w:rsid w:val="00CE1789"/>
    <w:rsid w:val="00CE1A92"/>
    <w:rsid w:val="00CE1AC5"/>
    <w:rsid w:val="00CE23A5"/>
    <w:rsid w:val="00CE24DA"/>
    <w:rsid w:val="00CE2990"/>
    <w:rsid w:val="00CE3387"/>
    <w:rsid w:val="00CE4084"/>
    <w:rsid w:val="00CE480B"/>
    <w:rsid w:val="00CE4A3F"/>
    <w:rsid w:val="00CE4BBD"/>
    <w:rsid w:val="00CE55F3"/>
    <w:rsid w:val="00CE5970"/>
    <w:rsid w:val="00CE66BE"/>
    <w:rsid w:val="00CE6A9F"/>
    <w:rsid w:val="00CE7439"/>
    <w:rsid w:val="00CE7AE0"/>
    <w:rsid w:val="00CF0258"/>
    <w:rsid w:val="00CF0D33"/>
    <w:rsid w:val="00CF0E68"/>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0D1B"/>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1BE"/>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1627"/>
    <w:rsid w:val="00D62574"/>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5F5A"/>
    <w:rsid w:val="00D7663B"/>
    <w:rsid w:val="00D774F5"/>
    <w:rsid w:val="00D777A9"/>
    <w:rsid w:val="00D77882"/>
    <w:rsid w:val="00D8002C"/>
    <w:rsid w:val="00D803D9"/>
    <w:rsid w:val="00D8094D"/>
    <w:rsid w:val="00D80DAA"/>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11"/>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1A"/>
    <w:rsid w:val="00DD525B"/>
    <w:rsid w:val="00DD5603"/>
    <w:rsid w:val="00DD599A"/>
    <w:rsid w:val="00DD60BA"/>
    <w:rsid w:val="00DD6B7D"/>
    <w:rsid w:val="00DD78E1"/>
    <w:rsid w:val="00DD7C39"/>
    <w:rsid w:val="00DE0A75"/>
    <w:rsid w:val="00DE0B55"/>
    <w:rsid w:val="00DE0BA7"/>
    <w:rsid w:val="00DE10A4"/>
    <w:rsid w:val="00DE1650"/>
    <w:rsid w:val="00DE19ED"/>
    <w:rsid w:val="00DE1F86"/>
    <w:rsid w:val="00DE20EB"/>
    <w:rsid w:val="00DE2495"/>
    <w:rsid w:val="00DE257A"/>
    <w:rsid w:val="00DE2A5E"/>
    <w:rsid w:val="00DE2A77"/>
    <w:rsid w:val="00DE3568"/>
    <w:rsid w:val="00DE3871"/>
    <w:rsid w:val="00DE3BA1"/>
    <w:rsid w:val="00DE3CBB"/>
    <w:rsid w:val="00DE4C44"/>
    <w:rsid w:val="00DE5403"/>
    <w:rsid w:val="00DE5C43"/>
    <w:rsid w:val="00DE5E09"/>
    <w:rsid w:val="00DE5ED2"/>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291"/>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2F1"/>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C51"/>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34E"/>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97A"/>
    <w:rsid w:val="00E82CFC"/>
    <w:rsid w:val="00E82F81"/>
    <w:rsid w:val="00E836E0"/>
    <w:rsid w:val="00E85403"/>
    <w:rsid w:val="00E86DB1"/>
    <w:rsid w:val="00E87BB4"/>
    <w:rsid w:val="00E87C24"/>
    <w:rsid w:val="00E90AF2"/>
    <w:rsid w:val="00E90EDE"/>
    <w:rsid w:val="00E9174A"/>
    <w:rsid w:val="00E91880"/>
    <w:rsid w:val="00E91A88"/>
    <w:rsid w:val="00E91E31"/>
    <w:rsid w:val="00E922F6"/>
    <w:rsid w:val="00E9264B"/>
    <w:rsid w:val="00E9282B"/>
    <w:rsid w:val="00E9358F"/>
    <w:rsid w:val="00E93F36"/>
    <w:rsid w:val="00E94943"/>
    <w:rsid w:val="00E9523C"/>
    <w:rsid w:val="00E95451"/>
    <w:rsid w:val="00E9564E"/>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98"/>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189E"/>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4EE5"/>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4D6"/>
    <w:rsid w:val="00F56897"/>
    <w:rsid w:val="00F56B11"/>
    <w:rsid w:val="00F56B6A"/>
    <w:rsid w:val="00F57894"/>
    <w:rsid w:val="00F57D13"/>
    <w:rsid w:val="00F6062C"/>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376"/>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72D"/>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4FD"/>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3CD"/>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1F"/>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9CE"/>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F925DB7-6F1C-4E07-BA62-F4A0061E6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D73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d">
    <w:name w:val="page number"/>
    <w:rsid w:val="00A32DB7"/>
  </w:style>
  <w:style w:type="character" w:styleId="afe">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
    <w:name w:val="Strong"/>
    <w:uiPriority w:val="22"/>
    <w:qFormat/>
    <w:rsid w:val="00A32DB7"/>
    <w:rPr>
      <w:b/>
      <w:bCs/>
    </w:rPr>
  </w:style>
  <w:style w:type="paragraph" w:styleId="aff0">
    <w:name w:val="Signature"/>
    <w:basedOn w:val="a0"/>
    <w:link w:val="aff1"/>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1">
    <w:name w:val="簽名 字元"/>
    <w:link w:val="aff0"/>
    <w:rsid w:val="00A32DB7"/>
    <w:rPr>
      <w:rFonts w:ascii="標楷體" w:hAnsi="標楷體" w:cs="新細明體"/>
      <w:spacing w:val="-5"/>
      <w:sz w:val="18"/>
    </w:rPr>
  </w:style>
  <w:style w:type="paragraph" w:customStyle="1" w:styleId="aff2">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3">
    <w:name w:val="line number"/>
    <w:rsid w:val="00A32DB7"/>
  </w:style>
  <w:style w:type="paragraph" w:styleId="aff4">
    <w:name w:val="Body Text"/>
    <w:basedOn w:val="a0"/>
    <w:link w:val="aff5"/>
    <w:rsid w:val="00A32DB7"/>
    <w:pPr>
      <w:widowControl/>
      <w:spacing w:after="120" w:line="240" w:lineRule="auto"/>
      <w:jc w:val="left"/>
    </w:pPr>
    <w:rPr>
      <w:rFonts w:hAnsi="標楷體" w:cs="新細明體"/>
      <w:snapToGrid/>
      <w:kern w:val="0"/>
      <w:szCs w:val="24"/>
    </w:rPr>
  </w:style>
  <w:style w:type="character" w:customStyle="1" w:styleId="aff5">
    <w:name w:val="本文 字元"/>
    <w:link w:val="aff4"/>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6">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410">
    <w:name w:val="第二層(14號字) 字元1"/>
    <w:rsid w:val="00A32DB7"/>
    <w:rPr>
      <w:rFonts w:eastAsia="標楷體"/>
      <w:b/>
      <w:snapToGrid w:val="0"/>
      <w:kern w:val="2"/>
      <w:sz w:val="28"/>
    </w:rPr>
  </w:style>
  <w:style w:type="paragraph" w:styleId="aff8">
    <w:name w:val="Body Text Indent"/>
    <w:basedOn w:val="a0"/>
    <w:link w:val="aff9"/>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9">
    <w:name w:val="本文縮排 字元"/>
    <w:link w:val="aff8"/>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a">
    <w:name w:val="(一)"/>
    <w:basedOn w:val="a0"/>
    <w:link w:val="affb"/>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b">
    <w:name w:val="(一) 字元"/>
    <w:link w:val="affa"/>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c">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8">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d">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e">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9">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a">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b">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2">
    <w:name w:val="Emphasis"/>
    <w:uiPriority w:val="20"/>
    <w:qFormat/>
    <w:rsid w:val="00A32DB7"/>
    <w:rPr>
      <w:i/>
      <w:iCs/>
    </w:rPr>
  </w:style>
  <w:style w:type="paragraph" w:customStyle="1" w:styleId="1c">
    <w:name w:val="樣式1"/>
    <w:basedOn w:val="Affc"/>
    <w:qFormat/>
    <w:rsid w:val="00A32DB7"/>
    <w:rPr>
      <w:lang w:val="en-US" w:eastAsia="zh-TW"/>
    </w:rPr>
  </w:style>
  <w:style w:type="paragraph" w:customStyle="1" w:styleId="2a">
    <w:name w:val="樣式2"/>
    <w:basedOn w:val="Affc"/>
    <w:qFormat/>
    <w:rsid w:val="00A32DB7"/>
    <w:pPr>
      <w:ind w:leftChars="300" w:left="300"/>
    </w:pPr>
    <w:rPr>
      <w:lang w:val="en-US" w:eastAsia="zh-TW"/>
    </w:rPr>
  </w:style>
  <w:style w:type="paragraph" w:customStyle="1" w:styleId="33">
    <w:name w:val="樣式3"/>
    <w:basedOn w:val="Affc"/>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3">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4">
    <w:name w:val="Title"/>
    <w:basedOn w:val="a0"/>
    <w:next w:val="a0"/>
    <w:link w:val="afff5"/>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5">
    <w:name w:val="標題 字元"/>
    <w:link w:val="afff4"/>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6">
    <w:name w:val="annotation reference"/>
    <w:semiHidden/>
    <w:rsid w:val="00A32DB7"/>
    <w:rPr>
      <w:sz w:val="18"/>
      <w:szCs w:val="18"/>
    </w:rPr>
  </w:style>
  <w:style w:type="paragraph" w:styleId="afff7">
    <w:name w:val="annotation text"/>
    <w:basedOn w:val="a0"/>
    <w:link w:val="afff8"/>
    <w:semiHidden/>
    <w:rsid w:val="00A32DB7"/>
    <w:pPr>
      <w:widowControl/>
      <w:spacing w:line="240" w:lineRule="auto"/>
      <w:jc w:val="left"/>
    </w:pPr>
    <w:rPr>
      <w:rFonts w:hAnsi="標楷體" w:cs="新細明體"/>
      <w:snapToGrid/>
      <w:kern w:val="0"/>
      <w:szCs w:val="24"/>
    </w:rPr>
  </w:style>
  <w:style w:type="character" w:customStyle="1" w:styleId="afff8">
    <w:name w:val="註解文字 字元"/>
    <w:link w:val="afff7"/>
    <w:semiHidden/>
    <w:rsid w:val="00A32DB7"/>
    <w:rPr>
      <w:rFonts w:ascii="標楷體" w:eastAsia="標楷體" w:hAnsi="標楷體" w:cs="新細明體"/>
      <w:sz w:val="28"/>
      <w:szCs w:val="24"/>
    </w:rPr>
  </w:style>
  <w:style w:type="paragraph" w:styleId="afff9">
    <w:name w:val="annotation subject"/>
    <w:basedOn w:val="afff7"/>
    <w:next w:val="afff7"/>
    <w:link w:val="afffa"/>
    <w:semiHidden/>
    <w:rsid w:val="00A32DB7"/>
    <w:rPr>
      <w:b/>
      <w:bCs/>
    </w:rPr>
  </w:style>
  <w:style w:type="character" w:customStyle="1" w:styleId="afffa">
    <w:name w:val="註解主旨 字元"/>
    <w:link w:val="afff9"/>
    <w:semiHidden/>
    <w:rsid w:val="00A32DB7"/>
    <w:rPr>
      <w:rFonts w:ascii="標楷體" w:eastAsia="標楷體" w:hAnsi="標楷體" w:cs="新細明體"/>
      <w:b/>
      <w:bCs/>
      <w:sz w:val="28"/>
      <w:szCs w:val="24"/>
    </w:rPr>
  </w:style>
  <w:style w:type="paragraph" w:customStyle="1" w:styleId="afffb">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c">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d">
    <w:name w:val="註腳"/>
    <w:basedOn w:val="af5"/>
    <w:qFormat/>
    <w:rsid w:val="00037933"/>
    <w:pPr>
      <w:wordWrap w:val="0"/>
      <w:spacing w:line="300" w:lineRule="exact"/>
      <w:ind w:leftChars="0" w:left="140" w:hangingChars="69" w:hanging="140"/>
      <w:jc w:val="both"/>
    </w:pPr>
    <w:rPr>
      <w:sz w:val="24"/>
    </w:rPr>
  </w:style>
  <w:style w:type="paragraph" w:styleId="afffe">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D92D11"/>
    <w:pPr>
      <w:spacing w:line="280" w:lineRule="exact"/>
      <w:ind w:leftChars="0" w:left="75" w:hangingChars="75" w:hanging="7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65C61-AC28-492D-A8EE-97175F74E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238</Words>
  <Characters>1360</Characters>
  <Application>Microsoft Office Word</Application>
  <DocSecurity>0</DocSecurity>
  <Lines>11</Lines>
  <Paragraphs>3</Paragraphs>
  <ScaleCrop>false</ScaleCrop>
  <Company/>
  <LinksUpToDate>false</LinksUpToDate>
  <CharactersWithSpaces>1595</CharactersWithSpaces>
  <SharedDoc>false</SharedDoc>
  <HLinks>
    <vt:vector size="108" baseType="variant">
      <vt:variant>
        <vt:i4>1048626</vt:i4>
      </vt:variant>
      <vt:variant>
        <vt:i4>104</vt:i4>
      </vt:variant>
      <vt:variant>
        <vt:i4>0</vt:i4>
      </vt:variant>
      <vt:variant>
        <vt:i4>5</vt:i4>
      </vt:variant>
      <vt:variant>
        <vt:lpwstr/>
      </vt:variant>
      <vt:variant>
        <vt:lpwstr>_Toc217311645</vt:lpwstr>
      </vt:variant>
      <vt:variant>
        <vt:i4>1048626</vt:i4>
      </vt:variant>
      <vt:variant>
        <vt:i4>98</vt:i4>
      </vt:variant>
      <vt:variant>
        <vt:i4>0</vt:i4>
      </vt:variant>
      <vt:variant>
        <vt:i4>5</vt:i4>
      </vt:variant>
      <vt:variant>
        <vt:lpwstr/>
      </vt:variant>
      <vt:variant>
        <vt:lpwstr>_Toc217311644</vt:lpwstr>
      </vt:variant>
      <vt:variant>
        <vt:i4>1048626</vt:i4>
      </vt:variant>
      <vt:variant>
        <vt:i4>92</vt:i4>
      </vt:variant>
      <vt:variant>
        <vt:i4>0</vt:i4>
      </vt:variant>
      <vt:variant>
        <vt:i4>5</vt:i4>
      </vt:variant>
      <vt:variant>
        <vt:lpwstr/>
      </vt:variant>
      <vt:variant>
        <vt:lpwstr>_Toc217311643</vt:lpwstr>
      </vt:variant>
      <vt:variant>
        <vt:i4>1048626</vt:i4>
      </vt:variant>
      <vt:variant>
        <vt:i4>86</vt:i4>
      </vt:variant>
      <vt:variant>
        <vt:i4>0</vt:i4>
      </vt:variant>
      <vt:variant>
        <vt:i4>5</vt:i4>
      </vt:variant>
      <vt:variant>
        <vt:lpwstr/>
      </vt:variant>
      <vt:variant>
        <vt:lpwstr>_Toc217311642</vt:lpwstr>
      </vt:variant>
      <vt:variant>
        <vt:i4>1048626</vt:i4>
      </vt:variant>
      <vt:variant>
        <vt:i4>80</vt:i4>
      </vt:variant>
      <vt:variant>
        <vt:i4>0</vt:i4>
      </vt:variant>
      <vt:variant>
        <vt:i4>5</vt:i4>
      </vt:variant>
      <vt:variant>
        <vt:lpwstr/>
      </vt:variant>
      <vt:variant>
        <vt:lpwstr>_Toc217311641</vt:lpwstr>
      </vt:variant>
      <vt:variant>
        <vt:i4>1048626</vt:i4>
      </vt:variant>
      <vt:variant>
        <vt:i4>74</vt:i4>
      </vt:variant>
      <vt:variant>
        <vt:i4>0</vt:i4>
      </vt:variant>
      <vt:variant>
        <vt:i4>5</vt:i4>
      </vt:variant>
      <vt:variant>
        <vt:lpwstr/>
      </vt:variant>
      <vt:variant>
        <vt:lpwstr>_Toc217311640</vt:lpwstr>
      </vt:variant>
      <vt:variant>
        <vt:i4>1507378</vt:i4>
      </vt:variant>
      <vt:variant>
        <vt:i4>68</vt:i4>
      </vt:variant>
      <vt:variant>
        <vt:i4>0</vt:i4>
      </vt:variant>
      <vt:variant>
        <vt:i4>5</vt:i4>
      </vt:variant>
      <vt:variant>
        <vt:lpwstr/>
      </vt:variant>
      <vt:variant>
        <vt:lpwstr>_Toc217311639</vt:lpwstr>
      </vt:variant>
      <vt:variant>
        <vt:i4>1507378</vt:i4>
      </vt:variant>
      <vt:variant>
        <vt:i4>62</vt:i4>
      </vt:variant>
      <vt:variant>
        <vt:i4>0</vt:i4>
      </vt:variant>
      <vt:variant>
        <vt:i4>5</vt:i4>
      </vt:variant>
      <vt:variant>
        <vt:lpwstr/>
      </vt:variant>
      <vt:variant>
        <vt:lpwstr>_Toc217311638</vt:lpwstr>
      </vt:variant>
      <vt:variant>
        <vt:i4>1507378</vt:i4>
      </vt:variant>
      <vt:variant>
        <vt:i4>56</vt:i4>
      </vt:variant>
      <vt:variant>
        <vt:i4>0</vt:i4>
      </vt:variant>
      <vt:variant>
        <vt:i4>5</vt:i4>
      </vt:variant>
      <vt:variant>
        <vt:lpwstr/>
      </vt:variant>
      <vt:variant>
        <vt:lpwstr>_Toc217311637</vt:lpwstr>
      </vt:variant>
      <vt:variant>
        <vt:i4>1507378</vt:i4>
      </vt:variant>
      <vt:variant>
        <vt:i4>50</vt:i4>
      </vt:variant>
      <vt:variant>
        <vt:i4>0</vt:i4>
      </vt:variant>
      <vt:variant>
        <vt:i4>5</vt:i4>
      </vt:variant>
      <vt:variant>
        <vt:lpwstr/>
      </vt:variant>
      <vt:variant>
        <vt:lpwstr>_Toc217311636</vt:lpwstr>
      </vt:variant>
      <vt:variant>
        <vt:i4>1507378</vt:i4>
      </vt:variant>
      <vt:variant>
        <vt:i4>44</vt:i4>
      </vt:variant>
      <vt:variant>
        <vt:i4>0</vt:i4>
      </vt:variant>
      <vt:variant>
        <vt:i4>5</vt:i4>
      </vt:variant>
      <vt:variant>
        <vt:lpwstr/>
      </vt:variant>
      <vt:variant>
        <vt:lpwstr>_Toc217311635</vt:lpwstr>
      </vt:variant>
      <vt:variant>
        <vt:i4>1507378</vt:i4>
      </vt:variant>
      <vt:variant>
        <vt:i4>38</vt:i4>
      </vt:variant>
      <vt:variant>
        <vt:i4>0</vt:i4>
      </vt:variant>
      <vt:variant>
        <vt:i4>5</vt:i4>
      </vt:variant>
      <vt:variant>
        <vt:lpwstr/>
      </vt:variant>
      <vt:variant>
        <vt:lpwstr>_Toc217311634</vt:lpwstr>
      </vt:variant>
      <vt:variant>
        <vt:i4>1507378</vt:i4>
      </vt:variant>
      <vt:variant>
        <vt:i4>32</vt:i4>
      </vt:variant>
      <vt:variant>
        <vt:i4>0</vt:i4>
      </vt:variant>
      <vt:variant>
        <vt:i4>5</vt:i4>
      </vt:variant>
      <vt:variant>
        <vt:lpwstr/>
      </vt:variant>
      <vt:variant>
        <vt:lpwstr>_Toc217311633</vt:lpwstr>
      </vt:variant>
      <vt:variant>
        <vt:i4>1507378</vt:i4>
      </vt:variant>
      <vt:variant>
        <vt:i4>26</vt:i4>
      </vt:variant>
      <vt:variant>
        <vt:i4>0</vt:i4>
      </vt:variant>
      <vt:variant>
        <vt:i4>5</vt:i4>
      </vt:variant>
      <vt:variant>
        <vt:lpwstr/>
      </vt:variant>
      <vt:variant>
        <vt:lpwstr>_Toc217311632</vt:lpwstr>
      </vt:variant>
      <vt:variant>
        <vt:i4>1507378</vt:i4>
      </vt:variant>
      <vt:variant>
        <vt:i4>20</vt:i4>
      </vt:variant>
      <vt:variant>
        <vt:i4>0</vt:i4>
      </vt:variant>
      <vt:variant>
        <vt:i4>5</vt:i4>
      </vt:variant>
      <vt:variant>
        <vt:lpwstr/>
      </vt:variant>
      <vt:variant>
        <vt:lpwstr>_Toc217311631</vt:lpwstr>
      </vt:variant>
      <vt:variant>
        <vt:i4>1507378</vt:i4>
      </vt:variant>
      <vt:variant>
        <vt:i4>14</vt:i4>
      </vt:variant>
      <vt:variant>
        <vt:i4>0</vt:i4>
      </vt:variant>
      <vt:variant>
        <vt:i4>5</vt:i4>
      </vt:variant>
      <vt:variant>
        <vt:lpwstr/>
      </vt:variant>
      <vt:variant>
        <vt:lpwstr>_Toc217311630</vt:lpwstr>
      </vt:variant>
      <vt:variant>
        <vt:i4>1441842</vt:i4>
      </vt:variant>
      <vt:variant>
        <vt:i4>8</vt:i4>
      </vt:variant>
      <vt:variant>
        <vt:i4>0</vt:i4>
      </vt:variant>
      <vt:variant>
        <vt:i4>5</vt:i4>
      </vt:variant>
      <vt:variant>
        <vt:lpwstr/>
      </vt:variant>
      <vt:variant>
        <vt:lpwstr>_Toc217311629</vt:lpwstr>
      </vt:variant>
      <vt:variant>
        <vt:i4>1441842</vt:i4>
      </vt:variant>
      <vt:variant>
        <vt:i4>2</vt:i4>
      </vt:variant>
      <vt:variant>
        <vt:i4>0</vt:i4>
      </vt:variant>
      <vt:variant>
        <vt:i4>5</vt:i4>
      </vt:variant>
      <vt:variant>
        <vt:lpwstr/>
      </vt:variant>
      <vt:variant>
        <vt:lpwstr>_Toc217311628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2025-12-22T07:24:00Z</cp:lastPrinted>
  <dcterms:created xsi:type="dcterms:W3CDTF">2025-12-24T06:48:00Z</dcterms:created>
  <dcterms:modified xsi:type="dcterms:W3CDTF">2025-12-24T06:48:00Z</dcterms:modified>
</cp:coreProperties>
</file>