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2900A4" w:rsidRPr="002900A4" w:rsidRDefault="002900A4" w:rsidP="002900A4">
      <w:pPr>
        <w:pStyle w:val="14"/>
        <w:ind w:left="567" w:hanging="567"/>
      </w:pPr>
      <w:bookmarkStart w:id="1" w:name="_Toc51158149"/>
      <w:bookmarkStart w:id="2" w:name="_Toc82075872"/>
      <w:bookmarkStart w:id="3" w:name="_Toc82531824"/>
      <w:bookmarkStart w:id="4" w:name="_Toc146900700"/>
      <w:bookmarkStart w:id="5" w:name="_Toc217311639"/>
      <w:r w:rsidRPr="002900A4">
        <w:rPr>
          <w:rFonts w:hint="eastAsia"/>
        </w:rPr>
        <w:lastRenderedPageBreak/>
        <w:t>八、屬前年度及以前年度核定案件之應付補助款金額概呈增加趨勢，允宜強化補助計畫之審核監督及執行期程控管</w:t>
      </w:r>
      <w:r w:rsidRPr="002900A4">
        <w:rPr>
          <w:rFonts w:hint="eastAsia"/>
          <w:snapToGrid/>
        </w:rPr>
        <w:t>，以增進補助經費運用成效</w:t>
      </w:r>
      <w:bookmarkEnd w:id="5"/>
    </w:p>
    <w:p w:rsidR="002900A4" w:rsidRPr="002900A4" w:rsidRDefault="002900A4" w:rsidP="002900A4">
      <w:pPr>
        <w:ind w:left="566" w:firstLine="566"/>
        <w:rPr>
          <w:rFonts w:hAnsi="標楷體" w:hint="eastAsia"/>
          <w:snapToGrid/>
        </w:rPr>
      </w:pPr>
      <w:r w:rsidRPr="002900A4">
        <w:rPr>
          <w:rFonts w:hAnsi="標楷體" w:hint="eastAsia"/>
          <w:color w:val="000000"/>
        </w:rPr>
        <w:t>財團法人國家文化藝術基金會（以下簡稱國藝會</w:t>
      </w:r>
      <w:r w:rsidRPr="002900A4">
        <w:rPr>
          <w:rFonts w:hAnsi="標楷體"/>
          <w:color w:val="000000"/>
        </w:rPr>
        <w:t>）</w:t>
      </w:r>
      <w:r w:rsidRPr="002900A4">
        <w:rPr>
          <w:rFonts w:hint="eastAsia"/>
        </w:rPr>
        <w:t>113年度「補助業務支出」決算數4億5</w:t>
      </w:r>
      <w:r w:rsidRPr="002900A4">
        <w:t>5</w:t>
      </w:r>
      <w:r w:rsidRPr="002900A4">
        <w:rPr>
          <w:rFonts w:hint="eastAsia"/>
        </w:rPr>
        <w:t>萬5千元，較預算數4億316萬3千元減少260萬8千元，減幅0.65%。經查：</w:t>
      </w:r>
    </w:p>
    <w:p w:rsidR="002900A4" w:rsidRPr="000E4BBA" w:rsidRDefault="002900A4" w:rsidP="000E4BBA">
      <w:pPr>
        <w:pStyle w:val="a5"/>
        <w:ind w:left="849" w:hanging="283"/>
        <w:rPr>
          <w:b/>
        </w:rPr>
      </w:pPr>
      <w:r w:rsidRPr="000E4BBA">
        <w:rPr>
          <w:rFonts w:hint="eastAsia"/>
          <w:b/>
        </w:rPr>
        <w:t>(一)國藝會108至113年度補助業務支出占總支出比率介於77.13%至85.14%間，顯示補助業務為其主要業務項目</w:t>
      </w:r>
    </w:p>
    <w:p w:rsidR="002900A4" w:rsidRPr="002900A4" w:rsidRDefault="002900A4" w:rsidP="000E4BBA">
      <w:pPr>
        <w:pStyle w:val="22"/>
        <w:ind w:left="850" w:firstLine="566"/>
        <w:rPr>
          <w:rFonts w:hint="eastAsia"/>
          <w:snapToGrid/>
        </w:rPr>
      </w:pPr>
      <w:r w:rsidRPr="002900A4">
        <w:rPr>
          <w:rFonts w:hint="eastAsia"/>
          <w:snapToGrid/>
        </w:rPr>
        <w:t>依文化藝術獎助及促進條例第24條</w:t>
      </w:r>
      <w:r w:rsidRPr="002900A4">
        <w:rPr>
          <w:snapToGrid/>
          <w:vertAlign w:val="superscript"/>
        </w:rPr>
        <w:footnoteReference w:id="1"/>
      </w:r>
      <w:r w:rsidRPr="002900A4">
        <w:rPr>
          <w:rFonts w:hint="eastAsia"/>
          <w:snapToGrid/>
        </w:rPr>
        <w:t>規定略以，國藝會設立宗旨係為輔導辦理文化藝術活動及贊助藝文事業，應定期頒發各類國家文藝獎，訂定各類文化藝術獎勵與補助相關辦法，提供文化藝術資訊及法律諮詢。是以，補助業務為國藝會之法定職掌。觀該會近6年(108至113年度)決算補助業務支出介於3億7,456萬3千元至6億2</w:t>
      </w:r>
      <w:r w:rsidRPr="002900A4">
        <w:rPr>
          <w:snapToGrid/>
        </w:rPr>
        <w:t>,</w:t>
      </w:r>
      <w:r w:rsidRPr="002900A4">
        <w:rPr>
          <w:rFonts w:hint="eastAsia"/>
          <w:snapToGrid/>
        </w:rPr>
        <w:t>863萬7千元間，其占各該年度總支出之比率介於77.13%至8</w:t>
      </w:r>
      <w:r w:rsidRPr="002900A4">
        <w:rPr>
          <w:snapToGrid/>
        </w:rPr>
        <w:t>5.14</w:t>
      </w:r>
      <w:r w:rsidRPr="002900A4">
        <w:rPr>
          <w:rFonts w:hint="eastAsia"/>
          <w:snapToGrid/>
        </w:rPr>
        <w:t>%間(詳表1)，顯示補助業務支出為該會主要支出項目。</w:t>
      </w:r>
    </w:p>
    <w:p w:rsidR="002900A4" w:rsidRPr="002900A4" w:rsidRDefault="002900A4" w:rsidP="002900A4">
      <w:pPr>
        <w:ind w:leftChars="0" w:left="0" w:firstLineChars="0" w:firstLine="0"/>
        <w:jc w:val="left"/>
        <w:rPr>
          <w:rFonts w:hAnsi="標楷體"/>
          <w:snapToGrid/>
          <w:sz w:val="24"/>
          <w:szCs w:val="24"/>
        </w:rPr>
      </w:pPr>
      <w:r w:rsidRPr="002900A4">
        <w:rPr>
          <w:rFonts w:hAnsi="標楷體" w:hint="eastAsia"/>
          <w:b/>
          <w:snapToGrid/>
        </w:rPr>
        <w:t>表1  108至1</w:t>
      </w:r>
      <w:r w:rsidRPr="002900A4">
        <w:rPr>
          <w:rFonts w:hAnsi="標楷體"/>
          <w:b/>
          <w:snapToGrid/>
        </w:rPr>
        <w:t>1</w:t>
      </w:r>
      <w:r w:rsidRPr="002900A4">
        <w:rPr>
          <w:rFonts w:hAnsi="標楷體" w:hint="eastAsia"/>
          <w:b/>
          <w:snapToGrid/>
        </w:rPr>
        <w:t xml:space="preserve">3年度國藝會補助業務支出概況表 </w:t>
      </w:r>
      <w:r w:rsidRPr="002900A4">
        <w:rPr>
          <w:rFonts w:hAnsi="標楷體" w:hint="eastAsia"/>
          <w:snapToGrid/>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151"/>
        <w:gridCol w:w="1151"/>
        <w:gridCol w:w="1151"/>
        <w:gridCol w:w="1151"/>
        <w:gridCol w:w="1151"/>
        <w:gridCol w:w="1151"/>
      </w:tblGrid>
      <w:tr w:rsidR="002900A4" w:rsidRPr="002900A4" w:rsidTr="004D0963">
        <w:trPr>
          <w:tblHeader/>
        </w:trPr>
        <w:tc>
          <w:tcPr>
            <w:tcW w:w="1701" w:type="dxa"/>
            <w:shd w:val="clear" w:color="auto" w:fill="auto"/>
            <w:vAlign w:val="center"/>
          </w:tcPr>
          <w:p w:rsidR="002900A4" w:rsidRPr="002900A4" w:rsidRDefault="002900A4" w:rsidP="002900A4">
            <w:pPr>
              <w:spacing w:line="280" w:lineRule="exact"/>
              <w:ind w:leftChars="0" w:left="567" w:firstLineChars="0" w:hanging="567"/>
              <w:jc w:val="center"/>
              <w:rPr>
                <w:rFonts w:hAnsi="Calibri"/>
                <w:b/>
                <w:sz w:val="24"/>
              </w:rPr>
            </w:pPr>
            <w:r w:rsidRPr="002900A4">
              <w:rPr>
                <w:rFonts w:hAnsi="Calibri" w:hint="eastAsia"/>
                <w:b/>
                <w:sz w:val="24"/>
              </w:rPr>
              <w:t>項目</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108年度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109年度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110年度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111年度</w:t>
            </w:r>
          </w:p>
        </w:tc>
        <w:tc>
          <w:tcPr>
            <w:tcW w:w="1151" w:type="dxa"/>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112年度</w:t>
            </w:r>
          </w:p>
        </w:tc>
        <w:tc>
          <w:tcPr>
            <w:tcW w:w="1151" w:type="dxa"/>
            <w:shd w:val="clear" w:color="auto" w:fill="auto"/>
            <w:vAlign w:val="center"/>
          </w:tcPr>
          <w:p w:rsidR="002900A4" w:rsidRPr="002900A4" w:rsidRDefault="002900A4" w:rsidP="002900A4">
            <w:pPr>
              <w:spacing w:line="280" w:lineRule="exact"/>
              <w:ind w:leftChars="0" w:left="0" w:firstLineChars="0" w:firstLine="0"/>
              <w:jc w:val="center"/>
              <w:rPr>
                <w:rFonts w:hAnsi="Calibri"/>
                <w:b/>
                <w:sz w:val="24"/>
              </w:rPr>
            </w:pPr>
            <w:r w:rsidRPr="002900A4">
              <w:rPr>
                <w:rFonts w:hAnsi="Calibri" w:hint="eastAsia"/>
                <w:b/>
                <w:sz w:val="24"/>
              </w:rPr>
              <w:t>113年度</w:t>
            </w:r>
          </w:p>
        </w:tc>
      </w:tr>
      <w:tr w:rsidR="002900A4" w:rsidRPr="002900A4" w:rsidTr="004D0963">
        <w:tc>
          <w:tcPr>
            <w:tcW w:w="1701" w:type="dxa"/>
            <w:shd w:val="clear" w:color="auto" w:fill="auto"/>
            <w:vAlign w:val="center"/>
          </w:tcPr>
          <w:p w:rsidR="002900A4" w:rsidRPr="002900A4" w:rsidRDefault="002900A4" w:rsidP="002900A4">
            <w:pPr>
              <w:spacing w:line="280" w:lineRule="exact"/>
              <w:ind w:leftChars="0" w:left="0" w:firstLineChars="0" w:firstLine="0"/>
              <w:rPr>
                <w:rFonts w:hAnsi="Calibri"/>
                <w:spacing w:val="-20"/>
                <w:sz w:val="24"/>
              </w:rPr>
            </w:pPr>
            <w:r w:rsidRPr="002900A4">
              <w:rPr>
                <w:rFonts w:hAnsi="Calibri" w:hint="eastAsia"/>
                <w:spacing w:val="-20"/>
                <w:sz w:val="24"/>
              </w:rPr>
              <w:t>總支出</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490,303</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470,527</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493,170</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738,354</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512,511</w:t>
            </w:r>
          </w:p>
        </w:tc>
        <w:tc>
          <w:tcPr>
            <w:tcW w:w="1151" w:type="dxa"/>
            <w:shd w:val="clear" w:color="auto" w:fill="auto"/>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515</w:t>
            </w:r>
            <w:r w:rsidRPr="002900A4">
              <w:rPr>
                <w:rFonts w:hAnsi="Calibri"/>
                <w:sz w:val="24"/>
              </w:rPr>
              <w:t>,353</w:t>
            </w:r>
          </w:p>
        </w:tc>
      </w:tr>
      <w:tr w:rsidR="002900A4" w:rsidRPr="002900A4" w:rsidTr="004D0963">
        <w:tc>
          <w:tcPr>
            <w:tcW w:w="1701" w:type="dxa"/>
            <w:shd w:val="clear" w:color="auto" w:fill="auto"/>
            <w:vAlign w:val="center"/>
          </w:tcPr>
          <w:p w:rsidR="002900A4" w:rsidRPr="002900A4" w:rsidRDefault="002900A4" w:rsidP="002900A4">
            <w:pPr>
              <w:spacing w:line="280" w:lineRule="exact"/>
              <w:ind w:leftChars="0" w:left="0" w:firstLineChars="0" w:firstLine="0"/>
              <w:rPr>
                <w:rFonts w:hAnsi="Calibri"/>
                <w:spacing w:val="-20"/>
                <w:sz w:val="24"/>
              </w:rPr>
            </w:pPr>
            <w:r w:rsidRPr="002900A4">
              <w:rPr>
                <w:rFonts w:hAnsi="Calibri" w:hint="eastAsia"/>
                <w:spacing w:val="-20"/>
                <w:sz w:val="24"/>
              </w:rPr>
              <w:t>補助業務支出</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388,315</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374,563</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380,382</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628,637</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sz w:val="24"/>
              </w:rPr>
              <w:t>397,609</w:t>
            </w:r>
          </w:p>
        </w:tc>
        <w:tc>
          <w:tcPr>
            <w:tcW w:w="1151" w:type="dxa"/>
            <w:shd w:val="clear" w:color="auto" w:fill="auto"/>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4</w:t>
            </w:r>
            <w:r w:rsidRPr="002900A4">
              <w:rPr>
                <w:rFonts w:hAnsi="Calibri"/>
                <w:sz w:val="24"/>
              </w:rPr>
              <w:t>00,555</w:t>
            </w:r>
          </w:p>
        </w:tc>
      </w:tr>
      <w:tr w:rsidR="002900A4" w:rsidRPr="002900A4" w:rsidTr="004D0963">
        <w:tc>
          <w:tcPr>
            <w:tcW w:w="1701" w:type="dxa"/>
            <w:shd w:val="clear" w:color="auto" w:fill="auto"/>
            <w:vAlign w:val="center"/>
          </w:tcPr>
          <w:p w:rsidR="002900A4" w:rsidRPr="002900A4" w:rsidRDefault="002900A4" w:rsidP="002900A4">
            <w:pPr>
              <w:spacing w:line="280" w:lineRule="exact"/>
              <w:ind w:leftChars="0" w:left="0" w:firstLineChars="0" w:firstLine="0"/>
              <w:rPr>
                <w:rFonts w:hAnsi="Calibri"/>
                <w:spacing w:val="-20"/>
                <w:sz w:val="24"/>
              </w:rPr>
            </w:pPr>
            <w:r w:rsidRPr="002900A4">
              <w:rPr>
                <w:rFonts w:hAnsi="Calibri" w:hint="eastAsia"/>
                <w:spacing w:val="-20"/>
                <w:sz w:val="24"/>
              </w:rPr>
              <w:t>補助業務支出占總支出比率</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79.20</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79.60</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77.13</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85.14</w:t>
            </w:r>
          </w:p>
        </w:tc>
        <w:tc>
          <w:tcPr>
            <w:tcW w:w="1151" w:type="dxa"/>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77.58</w:t>
            </w:r>
          </w:p>
        </w:tc>
        <w:tc>
          <w:tcPr>
            <w:tcW w:w="1151" w:type="dxa"/>
            <w:shd w:val="clear" w:color="auto" w:fill="auto"/>
            <w:vAlign w:val="center"/>
          </w:tcPr>
          <w:p w:rsidR="002900A4" w:rsidRPr="002900A4" w:rsidRDefault="002900A4" w:rsidP="002900A4">
            <w:pPr>
              <w:spacing w:line="280" w:lineRule="exact"/>
              <w:ind w:leftChars="0" w:left="0" w:firstLineChars="0" w:firstLine="0"/>
              <w:jc w:val="right"/>
              <w:rPr>
                <w:rFonts w:hAnsi="Calibri"/>
                <w:sz w:val="24"/>
              </w:rPr>
            </w:pPr>
            <w:r w:rsidRPr="002900A4">
              <w:rPr>
                <w:rFonts w:hAnsi="Calibri" w:hint="eastAsia"/>
                <w:sz w:val="24"/>
              </w:rPr>
              <w:t>7</w:t>
            </w:r>
            <w:r w:rsidRPr="002900A4">
              <w:rPr>
                <w:rFonts w:hAnsi="Calibri"/>
                <w:sz w:val="24"/>
              </w:rPr>
              <w:t>7.72</w:t>
            </w:r>
          </w:p>
        </w:tc>
      </w:tr>
    </w:tbl>
    <w:p w:rsidR="002900A4" w:rsidRPr="002900A4" w:rsidRDefault="002900A4" w:rsidP="002900A4">
      <w:pPr>
        <w:spacing w:line="280" w:lineRule="exact"/>
        <w:ind w:leftChars="0" w:left="0" w:firstLineChars="0" w:firstLine="0"/>
        <w:jc w:val="left"/>
        <w:rPr>
          <w:rFonts w:hAnsi="標楷體"/>
          <w:snapToGrid/>
          <w:sz w:val="24"/>
        </w:rPr>
      </w:pPr>
      <w:r w:rsidRPr="002900A4">
        <w:rPr>
          <w:rFonts w:hAnsi="標楷體" w:hint="eastAsia"/>
          <w:snapToGrid/>
          <w:sz w:val="24"/>
        </w:rPr>
        <w:t>說    明：表列各年度數據均為決算數。</w:t>
      </w:r>
    </w:p>
    <w:p w:rsidR="002900A4" w:rsidRPr="002900A4" w:rsidRDefault="002900A4" w:rsidP="002900A4">
      <w:pPr>
        <w:spacing w:line="280" w:lineRule="exact"/>
        <w:ind w:leftChars="0" w:left="0" w:firstLineChars="0" w:firstLine="0"/>
        <w:jc w:val="left"/>
        <w:rPr>
          <w:rFonts w:hAnsi="標楷體"/>
          <w:sz w:val="24"/>
        </w:rPr>
      </w:pPr>
      <w:r w:rsidRPr="002900A4">
        <w:rPr>
          <w:rFonts w:hAnsi="標楷體" w:hint="eastAsia"/>
          <w:snapToGrid/>
          <w:sz w:val="24"/>
        </w:rPr>
        <w:t>資料來源：國藝會提供。</w:t>
      </w:r>
    </w:p>
    <w:p w:rsidR="002900A4" w:rsidRPr="000E4BBA" w:rsidRDefault="002900A4" w:rsidP="000E4BBA">
      <w:pPr>
        <w:pStyle w:val="a5"/>
        <w:ind w:left="849" w:hanging="283"/>
        <w:rPr>
          <w:b/>
          <w:snapToGrid/>
        </w:rPr>
      </w:pPr>
      <w:r w:rsidRPr="000E4BBA">
        <w:rPr>
          <w:rFonts w:hint="eastAsia"/>
          <w:b/>
          <w:snapToGrid/>
        </w:rPr>
        <w:t>(二)113年度應付補助款屬前年度及以前年度核定案件者占比高達38.83%，允宜加強辦理補助案件之審核監督與執行期程控管</w:t>
      </w:r>
    </w:p>
    <w:p w:rsidR="002900A4" w:rsidRPr="002900A4" w:rsidRDefault="002900A4" w:rsidP="000E4BBA">
      <w:pPr>
        <w:pStyle w:val="123"/>
        <w:ind w:left="1133" w:hanging="283"/>
      </w:pPr>
      <w:r w:rsidRPr="002900A4">
        <w:rPr>
          <w:rFonts w:hint="eastAsia"/>
          <w:snapToGrid/>
        </w:rPr>
        <w:lastRenderedPageBreak/>
        <w:t>1.據國藝會應付補助款金額及核定年度統計資料，應付補助款由108年度1億6</w:t>
      </w:r>
      <w:r w:rsidRPr="002900A4">
        <w:rPr>
          <w:snapToGrid/>
        </w:rPr>
        <w:t>,564</w:t>
      </w:r>
      <w:r w:rsidRPr="002900A4">
        <w:rPr>
          <w:rFonts w:hint="eastAsia"/>
          <w:snapToGrid/>
        </w:rPr>
        <w:t>萬1千元，遞增至最高為111年度4億1</w:t>
      </w:r>
      <w:r w:rsidRPr="002900A4">
        <w:rPr>
          <w:snapToGrid/>
        </w:rPr>
        <w:t>,025</w:t>
      </w:r>
      <w:r w:rsidRPr="002900A4">
        <w:rPr>
          <w:rFonts w:hint="eastAsia"/>
          <w:snapToGrid/>
        </w:rPr>
        <w:t>萬5千元，其後遞減至113年度為2億8</w:t>
      </w:r>
      <w:r w:rsidRPr="002900A4">
        <w:rPr>
          <w:snapToGrid/>
        </w:rPr>
        <w:t>,069</w:t>
      </w:r>
      <w:r w:rsidRPr="002900A4">
        <w:rPr>
          <w:rFonts w:hint="eastAsia"/>
          <w:snapToGrid/>
        </w:rPr>
        <w:t>萬5千元，惟仍高於108至110年度之應付補助款金額(詳表2)。</w:t>
      </w:r>
      <w:r w:rsidRPr="002900A4">
        <w:rPr>
          <w:rFonts w:hint="eastAsia"/>
        </w:rPr>
        <w:t>據國藝會表示，應付補助款係因部分申請補助案件為跨年期補助計畫所致。</w:t>
      </w:r>
    </w:p>
    <w:p w:rsidR="002900A4" w:rsidRPr="002900A4" w:rsidRDefault="002900A4" w:rsidP="000E4BBA">
      <w:pPr>
        <w:pStyle w:val="123"/>
        <w:ind w:left="1133" w:hanging="283"/>
        <w:rPr>
          <w:snapToGrid/>
        </w:rPr>
      </w:pPr>
      <w:r w:rsidRPr="002900A4">
        <w:rPr>
          <w:rFonts w:hint="eastAsia"/>
        </w:rPr>
        <w:t>2.鑒於108至113年度</w:t>
      </w:r>
      <w:r w:rsidRPr="002900A4">
        <w:rPr>
          <w:rFonts w:hint="eastAsia"/>
          <w:snapToGrid/>
        </w:rPr>
        <w:t>屬前年度及以前年度核定案件之應付補助款金額介於1,314萬6千元至1億900萬4千元間，概呈遞增趨勢，其占應付補助款比率介於7.38%至38.83%間，尤其113年度應付補助款之案件核定年度屬當年度占比僅46.09%，屬前年度及以前年度者占比大幅增為38.83% (詳表2)，顯示補助計畫之執行期程控管及審核監督尚有加強精進空間。</w:t>
      </w:r>
    </w:p>
    <w:p w:rsidR="002900A4" w:rsidRPr="002900A4" w:rsidRDefault="002900A4" w:rsidP="002900A4">
      <w:pPr>
        <w:ind w:leftChars="0" w:left="0" w:firstLineChars="0" w:firstLine="0"/>
        <w:jc w:val="left"/>
        <w:rPr>
          <w:rFonts w:hAnsi="標楷體"/>
          <w:b/>
          <w:snapToGrid/>
        </w:rPr>
      </w:pPr>
      <w:r w:rsidRPr="002900A4">
        <w:rPr>
          <w:rFonts w:hAnsi="標楷體" w:hint="eastAsia"/>
          <w:b/>
          <w:snapToGrid/>
        </w:rPr>
        <w:t>表2  108至113年度國藝會應付補助款案件核定年度概況表</w:t>
      </w:r>
    </w:p>
    <w:p w:rsidR="002900A4" w:rsidRPr="002900A4" w:rsidRDefault="002900A4" w:rsidP="002900A4">
      <w:pPr>
        <w:spacing w:line="280" w:lineRule="exact"/>
        <w:ind w:leftChars="0" w:left="0" w:firstLineChars="0" w:firstLine="0"/>
        <w:jc w:val="right"/>
        <w:rPr>
          <w:rFonts w:hAnsi="標楷體" w:hint="eastAsia"/>
          <w:snapToGrid/>
        </w:rPr>
      </w:pPr>
      <w:r w:rsidRPr="002900A4">
        <w:rPr>
          <w:rFonts w:hAnsi="標楷體" w:hint="eastAsia"/>
          <w:snapToGrid/>
          <w:sz w:val="24"/>
          <w:szCs w:val="24"/>
        </w:rPr>
        <w:t>單位：新臺幣千元；%</w:t>
      </w:r>
    </w:p>
    <w:tbl>
      <w:tblPr>
        <w:tblW w:w="8532" w:type="dxa"/>
        <w:tblInd w:w="28" w:type="dxa"/>
        <w:tblLayout w:type="fixed"/>
        <w:tblCellMar>
          <w:left w:w="28" w:type="dxa"/>
          <w:right w:w="28" w:type="dxa"/>
        </w:tblCellMar>
        <w:tblLook w:val="04A0" w:firstRow="1" w:lastRow="0" w:firstColumn="1" w:lastColumn="0" w:noHBand="0" w:noVBand="1"/>
      </w:tblPr>
      <w:tblGrid>
        <w:gridCol w:w="1040"/>
        <w:gridCol w:w="1070"/>
        <w:gridCol w:w="1070"/>
        <w:gridCol w:w="1070"/>
        <w:gridCol w:w="1071"/>
        <w:gridCol w:w="1070"/>
        <w:gridCol w:w="1070"/>
        <w:gridCol w:w="1071"/>
      </w:tblGrid>
      <w:tr w:rsidR="002900A4" w:rsidRPr="002900A4" w:rsidTr="004D0963">
        <w:tc>
          <w:tcPr>
            <w:tcW w:w="1040" w:type="dxa"/>
            <w:vMerge w:val="restart"/>
            <w:tcBorders>
              <w:top w:val="single" w:sz="12" w:space="0" w:color="auto"/>
              <w:left w:val="single" w:sz="12" w:space="0" w:color="auto"/>
              <w:right w:val="single" w:sz="4"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center"/>
              <w:rPr>
                <w:b/>
                <w:snapToGrid/>
                <w:sz w:val="24"/>
              </w:rPr>
            </w:pPr>
            <w:r w:rsidRPr="002900A4">
              <w:rPr>
                <w:rFonts w:hint="eastAsia"/>
                <w:b/>
                <w:snapToGrid/>
                <w:sz w:val="24"/>
              </w:rPr>
              <w:t>年度</w:t>
            </w:r>
          </w:p>
        </w:tc>
        <w:tc>
          <w:tcPr>
            <w:tcW w:w="1070" w:type="dxa"/>
            <w:vMerge w:val="restart"/>
            <w:tcBorders>
              <w:top w:val="single" w:sz="12" w:space="0" w:color="auto"/>
              <w:left w:val="nil"/>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合計</w:t>
            </w:r>
          </w:p>
        </w:tc>
        <w:tc>
          <w:tcPr>
            <w:tcW w:w="2140" w:type="dxa"/>
            <w:gridSpan w:val="2"/>
            <w:tcBorders>
              <w:top w:val="single" w:sz="12"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前年度及</w:t>
            </w:r>
          </w:p>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以前年度</w:t>
            </w:r>
          </w:p>
        </w:tc>
        <w:tc>
          <w:tcPr>
            <w:tcW w:w="2141" w:type="dxa"/>
            <w:gridSpan w:val="2"/>
            <w:tcBorders>
              <w:top w:val="single" w:sz="12"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上年度</w:t>
            </w:r>
          </w:p>
        </w:tc>
        <w:tc>
          <w:tcPr>
            <w:tcW w:w="2141" w:type="dxa"/>
            <w:gridSpan w:val="2"/>
            <w:tcBorders>
              <w:top w:val="single" w:sz="12" w:space="0" w:color="auto"/>
              <w:left w:val="nil"/>
              <w:bottom w:val="single" w:sz="4" w:space="0" w:color="auto"/>
              <w:right w:val="single" w:sz="12"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當年度</w:t>
            </w:r>
          </w:p>
        </w:tc>
      </w:tr>
      <w:tr w:rsidR="002900A4" w:rsidRPr="002900A4" w:rsidTr="004D0963">
        <w:tc>
          <w:tcPr>
            <w:tcW w:w="1040" w:type="dxa"/>
            <w:vMerge/>
            <w:tcBorders>
              <w:left w:val="single" w:sz="12" w:space="0" w:color="auto"/>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b/>
                <w:snapToGrid/>
                <w:sz w:val="24"/>
              </w:rPr>
            </w:pPr>
          </w:p>
        </w:tc>
        <w:tc>
          <w:tcPr>
            <w:tcW w:w="1070" w:type="dxa"/>
            <w:vMerge/>
            <w:tcBorders>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金額</w:t>
            </w: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占比</w:t>
            </w:r>
          </w:p>
        </w:tc>
        <w:tc>
          <w:tcPr>
            <w:tcW w:w="1071"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金額</w:t>
            </w: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占比</w:t>
            </w:r>
          </w:p>
        </w:tc>
        <w:tc>
          <w:tcPr>
            <w:tcW w:w="1070" w:type="dxa"/>
            <w:tcBorders>
              <w:top w:val="single" w:sz="4" w:space="0" w:color="auto"/>
              <w:left w:val="nil"/>
              <w:bottom w:val="single" w:sz="4" w:space="0" w:color="auto"/>
              <w:right w:val="single" w:sz="4"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金額</w:t>
            </w:r>
          </w:p>
        </w:tc>
        <w:tc>
          <w:tcPr>
            <w:tcW w:w="1071" w:type="dxa"/>
            <w:tcBorders>
              <w:top w:val="single" w:sz="4" w:space="0" w:color="auto"/>
              <w:left w:val="nil"/>
              <w:bottom w:val="single" w:sz="4" w:space="0" w:color="auto"/>
              <w:right w:val="single" w:sz="12" w:space="0" w:color="auto"/>
            </w:tcBorders>
            <w:shd w:val="clear" w:color="auto" w:fill="auto"/>
            <w:noWrap/>
            <w:vAlign w:val="center"/>
          </w:tcPr>
          <w:p w:rsidR="002900A4" w:rsidRPr="002900A4" w:rsidRDefault="002900A4" w:rsidP="002900A4">
            <w:pPr>
              <w:spacing w:line="280" w:lineRule="exact"/>
              <w:ind w:leftChars="0" w:left="0" w:firstLineChars="0" w:firstLine="0"/>
              <w:jc w:val="center"/>
              <w:rPr>
                <w:rFonts w:hint="eastAsia"/>
                <w:b/>
                <w:snapToGrid/>
                <w:sz w:val="24"/>
              </w:rPr>
            </w:pPr>
            <w:r w:rsidRPr="002900A4">
              <w:rPr>
                <w:rFonts w:hint="eastAsia"/>
                <w:b/>
                <w:snapToGrid/>
                <w:sz w:val="24"/>
              </w:rPr>
              <w:t>占比</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108</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165,641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13,146</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7.94</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40,299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24.33</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112,196</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67.73</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109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196,113</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27,062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13.80</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41,756</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21.29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127,295</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64.91</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110</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218,394</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31,847</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14.58</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48,242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22.09</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138,305</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63.33</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410,255</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30,272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7.38</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51,311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12.51</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328,672</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80.11</w:t>
            </w:r>
          </w:p>
        </w:tc>
      </w:tr>
      <w:tr w:rsidR="002900A4" w:rsidRPr="002900A4" w:rsidTr="004D0963">
        <w:tc>
          <w:tcPr>
            <w:tcW w:w="1040" w:type="dxa"/>
            <w:tcBorders>
              <w:top w:val="nil"/>
              <w:left w:val="single" w:sz="12" w:space="0" w:color="auto"/>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344,982</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35,063</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10.16</w:t>
            </w:r>
          </w:p>
        </w:tc>
        <w:tc>
          <w:tcPr>
            <w:tcW w:w="1071"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174,345</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50.54</w:t>
            </w:r>
          </w:p>
        </w:tc>
        <w:tc>
          <w:tcPr>
            <w:tcW w:w="1070" w:type="dxa"/>
            <w:tcBorders>
              <w:top w:val="nil"/>
              <w:left w:val="nil"/>
              <w:bottom w:val="single" w:sz="4"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135,574</w:t>
            </w:r>
          </w:p>
        </w:tc>
        <w:tc>
          <w:tcPr>
            <w:tcW w:w="1071" w:type="dxa"/>
            <w:tcBorders>
              <w:top w:val="nil"/>
              <w:left w:val="nil"/>
              <w:bottom w:val="single" w:sz="4"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39.30</w:t>
            </w:r>
          </w:p>
        </w:tc>
      </w:tr>
      <w:tr w:rsidR="002900A4" w:rsidRPr="002900A4" w:rsidTr="004D0963">
        <w:tc>
          <w:tcPr>
            <w:tcW w:w="1040" w:type="dxa"/>
            <w:tcBorders>
              <w:top w:val="nil"/>
              <w:left w:val="single" w:sz="12" w:space="0" w:color="auto"/>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center"/>
              <w:rPr>
                <w:rFonts w:hint="eastAsia"/>
                <w:snapToGrid/>
                <w:sz w:val="24"/>
              </w:rPr>
            </w:pPr>
            <w:r w:rsidRPr="002900A4">
              <w:rPr>
                <w:rFonts w:hint="eastAsia"/>
                <w:snapToGrid/>
                <w:sz w:val="24"/>
              </w:rPr>
              <w:t>113</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280,695</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109,004</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38.83</w:t>
            </w:r>
          </w:p>
        </w:tc>
        <w:tc>
          <w:tcPr>
            <w:tcW w:w="1071"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42,324</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15.08</w:t>
            </w:r>
          </w:p>
        </w:tc>
        <w:tc>
          <w:tcPr>
            <w:tcW w:w="1070" w:type="dxa"/>
            <w:tcBorders>
              <w:top w:val="nil"/>
              <w:left w:val="nil"/>
              <w:bottom w:val="single" w:sz="12" w:space="0" w:color="auto"/>
              <w:right w:val="single" w:sz="4" w:space="0" w:color="auto"/>
            </w:tcBorders>
            <w:shd w:val="clear" w:color="auto" w:fill="auto"/>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129,367</w:t>
            </w:r>
          </w:p>
        </w:tc>
        <w:tc>
          <w:tcPr>
            <w:tcW w:w="1071" w:type="dxa"/>
            <w:tcBorders>
              <w:top w:val="nil"/>
              <w:left w:val="nil"/>
              <w:bottom w:val="single" w:sz="12" w:space="0" w:color="auto"/>
              <w:right w:val="single" w:sz="12" w:space="0" w:color="auto"/>
            </w:tcBorders>
            <w:shd w:val="clear" w:color="auto" w:fill="auto"/>
            <w:noWrap/>
            <w:vAlign w:val="center"/>
            <w:hideMark/>
          </w:tcPr>
          <w:p w:rsidR="002900A4" w:rsidRPr="002900A4" w:rsidRDefault="002900A4" w:rsidP="002900A4">
            <w:pPr>
              <w:spacing w:line="280" w:lineRule="exact"/>
              <w:ind w:leftChars="0" w:left="0" w:firstLineChars="0" w:firstLine="0"/>
              <w:jc w:val="right"/>
              <w:rPr>
                <w:rFonts w:hint="eastAsia"/>
                <w:snapToGrid/>
                <w:sz w:val="24"/>
              </w:rPr>
            </w:pPr>
            <w:r w:rsidRPr="002900A4">
              <w:rPr>
                <w:rFonts w:hint="eastAsia"/>
                <w:snapToGrid/>
                <w:sz w:val="24"/>
              </w:rPr>
              <w:t>46.09</w:t>
            </w:r>
          </w:p>
        </w:tc>
      </w:tr>
    </w:tbl>
    <w:p w:rsidR="002900A4" w:rsidRPr="002900A4" w:rsidRDefault="002900A4" w:rsidP="002900A4">
      <w:pPr>
        <w:spacing w:line="280" w:lineRule="exact"/>
        <w:ind w:leftChars="0" w:left="0" w:firstLineChars="0" w:firstLine="0"/>
        <w:jc w:val="left"/>
        <w:rPr>
          <w:rFonts w:hAnsi="標楷體"/>
          <w:sz w:val="24"/>
        </w:rPr>
      </w:pPr>
      <w:r w:rsidRPr="002900A4">
        <w:rPr>
          <w:rFonts w:hAnsi="標楷體" w:hint="eastAsia"/>
          <w:snapToGrid/>
          <w:sz w:val="24"/>
        </w:rPr>
        <w:t>資料來源：國藝會提供。</w:t>
      </w:r>
    </w:p>
    <w:p w:rsidR="002900A4" w:rsidRPr="002900A4" w:rsidRDefault="002900A4" w:rsidP="002900A4">
      <w:pPr>
        <w:ind w:left="566" w:firstLine="566"/>
        <w:rPr>
          <w:rFonts w:hint="eastAsia"/>
          <w:snapToGrid/>
        </w:rPr>
      </w:pPr>
      <w:r w:rsidRPr="002900A4">
        <w:rPr>
          <w:rFonts w:hint="eastAsia"/>
          <w:snapToGrid/>
        </w:rPr>
        <w:t>綜上，國藝會主要支出為補助業務支出，近6年占總支出比率均逾七成，惟屬前年度及以前年度核定案件之應付補助款概呈遞增趨勢，允宜強化補助計畫之執行期程控管及審核監督，以增進補助經費運用成效。</w:t>
      </w:r>
    </w:p>
    <w:p w:rsidR="00A67E13" w:rsidRPr="008D1B8E" w:rsidRDefault="002900A4" w:rsidP="0097653C">
      <w:pPr>
        <w:ind w:leftChars="0" w:left="0" w:firstLineChars="0" w:firstLine="0"/>
        <w:jc w:val="right"/>
        <w:rPr>
          <w:b/>
          <w:color w:val="000000"/>
        </w:rPr>
      </w:pPr>
      <w:r w:rsidRPr="002900A4">
        <w:rPr>
          <w:rFonts w:hAnsi="標楷體" w:hint="eastAsia"/>
          <w:sz w:val="24"/>
        </w:rPr>
        <w:t xml:space="preserve"> (分機：8653 江穗美)</w:t>
      </w:r>
      <w:bookmarkEnd w:id="1"/>
      <w:bookmarkEnd w:id="2"/>
      <w:bookmarkEnd w:id="3"/>
      <w:bookmarkEnd w:id="4"/>
    </w:p>
    <w:sectPr w:rsidR="00A67E13" w:rsidRPr="008D1B8E"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97653C" w:rsidRPr="0097653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 w:id="1">
    <w:p w:rsidR="002900A4" w:rsidRPr="00502CBA" w:rsidRDefault="002900A4" w:rsidP="002900A4">
      <w:pPr>
        <w:pStyle w:val="148"/>
        <w:ind w:left="182" w:hanging="182"/>
        <w:rPr>
          <w:rFonts w:hint="eastAsia"/>
        </w:rPr>
      </w:pPr>
      <w:r>
        <w:rPr>
          <w:rStyle w:val="af7"/>
        </w:rPr>
        <w:footnoteRef/>
      </w:r>
      <w:r>
        <w:t xml:space="preserve"> </w:t>
      </w:r>
      <w:r w:rsidRPr="00502CBA">
        <w:rPr>
          <w:rFonts w:hint="eastAsia"/>
        </w:rPr>
        <w:t>文化藝術獎助及促進條例第24條</w:t>
      </w:r>
      <w:r>
        <w:rPr>
          <w:rFonts w:hint="eastAsia"/>
        </w:rPr>
        <w:t>第1項、第2項規定：</w:t>
      </w:r>
      <w:r w:rsidRPr="00D91464">
        <w:rPr>
          <w:rFonts w:hint="eastAsia"/>
          <w:snapToGrid/>
        </w:rPr>
        <w:t>「為輔導辦理文化藝術活動，贊助藝文事業，設置財團法人國家文化藝術基金會。」</w:t>
      </w:r>
      <w:r>
        <w:rPr>
          <w:rFonts w:hint="eastAsia"/>
          <w:snapToGrid/>
        </w:rPr>
        <w:t>、「</w:t>
      </w:r>
      <w:r w:rsidRPr="00D91464">
        <w:rPr>
          <w:rFonts w:hint="eastAsia"/>
          <w:snapToGrid/>
        </w:rPr>
        <w:t>國家文化藝術基金會應定期頒發各類國家文藝獎，訂定各類文化藝術獎勵、補助相關辦法，提供文化藝術資訊及法律諮詢。」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53C"/>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445210-E1D6-4EB7-B1FC-D52D0D83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E58F7-75E2-4E18-9762-8151AD2C6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349</Words>
  <Characters>1992</Characters>
  <Application>Microsoft Office Word</Application>
  <DocSecurity>0</DocSecurity>
  <Lines>16</Lines>
  <Paragraphs>4</Paragraphs>
  <ScaleCrop>false</ScaleCrop>
  <Company/>
  <LinksUpToDate>false</LinksUpToDate>
  <CharactersWithSpaces>2337</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2025-12-24T06:49:00Z</dcterms:created>
  <dcterms:modified xsi:type="dcterms:W3CDTF">2025-12-24T06:49:00Z</dcterms:modified>
</cp:coreProperties>
</file>