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5E5FCF" w:rsidRDefault="00E92BAD" w:rsidP="00E92BAD">
      <w:pPr>
        <w:pStyle w:val="ab"/>
        <w:rPr>
          <w:color w:val="000000"/>
          <w:w w:val="98"/>
        </w:rPr>
      </w:pPr>
      <w:bookmarkStart w:id="0" w:name="_GoBack"/>
      <w:bookmarkEnd w:id="0"/>
      <w:r w:rsidRPr="005E5FCF">
        <w:rPr>
          <w:color w:val="000000"/>
          <w:w w:val="98"/>
        </w:rPr>
        <w:t>金融監督管理委員會</w:t>
      </w:r>
      <w:r w:rsidRPr="005E5FCF">
        <w:rPr>
          <w:rFonts w:hint="eastAsia"/>
          <w:color w:val="000000"/>
          <w:w w:val="98"/>
        </w:rPr>
        <w:t>及所屬1</w:t>
      </w:r>
      <w:r w:rsidR="00A31C30">
        <w:rPr>
          <w:rFonts w:hint="eastAsia"/>
          <w:color w:val="000000"/>
          <w:w w:val="98"/>
        </w:rPr>
        <w:t>1</w:t>
      </w:r>
      <w:r w:rsidR="006E2935">
        <w:rPr>
          <w:rFonts w:hint="eastAsia"/>
          <w:color w:val="000000"/>
          <w:w w:val="98"/>
        </w:rPr>
        <w:t>3</w:t>
      </w:r>
      <w:r w:rsidRPr="005E5FCF">
        <w:rPr>
          <w:rFonts w:hint="eastAsia"/>
          <w:color w:val="000000"/>
          <w:w w:val="98"/>
        </w:rPr>
        <w:t>年度單位</w:t>
      </w:r>
      <w:r w:rsidR="009F15D2" w:rsidRPr="005E5FCF">
        <w:rPr>
          <w:rFonts w:hint="eastAsia"/>
          <w:color w:val="000000"/>
          <w:w w:val="98"/>
        </w:rPr>
        <w:t>決</w:t>
      </w:r>
      <w:r w:rsidRPr="005E5FCF">
        <w:rPr>
          <w:rFonts w:hint="eastAsia"/>
          <w:color w:val="000000"/>
          <w:w w:val="98"/>
        </w:rPr>
        <w:t>算評估報告</w:t>
      </w:r>
    </w:p>
    <w:p w:rsidR="00C87DCA" w:rsidRPr="00DD5769" w:rsidRDefault="00A31C30" w:rsidP="00C87DCA">
      <w:pPr>
        <w:pStyle w:val="14"/>
        <w:ind w:left="567" w:hanging="567"/>
        <w:rPr>
          <w:rFonts w:hint="eastAsia"/>
        </w:rPr>
      </w:pPr>
      <w:bookmarkStart w:id="1" w:name="_Toc85212331"/>
      <w:bookmarkStart w:id="2" w:name="_Toc399520026"/>
      <w:bookmarkStart w:id="3" w:name="_Toc431400690"/>
      <w:bookmarkStart w:id="4" w:name="_Toc217892220"/>
      <w:r>
        <w:rPr>
          <w:rFonts w:hint="eastAsia"/>
        </w:rPr>
        <w:t>一</w:t>
      </w:r>
      <w:r w:rsidRPr="00DD5769">
        <w:rPr>
          <w:rFonts w:hint="eastAsia"/>
        </w:rPr>
        <w:t>、</w:t>
      </w:r>
      <w:bookmarkEnd w:id="1"/>
      <w:r w:rsidR="00C87DCA" w:rsidRPr="00C87DCA">
        <w:rPr>
          <w:rFonts w:hint="eastAsia"/>
        </w:rPr>
        <w:t>近年金融消費評議中心受理之銀行業申訴及評議案件概呈增加，</w:t>
      </w:r>
      <w:r w:rsidR="00F0296D" w:rsidRPr="00C87DCA">
        <w:rPr>
          <w:rFonts w:hint="eastAsia"/>
        </w:rPr>
        <w:t>113年</w:t>
      </w:r>
      <w:r w:rsidR="00C87DCA" w:rsidRPr="00C87DCA">
        <w:rPr>
          <w:rFonts w:hint="eastAsia"/>
        </w:rPr>
        <w:t>其占整體金融業之比</w:t>
      </w:r>
      <w:r w:rsidR="00C87DCA" w:rsidRPr="009628F3">
        <w:rPr>
          <w:rFonts w:hint="eastAsia"/>
        </w:rPr>
        <w:t>率</w:t>
      </w:r>
      <w:r w:rsidR="009628F3" w:rsidRPr="009628F3">
        <w:rPr>
          <w:rFonts w:hint="eastAsia"/>
        </w:rPr>
        <w:t>係110年以來最高</w:t>
      </w:r>
      <w:r w:rsidR="00560834" w:rsidRPr="009628F3">
        <w:rPr>
          <w:rFonts w:hint="eastAsia"/>
        </w:rPr>
        <w:t>，</w:t>
      </w:r>
      <w:r w:rsidR="00560834" w:rsidRPr="00D64EE0">
        <w:rPr>
          <w:rFonts w:hint="eastAsia"/>
        </w:rPr>
        <w:t>允宜</w:t>
      </w:r>
      <w:r w:rsidR="00306DB9">
        <w:rPr>
          <w:rFonts w:hint="eastAsia"/>
        </w:rPr>
        <w:t>督導</w:t>
      </w:r>
      <w:r w:rsidR="00560834" w:rsidRPr="00D64EE0">
        <w:rPr>
          <w:rFonts w:hint="eastAsia"/>
        </w:rPr>
        <w:t>業者</w:t>
      </w:r>
      <w:r w:rsidR="00306DB9">
        <w:rPr>
          <w:rFonts w:hint="eastAsia"/>
        </w:rPr>
        <w:t>落實相關措施並</w:t>
      </w:r>
      <w:r w:rsidR="00BE7CDF">
        <w:rPr>
          <w:rFonts w:hint="eastAsia"/>
        </w:rPr>
        <w:t>持續精進</w:t>
      </w:r>
      <w:r w:rsidR="00AF5BE7">
        <w:rPr>
          <w:rFonts w:hint="eastAsia"/>
        </w:rPr>
        <w:t>，俾保障</w:t>
      </w:r>
      <w:r w:rsidR="00827303">
        <w:rPr>
          <w:rFonts w:hint="eastAsia"/>
        </w:rPr>
        <w:t>消費者</w:t>
      </w:r>
      <w:r w:rsidR="00AF5BE7">
        <w:rPr>
          <w:rFonts w:hint="eastAsia"/>
        </w:rPr>
        <w:t>權益</w:t>
      </w:r>
      <w:bookmarkEnd w:id="4"/>
      <w:r w:rsidR="00AF5BE7" w:rsidRPr="00DD5769">
        <w:rPr>
          <w:rFonts w:hint="eastAsia"/>
        </w:rPr>
        <w:t xml:space="preserve"> </w:t>
      </w:r>
    </w:p>
    <w:p w:rsidR="00D33D78" w:rsidRDefault="00D33D78" w:rsidP="00140075">
      <w:pPr>
        <w:ind w:left="566" w:firstLine="566"/>
      </w:pPr>
      <w:r w:rsidRPr="00827E96">
        <w:rPr>
          <w:rFonts w:hint="eastAsia"/>
        </w:rPr>
        <w:t>銀行局1</w:t>
      </w:r>
      <w:r w:rsidRPr="00827E96">
        <w:t>1</w:t>
      </w:r>
      <w:r w:rsidR="0017576D">
        <w:rPr>
          <w:rFonts w:hint="eastAsia"/>
        </w:rPr>
        <w:t>3</w:t>
      </w:r>
      <w:r w:rsidRPr="00827E96">
        <w:rPr>
          <w:rFonts w:hint="eastAsia"/>
        </w:rPr>
        <w:t>年度「銀行監理」預算數</w:t>
      </w:r>
      <w:r w:rsidR="007210F1">
        <w:rPr>
          <w:rFonts w:hint="eastAsia"/>
        </w:rPr>
        <w:t>756</w:t>
      </w:r>
      <w:r w:rsidRPr="00827E96">
        <w:rPr>
          <w:rFonts w:hint="eastAsia"/>
        </w:rPr>
        <w:t>萬</w:t>
      </w:r>
      <w:r w:rsidR="007210F1">
        <w:rPr>
          <w:rFonts w:hint="eastAsia"/>
        </w:rPr>
        <w:t>2</w:t>
      </w:r>
      <w:r w:rsidRPr="00827E96">
        <w:rPr>
          <w:rFonts w:hint="eastAsia"/>
        </w:rPr>
        <w:t>千元</w:t>
      </w:r>
      <w:r w:rsidR="00140075" w:rsidRPr="00827E96">
        <w:rPr>
          <w:rFonts w:hint="eastAsia"/>
        </w:rPr>
        <w:t>，</w:t>
      </w:r>
      <w:r w:rsidRPr="00827E96">
        <w:rPr>
          <w:rFonts w:hint="eastAsia"/>
        </w:rPr>
        <w:t>決算數為</w:t>
      </w:r>
      <w:r w:rsidR="007210F1">
        <w:rPr>
          <w:rFonts w:hint="eastAsia"/>
        </w:rPr>
        <w:t>742</w:t>
      </w:r>
      <w:r w:rsidRPr="00827E96">
        <w:rPr>
          <w:rFonts w:hint="eastAsia"/>
        </w:rPr>
        <w:t>萬元</w:t>
      </w:r>
      <w:r w:rsidR="002C428B" w:rsidRPr="00827E96">
        <w:rPr>
          <w:rFonts w:hint="eastAsia"/>
        </w:rPr>
        <w:t>(執行率</w:t>
      </w:r>
      <w:r w:rsidR="000033D9">
        <w:rPr>
          <w:rFonts w:hint="eastAsia"/>
        </w:rPr>
        <w:t>9</w:t>
      </w:r>
      <w:r w:rsidR="007210F1">
        <w:rPr>
          <w:rFonts w:hint="eastAsia"/>
        </w:rPr>
        <w:t>8.1</w:t>
      </w:r>
      <w:r w:rsidR="002E2614">
        <w:rPr>
          <w:rFonts w:hint="eastAsia"/>
        </w:rPr>
        <w:t>2</w:t>
      </w:r>
      <w:r w:rsidR="002C428B" w:rsidRPr="00827E96">
        <w:rPr>
          <w:rFonts w:hint="eastAsia"/>
        </w:rPr>
        <w:t>%)</w:t>
      </w:r>
      <w:r w:rsidRPr="00827E96">
        <w:rPr>
          <w:rFonts w:hint="eastAsia"/>
        </w:rPr>
        <w:t>，</w:t>
      </w:r>
      <w:r w:rsidR="000E2A57" w:rsidRPr="00827E96">
        <w:rPr>
          <w:rFonts w:hint="eastAsia"/>
        </w:rPr>
        <w:t>主要係為健全銀行業務之管理，強化主管機關功能，維護市場紀律及對銀行之監督管理及其法令制度之研究、擬訂、修正等經費</w:t>
      </w:r>
      <w:r w:rsidRPr="00827E96">
        <w:rPr>
          <w:rFonts w:hint="eastAsia"/>
        </w:rPr>
        <w:t>。經查：</w:t>
      </w:r>
    </w:p>
    <w:p w:rsidR="00F92877" w:rsidRPr="00560834" w:rsidRDefault="00F92877" w:rsidP="00F92877">
      <w:pPr>
        <w:pStyle w:val="a4"/>
        <w:ind w:left="849" w:hanging="283"/>
        <w:rPr>
          <w:b/>
          <w:bCs/>
        </w:rPr>
      </w:pPr>
      <w:r w:rsidRPr="00560834">
        <w:rPr>
          <w:rFonts w:hint="eastAsia"/>
          <w:b/>
          <w:bCs/>
        </w:rPr>
        <w:t>(一)</w:t>
      </w:r>
      <w:r>
        <w:rPr>
          <w:rFonts w:hint="eastAsia"/>
          <w:b/>
          <w:bCs/>
        </w:rPr>
        <w:t>近</w:t>
      </w:r>
      <w:r w:rsidRPr="00560834">
        <w:rPr>
          <w:rFonts w:hint="eastAsia"/>
          <w:b/>
          <w:bCs/>
        </w:rPr>
        <w:t>年金融消費評議中心所受理與銀行業相關之申訴</w:t>
      </w:r>
      <w:r>
        <w:rPr>
          <w:rFonts w:hint="eastAsia"/>
          <w:b/>
          <w:bCs/>
        </w:rPr>
        <w:t>及</w:t>
      </w:r>
      <w:r w:rsidRPr="00560834">
        <w:rPr>
          <w:rFonts w:hint="eastAsia"/>
          <w:b/>
          <w:bCs/>
        </w:rPr>
        <w:t>評議案件概呈增加，</w:t>
      </w:r>
      <w:r w:rsidR="00F0296D" w:rsidRPr="00C32058">
        <w:rPr>
          <w:rFonts w:hint="eastAsia"/>
          <w:b/>
          <w:bCs/>
        </w:rPr>
        <w:t>113年</w:t>
      </w:r>
      <w:r w:rsidRPr="00560834">
        <w:rPr>
          <w:rFonts w:hint="eastAsia"/>
          <w:b/>
          <w:bCs/>
        </w:rPr>
        <w:t>其占整體金融業</w:t>
      </w:r>
      <w:r w:rsidRPr="00C32058">
        <w:rPr>
          <w:rFonts w:hint="eastAsia"/>
          <w:b/>
          <w:bCs/>
        </w:rPr>
        <w:t>之比率分別</w:t>
      </w:r>
      <w:r>
        <w:rPr>
          <w:rFonts w:hint="eastAsia"/>
          <w:b/>
          <w:bCs/>
        </w:rPr>
        <w:t>增加至</w:t>
      </w:r>
      <w:r w:rsidRPr="00C32058">
        <w:rPr>
          <w:rFonts w:hint="eastAsia"/>
          <w:b/>
          <w:bCs/>
        </w:rPr>
        <w:t>20.84%及1</w:t>
      </w:r>
      <w:r w:rsidRPr="00C32058">
        <w:rPr>
          <w:b/>
          <w:bCs/>
        </w:rPr>
        <w:t>6.01</w:t>
      </w:r>
      <w:r w:rsidRPr="00C32058">
        <w:rPr>
          <w:rFonts w:hint="eastAsia"/>
          <w:b/>
          <w:bCs/>
        </w:rPr>
        <w:t>%，係</w:t>
      </w:r>
      <w:r w:rsidR="00CF61A1">
        <w:rPr>
          <w:rFonts w:hint="eastAsia"/>
          <w:b/>
          <w:bCs/>
        </w:rPr>
        <w:t>110</w:t>
      </w:r>
      <w:r w:rsidRPr="00C32058">
        <w:rPr>
          <w:rFonts w:hint="eastAsia"/>
          <w:b/>
          <w:bCs/>
        </w:rPr>
        <w:t>年</w:t>
      </w:r>
      <w:r w:rsidR="009628F3">
        <w:rPr>
          <w:rFonts w:hint="eastAsia"/>
          <w:b/>
          <w:bCs/>
        </w:rPr>
        <w:t>以</w:t>
      </w:r>
      <w:r w:rsidRPr="00C32058">
        <w:rPr>
          <w:rFonts w:hint="eastAsia"/>
          <w:b/>
          <w:bCs/>
        </w:rPr>
        <w:t>來最高</w:t>
      </w:r>
    </w:p>
    <w:p w:rsidR="00F92877" w:rsidRDefault="00F92877" w:rsidP="00F92877">
      <w:pPr>
        <w:pStyle w:val="22"/>
        <w:ind w:left="850" w:firstLine="566"/>
      </w:pPr>
      <w:r w:rsidRPr="00334F28">
        <w:rPr>
          <w:rFonts w:hint="eastAsia"/>
        </w:rPr>
        <w:t>檢視近年(108至113年</w:t>
      </w:r>
      <w:r>
        <w:rPr>
          <w:rFonts w:hint="eastAsia"/>
        </w:rPr>
        <w:t>，以下同</w:t>
      </w:r>
      <w:r w:rsidRPr="00334F28">
        <w:rPr>
          <w:rFonts w:hint="eastAsia"/>
        </w:rPr>
        <w:t>)財團法人金融消費評議中心(以下簡稱金融消費評議中心)所受理之銀行業申訴案件，109年較108年增加537件，110至111年間</w:t>
      </w:r>
      <w:r w:rsidR="00F0296D">
        <w:rPr>
          <w:rFonts w:hint="eastAsia"/>
        </w:rPr>
        <w:t>雖</w:t>
      </w:r>
      <w:r w:rsidRPr="00334F28">
        <w:rPr>
          <w:rFonts w:hint="eastAsia"/>
        </w:rPr>
        <w:t>下降，惟112</w:t>
      </w:r>
      <w:r>
        <w:rPr>
          <w:rFonts w:hint="eastAsia"/>
        </w:rPr>
        <w:t>年再</w:t>
      </w:r>
      <w:r w:rsidRPr="00334F28">
        <w:rPr>
          <w:rFonts w:hint="eastAsia"/>
        </w:rPr>
        <w:t>反轉上升，</w:t>
      </w:r>
      <w:r w:rsidR="00F0296D" w:rsidRPr="00334F28">
        <w:rPr>
          <w:rFonts w:hint="eastAsia"/>
        </w:rPr>
        <w:t>113年續增至2,</w:t>
      </w:r>
      <w:r w:rsidR="00F0296D" w:rsidRPr="00334F28">
        <w:t>960件</w:t>
      </w:r>
      <w:r w:rsidR="00F0296D" w:rsidRPr="00334F28">
        <w:rPr>
          <w:rFonts w:hint="eastAsia"/>
        </w:rPr>
        <w:t>，</w:t>
      </w:r>
      <w:r w:rsidRPr="00334F28">
        <w:rPr>
          <w:rFonts w:hint="eastAsia"/>
        </w:rPr>
        <w:t>較111年申訴案件數增加1</w:t>
      </w:r>
      <w:r w:rsidRPr="00334F28">
        <w:t>,</w:t>
      </w:r>
      <w:r w:rsidRPr="00334F28">
        <w:rPr>
          <w:rFonts w:hint="eastAsia"/>
        </w:rPr>
        <w:t>4</w:t>
      </w:r>
      <w:r w:rsidR="00F0296D">
        <w:rPr>
          <w:rFonts w:hint="eastAsia"/>
        </w:rPr>
        <w:t>62</w:t>
      </w:r>
      <w:r w:rsidRPr="00334F28">
        <w:rPr>
          <w:rFonts w:hint="eastAsia"/>
        </w:rPr>
        <w:t>件，增幅達</w:t>
      </w:r>
      <w:r w:rsidR="00F0296D">
        <w:rPr>
          <w:rFonts w:hint="eastAsia"/>
        </w:rPr>
        <w:t>97.6</w:t>
      </w:r>
      <w:r w:rsidRPr="00334F28">
        <w:rPr>
          <w:rFonts w:hint="eastAsia"/>
        </w:rPr>
        <w:t>%</w:t>
      </w:r>
      <w:r w:rsidRPr="00334F28">
        <w:t>；</w:t>
      </w:r>
      <w:r w:rsidRPr="00334F28">
        <w:rPr>
          <w:rFonts w:hint="eastAsia"/>
        </w:rPr>
        <w:t>復就該中心於上開期間所受理消費者不接受申訴處理結果或業者逾申訴處理期限仍未處理而提起評議之案件</w:t>
      </w:r>
      <w:r>
        <w:rPr>
          <w:rStyle w:val="af7"/>
        </w:rPr>
        <w:footnoteReference w:id="2"/>
      </w:r>
      <w:r w:rsidRPr="00334F28">
        <w:rPr>
          <w:rFonts w:hint="eastAsia"/>
        </w:rPr>
        <w:t>分析，亦概呈增加趨勢，僅110年減少</w:t>
      </w:r>
      <w:r>
        <w:rPr>
          <w:rFonts w:hint="eastAsia"/>
        </w:rPr>
        <w:t>，餘各年度評議案件數皆較前</w:t>
      </w:r>
      <w:r w:rsidRPr="00334F28">
        <w:rPr>
          <w:rFonts w:hint="eastAsia"/>
        </w:rPr>
        <w:t>一年度增加</w:t>
      </w:r>
      <w:r w:rsidR="00F0296D">
        <w:rPr>
          <w:rFonts w:hint="eastAsia"/>
        </w:rPr>
        <w:t>。</w:t>
      </w:r>
      <w:r w:rsidRPr="00334F28">
        <w:rPr>
          <w:rFonts w:hint="eastAsia"/>
        </w:rPr>
        <w:t>113年該中心所受理與銀行業相關之申訴及評議案件數占整體金融業之比</w:t>
      </w:r>
      <w:r>
        <w:rPr>
          <w:rFonts w:hint="eastAsia"/>
        </w:rPr>
        <w:t>率</w:t>
      </w:r>
      <w:r w:rsidRPr="00334F28">
        <w:rPr>
          <w:rFonts w:hint="eastAsia"/>
        </w:rPr>
        <w:t>分別</w:t>
      </w:r>
      <w:r w:rsidR="009628F3">
        <w:rPr>
          <w:rFonts w:hint="eastAsia"/>
        </w:rPr>
        <w:t>為</w:t>
      </w:r>
      <w:r w:rsidRPr="00334F28">
        <w:rPr>
          <w:rFonts w:hint="eastAsia"/>
        </w:rPr>
        <w:t>20.84%及1</w:t>
      </w:r>
      <w:r w:rsidRPr="00334F28">
        <w:t>6.01</w:t>
      </w:r>
      <w:r w:rsidRPr="00334F28">
        <w:rPr>
          <w:rFonts w:hint="eastAsia"/>
        </w:rPr>
        <w:t>%，係</w:t>
      </w:r>
      <w:r w:rsidR="00CF61A1">
        <w:rPr>
          <w:rFonts w:hint="eastAsia"/>
        </w:rPr>
        <w:t>110</w:t>
      </w:r>
      <w:r>
        <w:rPr>
          <w:rFonts w:hint="eastAsia"/>
        </w:rPr>
        <w:t>年</w:t>
      </w:r>
      <w:r w:rsidR="009628F3">
        <w:rPr>
          <w:rFonts w:hint="eastAsia"/>
        </w:rPr>
        <w:t>以</w:t>
      </w:r>
      <w:r>
        <w:rPr>
          <w:rFonts w:hint="eastAsia"/>
        </w:rPr>
        <w:t>來</w:t>
      </w:r>
      <w:r w:rsidRPr="00334F28">
        <w:rPr>
          <w:rFonts w:hint="eastAsia"/>
        </w:rPr>
        <w:t>最高</w:t>
      </w:r>
      <w:r w:rsidR="006C4C80">
        <w:rPr>
          <w:rFonts w:hint="eastAsia"/>
        </w:rPr>
        <w:t>(詳表1)</w:t>
      </w:r>
      <w:r w:rsidRPr="00334F28">
        <w:t>。</w:t>
      </w:r>
    </w:p>
    <w:p w:rsidR="001F7141" w:rsidRPr="00334F28" w:rsidRDefault="001F7141" w:rsidP="00F92877">
      <w:pPr>
        <w:pStyle w:val="22"/>
        <w:ind w:left="850" w:firstLine="566"/>
        <w:rPr>
          <w:rFonts w:hint="eastAsia"/>
        </w:rPr>
      </w:pPr>
    </w:p>
    <w:p w:rsidR="00560834" w:rsidRDefault="00560834" w:rsidP="00560834">
      <w:pPr>
        <w:pStyle w:val="22"/>
        <w:spacing w:beforeLines="20" w:before="100" w:line="360" w:lineRule="exact"/>
        <w:ind w:leftChars="-50" w:left="652" w:rightChars="-100" w:right="-283" w:hangingChars="280" w:hanging="794"/>
        <w:rPr>
          <w:sz w:val="24"/>
          <w:szCs w:val="24"/>
        </w:rPr>
      </w:pPr>
      <w:r w:rsidRPr="002A5CD3">
        <w:rPr>
          <w:rFonts w:hint="eastAsia"/>
          <w:b/>
        </w:rPr>
        <w:lastRenderedPageBreak/>
        <w:t>表1</w:t>
      </w:r>
      <w:r>
        <w:rPr>
          <w:rFonts w:hint="eastAsia"/>
          <w:b/>
        </w:rPr>
        <w:t xml:space="preserve">  </w:t>
      </w:r>
      <w:r w:rsidR="00F0296D">
        <w:rPr>
          <w:rFonts w:hint="eastAsia"/>
          <w:b/>
        </w:rPr>
        <w:t>108至113年</w:t>
      </w:r>
      <w:r w:rsidRPr="006B72B9">
        <w:rPr>
          <w:rFonts w:hint="eastAsia"/>
          <w:b/>
        </w:rPr>
        <w:t>金融消費評議中心</w:t>
      </w:r>
      <w:r>
        <w:rPr>
          <w:rFonts w:hint="eastAsia"/>
          <w:b/>
        </w:rPr>
        <w:t>所受理銀行業</w:t>
      </w:r>
      <w:r w:rsidRPr="00A9217D">
        <w:rPr>
          <w:rFonts w:hint="eastAsia"/>
          <w:b/>
        </w:rPr>
        <w:t>之申訴</w:t>
      </w:r>
      <w:r>
        <w:rPr>
          <w:rFonts w:hint="eastAsia"/>
          <w:b/>
        </w:rPr>
        <w:t>、</w:t>
      </w:r>
      <w:r w:rsidRPr="00A9217D">
        <w:rPr>
          <w:rFonts w:hint="eastAsia"/>
          <w:b/>
        </w:rPr>
        <w:t>評議案件概況</w:t>
      </w:r>
      <w:r>
        <w:rPr>
          <w:rFonts w:hint="eastAsia"/>
          <w:b/>
        </w:rPr>
        <w:t xml:space="preserve">表                                      </w:t>
      </w:r>
      <w:r w:rsidR="00F0296D">
        <w:rPr>
          <w:rFonts w:hint="eastAsia"/>
          <w:b/>
        </w:rPr>
        <w:t xml:space="preserve">  </w:t>
      </w:r>
      <w:r>
        <w:rPr>
          <w:rFonts w:hint="eastAsia"/>
          <w:b/>
        </w:rPr>
        <w:t xml:space="preserve"> </w:t>
      </w:r>
      <w:r>
        <w:rPr>
          <w:b/>
        </w:rPr>
        <w:t xml:space="preserve">  </w:t>
      </w:r>
      <w:r>
        <w:rPr>
          <w:rFonts w:hint="eastAsia"/>
          <w:b/>
        </w:rPr>
        <w:t xml:space="preserve"> </w:t>
      </w:r>
      <w:r>
        <w:rPr>
          <w:rFonts w:hint="eastAsia"/>
          <w:sz w:val="24"/>
          <w:szCs w:val="24"/>
        </w:rPr>
        <w:t>單</w:t>
      </w:r>
      <w:r w:rsidRPr="00E977AC">
        <w:rPr>
          <w:rFonts w:hint="eastAsia"/>
          <w:sz w:val="24"/>
          <w:szCs w:val="24"/>
        </w:rPr>
        <w:t>位：</w:t>
      </w:r>
      <w:r>
        <w:rPr>
          <w:rFonts w:hint="eastAsia"/>
          <w:sz w:val="24"/>
          <w:szCs w:val="24"/>
        </w:rPr>
        <w:t>件；%</w:t>
      </w:r>
    </w:p>
    <w:tbl>
      <w:tblPr>
        <w:tblW w:w="893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993"/>
        <w:gridCol w:w="1204"/>
        <w:gridCol w:w="1205"/>
        <w:gridCol w:w="1205"/>
        <w:gridCol w:w="1205"/>
        <w:gridCol w:w="1205"/>
        <w:gridCol w:w="1205"/>
      </w:tblGrid>
      <w:tr w:rsidR="00F4222A" w:rsidRPr="00A17118" w:rsidTr="00DE7AAF">
        <w:trPr>
          <w:cantSplit/>
          <w:trHeight w:val="524"/>
        </w:trPr>
        <w:tc>
          <w:tcPr>
            <w:tcW w:w="1702" w:type="dxa"/>
            <w:gridSpan w:val="2"/>
            <w:tcBorders>
              <w:top w:val="single" w:sz="12" w:space="0" w:color="auto"/>
              <w:left w:val="single" w:sz="12" w:space="0" w:color="auto"/>
              <w:bottom w:val="single" w:sz="6" w:space="0" w:color="auto"/>
              <w:right w:val="single" w:sz="6" w:space="0" w:color="auto"/>
              <w:tl2br w:val="single" w:sz="4" w:space="0" w:color="auto"/>
            </w:tcBorders>
          </w:tcPr>
          <w:p w:rsidR="00F4222A" w:rsidRPr="007E1A7F" w:rsidRDefault="00F4222A" w:rsidP="00A6311A">
            <w:pPr>
              <w:pStyle w:val="142"/>
              <w:rPr>
                <w:b/>
              </w:rPr>
            </w:pPr>
            <w:r w:rsidRPr="007E1A7F">
              <w:rPr>
                <w:rFonts w:hint="eastAsia"/>
                <w:b/>
              </w:rPr>
              <w:t xml:space="preserve">        年度</w:t>
            </w:r>
          </w:p>
          <w:p w:rsidR="00F4222A" w:rsidRPr="007E1A7F" w:rsidRDefault="00F4222A" w:rsidP="00A6311A">
            <w:pPr>
              <w:pStyle w:val="142"/>
              <w:rPr>
                <w:b/>
              </w:rPr>
            </w:pPr>
            <w:r w:rsidRPr="007E1A7F">
              <w:rPr>
                <w:rFonts w:hint="eastAsia"/>
                <w:b/>
              </w:rPr>
              <w:t>案件</w:t>
            </w:r>
          </w:p>
        </w:tc>
        <w:tc>
          <w:tcPr>
            <w:tcW w:w="1204"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108</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109</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110</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111</w:t>
            </w:r>
            <w:r w:rsidRPr="007E1A7F">
              <w:rPr>
                <w:b/>
              </w:rPr>
              <w:t xml:space="preserve"> </w:t>
            </w:r>
          </w:p>
        </w:tc>
        <w:tc>
          <w:tcPr>
            <w:tcW w:w="1205" w:type="dxa"/>
            <w:tcBorders>
              <w:top w:val="single" w:sz="12" w:space="0" w:color="auto"/>
              <w:left w:val="single" w:sz="6" w:space="0" w:color="auto"/>
              <w:bottom w:val="single" w:sz="6" w:space="0" w:color="auto"/>
              <w:right w:val="single" w:sz="6" w:space="0" w:color="auto"/>
            </w:tcBorders>
            <w:vAlign w:val="center"/>
          </w:tcPr>
          <w:p w:rsidR="00F4222A" w:rsidRPr="007E1A7F" w:rsidRDefault="00F4222A" w:rsidP="00A6311A">
            <w:pPr>
              <w:pStyle w:val="142"/>
              <w:jc w:val="center"/>
              <w:rPr>
                <w:b/>
              </w:rPr>
            </w:pPr>
            <w:r w:rsidRPr="007E1A7F">
              <w:rPr>
                <w:rFonts w:hint="eastAsia"/>
                <w:b/>
              </w:rPr>
              <w:t>112</w:t>
            </w:r>
            <w:r w:rsidRPr="007E1A7F">
              <w:rPr>
                <w:b/>
              </w:rPr>
              <w:t xml:space="preserve"> </w:t>
            </w:r>
          </w:p>
        </w:tc>
        <w:tc>
          <w:tcPr>
            <w:tcW w:w="1205" w:type="dxa"/>
            <w:tcBorders>
              <w:top w:val="single" w:sz="12" w:space="0" w:color="auto"/>
              <w:left w:val="single" w:sz="6" w:space="0" w:color="auto"/>
              <w:bottom w:val="single" w:sz="6" w:space="0" w:color="auto"/>
              <w:right w:val="single" w:sz="12" w:space="0" w:color="auto"/>
            </w:tcBorders>
            <w:vAlign w:val="center"/>
          </w:tcPr>
          <w:p w:rsidR="00F4222A" w:rsidRPr="002B3D75" w:rsidRDefault="00F4222A" w:rsidP="00F4222A">
            <w:pPr>
              <w:pStyle w:val="142"/>
              <w:jc w:val="center"/>
              <w:rPr>
                <w:b/>
              </w:rPr>
            </w:pPr>
            <w:r w:rsidRPr="002B3D75">
              <w:rPr>
                <w:rFonts w:hint="eastAsia"/>
                <w:b/>
              </w:rPr>
              <w:t>113</w:t>
            </w:r>
            <w:r w:rsidRPr="002B3D75">
              <w:rPr>
                <w:b/>
              </w:rPr>
              <w:t xml:space="preserve"> </w:t>
            </w:r>
          </w:p>
        </w:tc>
      </w:tr>
      <w:tr w:rsidR="00F4222A" w:rsidRPr="00A17118" w:rsidTr="00F9123F">
        <w:trPr>
          <w:cantSplit/>
          <w:trHeight w:val="340"/>
        </w:trPr>
        <w:tc>
          <w:tcPr>
            <w:tcW w:w="709" w:type="dxa"/>
            <w:vMerge w:val="restart"/>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r>
              <w:rPr>
                <w:rFonts w:hint="eastAsia"/>
              </w:rPr>
              <w:t>申訴</w:t>
            </w: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jc w:val="center"/>
            </w:pPr>
            <w:r>
              <w:rPr>
                <w:rFonts w:hint="eastAsia"/>
              </w:rPr>
              <w:t>案件數</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1,512</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,049</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w:t>
            </w:r>
            <w:r w:rsidRPr="00F4222A">
              <w:rPr>
                <w:rFonts w:hint="eastAsia"/>
              </w:rPr>
              <w:t>527</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,498</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929</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2,960</w:t>
            </w:r>
          </w:p>
        </w:tc>
      </w:tr>
      <w:tr w:rsidR="00F4222A" w:rsidRPr="00A17118" w:rsidTr="00F9123F">
        <w:trPr>
          <w:cantSplit/>
          <w:trHeight w:val="340"/>
        </w:trPr>
        <w:tc>
          <w:tcPr>
            <w:tcW w:w="709" w:type="dxa"/>
            <w:vMerge/>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ind w:rightChars="-11" w:right="-31"/>
              <w:jc w:val="center"/>
            </w:pPr>
            <w:r>
              <w:rPr>
                <w:rFonts w:hint="eastAsia"/>
              </w:rPr>
              <w:t>占整體金融業比率</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8.36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1.15</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17.24</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2</w:t>
            </w:r>
            <w:r w:rsidRPr="00F4222A">
              <w:t>.86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3.46</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20.84</w:t>
            </w:r>
          </w:p>
        </w:tc>
      </w:tr>
      <w:tr w:rsidR="00F4222A" w:rsidRPr="00A17118" w:rsidTr="00F9123F">
        <w:trPr>
          <w:cantSplit/>
          <w:trHeight w:val="340"/>
        </w:trPr>
        <w:tc>
          <w:tcPr>
            <w:tcW w:w="709" w:type="dxa"/>
            <w:vMerge w:val="restart"/>
            <w:tcBorders>
              <w:top w:val="single" w:sz="6" w:space="0" w:color="auto"/>
              <w:left w:val="single" w:sz="12" w:space="0" w:color="auto"/>
              <w:bottom w:val="single" w:sz="6" w:space="0" w:color="auto"/>
              <w:right w:val="single" w:sz="6" w:space="0" w:color="auto"/>
            </w:tcBorders>
            <w:vAlign w:val="center"/>
          </w:tcPr>
          <w:p w:rsidR="00F4222A" w:rsidRPr="00A17118" w:rsidRDefault="00F4222A" w:rsidP="00A6311A">
            <w:pPr>
              <w:pStyle w:val="142"/>
            </w:pPr>
            <w:r>
              <w:rPr>
                <w:rFonts w:hint="eastAsia"/>
              </w:rPr>
              <w:t>評議</w:t>
            </w:r>
          </w:p>
        </w:tc>
        <w:tc>
          <w:tcPr>
            <w:tcW w:w="993" w:type="dxa"/>
            <w:tcBorders>
              <w:top w:val="single" w:sz="6" w:space="0" w:color="auto"/>
              <w:left w:val="single" w:sz="6" w:space="0" w:color="auto"/>
              <w:bottom w:val="single" w:sz="6" w:space="0" w:color="auto"/>
              <w:right w:val="single" w:sz="6" w:space="0" w:color="auto"/>
            </w:tcBorders>
            <w:vAlign w:val="center"/>
          </w:tcPr>
          <w:p w:rsidR="00F4222A" w:rsidRPr="00A17118" w:rsidRDefault="00F4222A" w:rsidP="00135196">
            <w:pPr>
              <w:pStyle w:val="142"/>
              <w:jc w:val="center"/>
            </w:pPr>
            <w:r>
              <w:rPr>
                <w:rFonts w:hint="eastAsia"/>
              </w:rPr>
              <w:t>案件數</w:t>
            </w:r>
          </w:p>
        </w:tc>
        <w:tc>
          <w:tcPr>
            <w:tcW w:w="1204"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3</w:t>
            </w:r>
            <w:r w:rsidRPr="00F4222A">
              <w:t>15</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02</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334</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06</w:t>
            </w:r>
          </w:p>
        </w:tc>
        <w:tc>
          <w:tcPr>
            <w:tcW w:w="1205" w:type="dxa"/>
            <w:tcBorders>
              <w:top w:val="single" w:sz="6" w:space="0" w:color="auto"/>
              <w:left w:val="single" w:sz="6" w:space="0" w:color="auto"/>
              <w:bottom w:val="single" w:sz="6" w:space="0" w:color="auto"/>
              <w:right w:val="single" w:sz="6" w:space="0" w:color="auto"/>
            </w:tcBorders>
            <w:vAlign w:val="center"/>
          </w:tcPr>
          <w:p w:rsidR="00F4222A" w:rsidRPr="00F4222A" w:rsidRDefault="00F4222A" w:rsidP="00F4222A">
            <w:pPr>
              <w:pStyle w:val="142"/>
              <w:jc w:val="right"/>
            </w:pPr>
            <w:r w:rsidRPr="00F4222A">
              <w:rPr>
                <w:rFonts w:hint="eastAsia"/>
              </w:rPr>
              <w:t>6</w:t>
            </w:r>
            <w:r w:rsidRPr="00F4222A">
              <w:t>65</w:t>
            </w:r>
          </w:p>
        </w:tc>
        <w:tc>
          <w:tcPr>
            <w:tcW w:w="1205" w:type="dxa"/>
            <w:tcBorders>
              <w:top w:val="single" w:sz="6" w:space="0" w:color="auto"/>
              <w:left w:val="single" w:sz="6" w:space="0" w:color="auto"/>
              <w:bottom w:val="single" w:sz="6"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873</w:t>
            </w:r>
          </w:p>
        </w:tc>
      </w:tr>
      <w:tr w:rsidR="00F4222A" w:rsidRPr="00A17118" w:rsidTr="003056A2">
        <w:trPr>
          <w:cantSplit/>
          <w:trHeight w:val="20"/>
        </w:trPr>
        <w:tc>
          <w:tcPr>
            <w:tcW w:w="709" w:type="dxa"/>
            <w:vMerge/>
            <w:tcBorders>
              <w:top w:val="single" w:sz="6" w:space="0" w:color="auto"/>
              <w:left w:val="single" w:sz="12" w:space="0" w:color="auto"/>
              <w:bottom w:val="single" w:sz="12" w:space="0" w:color="auto"/>
              <w:right w:val="single" w:sz="6" w:space="0" w:color="auto"/>
            </w:tcBorders>
            <w:vAlign w:val="center"/>
          </w:tcPr>
          <w:p w:rsidR="00F4222A" w:rsidRPr="00A17118" w:rsidRDefault="00F4222A" w:rsidP="00A6311A">
            <w:pPr>
              <w:pStyle w:val="142"/>
            </w:pPr>
          </w:p>
        </w:tc>
        <w:tc>
          <w:tcPr>
            <w:tcW w:w="993" w:type="dxa"/>
            <w:tcBorders>
              <w:top w:val="single" w:sz="6" w:space="0" w:color="auto"/>
              <w:left w:val="single" w:sz="6" w:space="0" w:color="auto"/>
              <w:bottom w:val="single" w:sz="12" w:space="0" w:color="auto"/>
              <w:right w:val="single" w:sz="6" w:space="0" w:color="auto"/>
            </w:tcBorders>
            <w:vAlign w:val="center"/>
          </w:tcPr>
          <w:p w:rsidR="00F4222A" w:rsidRPr="00A17118" w:rsidRDefault="00F4222A" w:rsidP="00135196">
            <w:pPr>
              <w:pStyle w:val="142"/>
              <w:ind w:rightChars="-11" w:right="-31"/>
              <w:jc w:val="center"/>
            </w:pPr>
            <w:r>
              <w:rPr>
                <w:rFonts w:hint="eastAsia"/>
              </w:rPr>
              <w:t>占整體金融業比率</w:t>
            </w:r>
          </w:p>
        </w:tc>
        <w:tc>
          <w:tcPr>
            <w:tcW w:w="1204"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3.5</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w:t>
            </w:r>
            <w:r w:rsidRPr="00F4222A">
              <w:t>2.93</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11.81</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4</w:t>
            </w:r>
            <w:r w:rsidRPr="00F4222A">
              <w:t>.55</w:t>
            </w:r>
          </w:p>
        </w:tc>
        <w:tc>
          <w:tcPr>
            <w:tcW w:w="1205" w:type="dxa"/>
            <w:tcBorders>
              <w:top w:val="single" w:sz="6" w:space="0" w:color="auto"/>
              <w:left w:val="single" w:sz="6" w:space="0" w:color="auto"/>
              <w:bottom w:val="single" w:sz="12" w:space="0" w:color="auto"/>
              <w:right w:val="single" w:sz="6" w:space="0" w:color="auto"/>
            </w:tcBorders>
            <w:vAlign w:val="center"/>
          </w:tcPr>
          <w:p w:rsidR="00F4222A" w:rsidRPr="00F4222A" w:rsidRDefault="00F4222A" w:rsidP="00F4222A">
            <w:pPr>
              <w:pStyle w:val="142"/>
              <w:jc w:val="right"/>
            </w:pPr>
            <w:r w:rsidRPr="00F4222A">
              <w:rPr>
                <w:rFonts w:hint="eastAsia"/>
              </w:rPr>
              <w:t>9</w:t>
            </w:r>
            <w:r w:rsidRPr="00F4222A">
              <w:t>.17</w:t>
            </w:r>
          </w:p>
        </w:tc>
        <w:tc>
          <w:tcPr>
            <w:tcW w:w="1205" w:type="dxa"/>
            <w:tcBorders>
              <w:top w:val="single" w:sz="6" w:space="0" w:color="auto"/>
              <w:left w:val="single" w:sz="6" w:space="0" w:color="auto"/>
              <w:bottom w:val="single" w:sz="12" w:space="0" w:color="auto"/>
              <w:right w:val="single" w:sz="12" w:space="0" w:color="auto"/>
            </w:tcBorders>
            <w:vAlign w:val="center"/>
          </w:tcPr>
          <w:p w:rsidR="00F4222A" w:rsidRPr="00F4222A" w:rsidRDefault="0076537F" w:rsidP="00F4222A">
            <w:pPr>
              <w:pStyle w:val="142"/>
              <w:jc w:val="right"/>
              <w:rPr>
                <w:rFonts w:hint="eastAsia"/>
              </w:rPr>
            </w:pPr>
            <w:r>
              <w:rPr>
                <w:rFonts w:hint="eastAsia"/>
              </w:rPr>
              <w:t>16.01</w:t>
            </w:r>
          </w:p>
        </w:tc>
      </w:tr>
    </w:tbl>
    <w:p w:rsidR="00560834" w:rsidRDefault="00560834" w:rsidP="001E3912">
      <w:pPr>
        <w:pStyle w:val="142"/>
        <w:ind w:leftChars="-50" w:left="1074" w:rightChars="-100" w:right="-283" w:hangingChars="500" w:hanging="1216"/>
        <w:jc w:val="both"/>
        <w:rPr>
          <w:rFonts w:hAnsi="標楷體"/>
          <w:szCs w:val="24"/>
        </w:rPr>
      </w:pPr>
      <w:r>
        <w:rPr>
          <w:rFonts w:hAnsi="標楷體" w:hint="eastAsia"/>
          <w:szCs w:val="24"/>
        </w:rPr>
        <w:t>說    明：</w:t>
      </w:r>
      <w:r>
        <w:rPr>
          <w:rFonts w:hint="eastAsia"/>
        </w:rPr>
        <w:t>整體</w:t>
      </w:r>
      <w:r>
        <w:rPr>
          <w:rFonts w:hAnsi="標楷體" w:hint="eastAsia"/>
          <w:szCs w:val="24"/>
        </w:rPr>
        <w:t>金融業案件係指金融消費評議中心所列有關銀行業、證券期貨業、人壽保險業、產物保險業、保險輔助人及電子支付業等各業別之申訴或評議案件合計數。</w:t>
      </w:r>
    </w:p>
    <w:p w:rsidR="00560834" w:rsidRPr="00A17118" w:rsidRDefault="00560834" w:rsidP="00560834">
      <w:pPr>
        <w:pStyle w:val="142"/>
        <w:ind w:leftChars="-50" w:left="1196" w:rightChars="-50" w:right="-142" w:hangingChars="550" w:hanging="1338"/>
        <w:jc w:val="both"/>
        <w:rPr>
          <w:rFonts w:hAnsi="標楷體"/>
          <w:szCs w:val="24"/>
        </w:rPr>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560834" w:rsidRDefault="00560834" w:rsidP="00560834">
      <w:pPr>
        <w:pStyle w:val="a4"/>
        <w:ind w:left="849" w:hanging="283"/>
        <w:rPr>
          <w:b/>
        </w:rPr>
      </w:pPr>
      <w:r w:rsidRPr="0053298C">
        <w:rPr>
          <w:rFonts w:hint="eastAsia"/>
          <w:b/>
          <w:color w:val="000000"/>
        </w:rPr>
        <w:t>(二)</w:t>
      </w:r>
      <w:r w:rsidR="00983069">
        <w:rPr>
          <w:rFonts w:hint="eastAsia"/>
          <w:b/>
          <w:color w:val="000000"/>
        </w:rPr>
        <w:t>近年</w:t>
      </w:r>
      <w:r w:rsidR="00983069" w:rsidRPr="00983069">
        <w:rPr>
          <w:rFonts w:hint="eastAsia"/>
          <w:b/>
          <w:color w:val="000000"/>
        </w:rPr>
        <w:t>信用卡消費款代償、結清或爭議款</w:t>
      </w:r>
      <w:r w:rsidR="00F0296D">
        <w:rPr>
          <w:rFonts w:hint="eastAsia"/>
          <w:b/>
          <w:color w:val="000000"/>
        </w:rPr>
        <w:t>案件</w:t>
      </w:r>
      <w:r w:rsidR="00983069" w:rsidRPr="00983069">
        <w:rPr>
          <w:rFonts w:hint="eastAsia"/>
          <w:b/>
          <w:color w:val="000000"/>
        </w:rPr>
        <w:t>之</w:t>
      </w:r>
      <w:r w:rsidR="00983069" w:rsidRPr="00983069">
        <w:rPr>
          <w:rFonts w:hint="eastAsia"/>
          <w:b/>
        </w:rPr>
        <w:t>增幅超逾</w:t>
      </w:r>
      <w:r w:rsidR="00F0296D">
        <w:rPr>
          <w:rFonts w:hint="eastAsia"/>
          <w:b/>
        </w:rPr>
        <w:t>六</w:t>
      </w:r>
      <w:r w:rsidR="00983069" w:rsidRPr="00983069">
        <w:rPr>
          <w:rFonts w:hint="eastAsia"/>
          <w:b/>
        </w:rPr>
        <w:t>倍</w:t>
      </w:r>
      <w:r w:rsidR="00983069" w:rsidRPr="00983069">
        <w:rPr>
          <w:rFonts w:hint="eastAsia"/>
          <w:b/>
          <w:color w:val="000000"/>
        </w:rPr>
        <w:t>，</w:t>
      </w:r>
      <w:r w:rsidRPr="00C4413A">
        <w:rPr>
          <w:rFonts w:hint="eastAsia"/>
          <w:b/>
        </w:rPr>
        <w:t>允宜持續督</w:t>
      </w:r>
      <w:r w:rsidR="00827303">
        <w:rPr>
          <w:rFonts w:hint="eastAsia"/>
          <w:b/>
        </w:rPr>
        <w:t>導</w:t>
      </w:r>
      <w:r w:rsidRPr="00827303">
        <w:rPr>
          <w:rFonts w:hint="eastAsia"/>
          <w:b/>
          <w:color w:val="000000"/>
        </w:rPr>
        <w:t>業者</w:t>
      </w:r>
      <w:r w:rsidR="00827303" w:rsidRPr="00827303">
        <w:rPr>
          <w:rFonts w:hint="eastAsia"/>
          <w:b/>
          <w:color w:val="000000"/>
        </w:rPr>
        <w:t>落實相關措施，俾有效保障消費者權益</w:t>
      </w:r>
    </w:p>
    <w:p w:rsidR="00330FAB" w:rsidRDefault="003056A2" w:rsidP="00983069">
      <w:pPr>
        <w:pStyle w:val="22"/>
        <w:ind w:left="850" w:firstLine="566"/>
      </w:pPr>
      <w:r>
        <w:rPr>
          <w:rFonts w:hint="eastAsia"/>
        </w:rPr>
        <w:t>復檢視近年銀行業</w:t>
      </w:r>
      <w:r w:rsidR="00237CD3">
        <w:rPr>
          <w:rFonts w:hint="eastAsia"/>
        </w:rPr>
        <w:t>申訴暨評議案件之爭議</w:t>
      </w:r>
      <w:r w:rsidR="00560834" w:rsidRPr="00964800">
        <w:rPr>
          <w:rFonts w:hint="eastAsia"/>
        </w:rPr>
        <w:t>類型，成長幅度最高者為信用卡消費款代償、結清或爭議款</w:t>
      </w:r>
      <w:r w:rsidR="00F0296D">
        <w:rPr>
          <w:rFonts w:hint="eastAsia"/>
        </w:rPr>
        <w:t>等案件</w:t>
      </w:r>
      <w:r w:rsidR="00560834" w:rsidRPr="00964800">
        <w:rPr>
          <w:rFonts w:hint="eastAsia"/>
        </w:rPr>
        <w:t>，11</w:t>
      </w:r>
      <w:r w:rsidR="00EE4F75">
        <w:rPr>
          <w:rFonts w:hint="eastAsia"/>
        </w:rPr>
        <w:t>3</w:t>
      </w:r>
      <w:r w:rsidR="00560834" w:rsidRPr="00964800">
        <w:rPr>
          <w:rFonts w:hint="eastAsia"/>
        </w:rPr>
        <w:t>年申訴暨評議案件</w:t>
      </w:r>
      <w:r w:rsidR="002E3586">
        <w:rPr>
          <w:rFonts w:hint="eastAsia"/>
        </w:rPr>
        <w:t>合計</w:t>
      </w:r>
      <w:r w:rsidR="00CC04E0">
        <w:rPr>
          <w:rFonts w:hint="eastAsia"/>
        </w:rPr>
        <w:t>數</w:t>
      </w:r>
      <w:r w:rsidR="002E3586">
        <w:rPr>
          <w:rFonts w:hint="eastAsia"/>
        </w:rPr>
        <w:t>為</w:t>
      </w:r>
      <w:r w:rsidR="00EE4F75">
        <w:rPr>
          <w:rFonts w:hint="eastAsia"/>
        </w:rPr>
        <w:t>1,322件，</w:t>
      </w:r>
      <w:r w:rsidR="00CC04E0">
        <w:rPr>
          <w:rFonts w:hint="eastAsia"/>
        </w:rPr>
        <w:t>係</w:t>
      </w:r>
      <w:r w:rsidR="00EE4F75" w:rsidRPr="00964800">
        <w:rPr>
          <w:rFonts w:hint="eastAsia"/>
        </w:rPr>
        <w:t>同期間銀行業最常見之爭議類型，占比達</w:t>
      </w:r>
      <w:r w:rsidR="00EE4F75">
        <w:rPr>
          <w:rFonts w:hint="eastAsia"/>
        </w:rPr>
        <w:t>34.49</w:t>
      </w:r>
      <w:r w:rsidR="00EE4F75" w:rsidRPr="00964800">
        <w:rPr>
          <w:rFonts w:hint="eastAsia"/>
        </w:rPr>
        <w:t>%</w:t>
      </w:r>
      <w:r w:rsidR="00EE4F75">
        <w:rPr>
          <w:rFonts w:hint="eastAsia"/>
        </w:rPr>
        <w:t>，若</w:t>
      </w:r>
      <w:r w:rsidR="00560834" w:rsidRPr="00964800">
        <w:rPr>
          <w:rFonts w:hint="eastAsia"/>
        </w:rPr>
        <w:t>與108年</w:t>
      </w:r>
      <w:r w:rsidR="009752AD">
        <w:rPr>
          <w:rFonts w:hint="eastAsia"/>
        </w:rPr>
        <w:t>件數</w:t>
      </w:r>
      <w:r w:rsidR="00560834" w:rsidRPr="00964800">
        <w:rPr>
          <w:rFonts w:hint="eastAsia"/>
        </w:rPr>
        <w:t>相</w:t>
      </w:r>
      <w:r w:rsidR="009752AD">
        <w:rPr>
          <w:rFonts w:hint="eastAsia"/>
        </w:rPr>
        <w:t>較</w:t>
      </w:r>
      <w:r w:rsidR="00560834" w:rsidRPr="00964800">
        <w:rPr>
          <w:rFonts w:hint="eastAsia"/>
        </w:rPr>
        <w:t>，</w:t>
      </w:r>
      <w:r w:rsidR="00EE4F75">
        <w:rPr>
          <w:rFonts w:hint="eastAsia"/>
        </w:rPr>
        <w:t>增幅超逾</w:t>
      </w:r>
      <w:r w:rsidR="009752AD">
        <w:rPr>
          <w:rFonts w:hint="eastAsia"/>
        </w:rPr>
        <w:t>六</w:t>
      </w:r>
      <w:r w:rsidR="00560834" w:rsidRPr="00964800">
        <w:rPr>
          <w:rFonts w:hint="eastAsia"/>
        </w:rPr>
        <w:t>倍(詳表2)</w:t>
      </w:r>
      <w:r w:rsidR="00FE5CD4">
        <w:rPr>
          <w:rFonts w:hint="eastAsia"/>
        </w:rPr>
        <w:t>。</w:t>
      </w:r>
      <w:r w:rsidR="00560834" w:rsidRPr="00964800">
        <w:rPr>
          <w:rFonts w:hint="eastAsia"/>
        </w:rPr>
        <w:t>詢據</w:t>
      </w:r>
      <w:r w:rsidR="00983069">
        <w:rPr>
          <w:rFonts w:hint="eastAsia"/>
        </w:rPr>
        <w:t>金管會</w:t>
      </w:r>
      <w:r w:rsidR="002E3586">
        <w:rPr>
          <w:rFonts w:hint="eastAsia"/>
        </w:rPr>
        <w:t>略以</w:t>
      </w:r>
      <w:r w:rsidR="00560834" w:rsidRPr="00964800">
        <w:rPr>
          <w:rFonts w:hint="eastAsia"/>
        </w:rPr>
        <w:t>，</w:t>
      </w:r>
      <w:r w:rsidR="002E3586">
        <w:rPr>
          <w:rFonts w:hint="eastAsia"/>
        </w:rPr>
        <w:t>據</w:t>
      </w:r>
      <w:r w:rsidR="00CC04E0">
        <w:rPr>
          <w:rFonts w:hint="eastAsia"/>
        </w:rPr>
        <w:t>金融消費評議</w:t>
      </w:r>
      <w:r w:rsidR="00CC04E0" w:rsidRPr="00964800">
        <w:rPr>
          <w:rFonts w:hint="eastAsia"/>
        </w:rPr>
        <w:t>中心</w:t>
      </w:r>
      <w:r w:rsidR="002E3586">
        <w:rPr>
          <w:rFonts w:hint="eastAsia"/>
        </w:rPr>
        <w:t>113年統計結果</w:t>
      </w:r>
      <w:r w:rsidR="00CC04E0">
        <w:rPr>
          <w:rFonts w:hint="eastAsia"/>
        </w:rPr>
        <w:t>指出</w:t>
      </w:r>
      <w:r w:rsidR="002E3586">
        <w:rPr>
          <w:rFonts w:hint="eastAsia"/>
        </w:rPr>
        <w:t>，</w:t>
      </w:r>
      <w:r w:rsidR="00560834" w:rsidRPr="00964800">
        <w:rPr>
          <w:rFonts w:hint="eastAsia"/>
        </w:rPr>
        <w:t>是類爭議案件</w:t>
      </w:r>
      <w:r w:rsidR="00983069">
        <w:rPr>
          <w:rFonts w:hint="eastAsia"/>
        </w:rPr>
        <w:t>中</w:t>
      </w:r>
      <w:r w:rsidR="002E3586">
        <w:rPr>
          <w:rFonts w:hint="eastAsia"/>
        </w:rPr>
        <w:t>，</w:t>
      </w:r>
      <w:r w:rsidR="00560834" w:rsidRPr="00964800">
        <w:rPr>
          <w:rFonts w:hint="eastAsia"/>
        </w:rPr>
        <w:t>申請人主張</w:t>
      </w:r>
      <w:r w:rsidR="0078378F">
        <w:rPr>
          <w:rFonts w:hint="eastAsia"/>
        </w:rPr>
        <w:t>係因</w:t>
      </w:r>
      <w:r w:rsidR="00EE4F75">
        <w:rPr>
          <w:rFonts w:hint="eastAsia"/>
        </w:rPr>
        <w:t>信用卡遭</w:t>
      </w:r>
      <w:r w:rsidR="0078378F">
        <w:rPr>
          <w:rFonts w:hint="eastAsia"/>
        </w:rPr>
        <w:t>盜刷之件數超逾九成</w:t>
      </w:r>
      <w:r w:rsidR="00694B5D">
        <w:rPr>
          <w:rFonts w:hint="eastAsia"/>
        </w:rPr>
        <w:t>，該會</w:t>
      </w:r>
      <w:r w:rsidR="002E3586">
        <w:rPr>
          <w:rFonts w:hint="eastAsia"/>
        </w:rPr>
        <w:t>已</w:t>
      </w:r>
      <w:r w:rsidR="00983069" w:rsidRPr="00964800">
        <w:rPr>
          <w:rFonts w:hint="eastAsia"/>
        </w:rPr>
        <w:t>透過</w:t>
      </w:r>
      <w:r w:rsidR="00983069">
        <w:rPr>
          <w:rFonts w:hint="eastAsia"/>
        </w:rPr>
        <w:t>新聞稿、微電影</w:t>
      </w:r>
      <w:r w:rsidR="006E6F34">
        <w:rPr>
          <w:rFonts w:hint="eastAsia"/>
        </w:rPr>
        <w:t>、金融知識教育等方式適時向</w:t>
      </w:r>
      <w:r w:rsidR="00983069" w:rsidRPr="00964800">
        <w:rPr>
          <w:rFonts w:hint="eastAsia"/>
        </w:rPr>
        <w:t>民眾</w:t>
      </w:r>
      <w:r w:rsidR="006E6F34">
        <w:rPr>
          <w:rFonts w:hint="eastAsia"/>
        </w:rPr>
        <w:t>宣導</w:t>
      </w:r>
      <w:r w:rsidR="00983069">
        <w:rPr>
          <w:rFonts w:hint="eastAsia"/>
        </w:rPr>
        <w:t>，</w:t>
      </w:r>
      <w:r w:rsidR="002E3586">
        <w:rPr>
          <w:rFonts w:hint="eastAsia"/>
        </w:rPr>
        <w:t>亦</w:t>
      </w:r>
      <w:r w:rsidR="00983069">
        <w:rPr>
          <w:rFonts w:hint="eastAsia"/>
        </w:rPr>
        <w:t>請銀行公會邀集業者研議相關防詐措施，並</w:t>
      </w:r>
      <w:r w:rsidR="00983069" w:rsidRPr="00964800">
        <w:rPr>
          <w:rFonts w:hint="eastAsia"/>
        </w:rPr>
        <w:t>將</w:t>
      </w:r>
      <w:r w:rsidR="00983069">
        <w:rPr>
          <w:rFonts w:hint="eastAsia"/>
        </w:rPr>
        <w:t>金融消費評議</w:t>
      </w:r>
      <w:r w:rsidR="00983069" w:rsidRPr="00964800">
        <w:rPr>
          <w:rFonts w:hint="eastAsia"/>
        </w:rPr>
        <w:t>中心所受理銀行業</w:t>
      </w:r>
      <w:r w:rsidR="006E6F34">
        <w:rPr>
          <w:rFonts w:hint="eastAsia"/>
        </w:rPr>
        <w:t>之</w:t>
      </w:r>
      <w:r w:rsidR="00983069" w:rsidRPr="00964800">
        <w:rPr>
          <w:rFonts w:hint="eastAsia"/>
        </w:rPr>
        <w:t>金融消費爭議情形納入公平待客原則評核範圍，</w:t>
      </w:r>
      <w:r w:rsidR="00221207">
        <w:rPr>
          <w:rFonts w:hint="eastAsia"/>
        </w:rPr>
        <w:t>該會表示</w:t>
      </w:r>
      <w:r w:rsidR="00983069" w:rsidRPr="00964800">
        <w:rPr>
          <w:rFonts w:hint="eastAsia"/>
        </w:rPr>
        <w:t>將敦促業者持續精進，以提升金融服務業對金融消費者之服務品質。</w:t>
      </w:r>
    </w:p>
    <w:p w:rsidR="00560834" w:rsidRDefault="00560834" w:rsidP="0046396F">
      <w:pPr>
        <w:pStyle w:val="22"/>
        <w:ind w:leftChars="-50" w:left="708" w:rightChars="-100" w:right="-283" w:hangingChars="300" w:hanging="850"/>
        <w:rPr>
          <w:sz w:val="24"/>
          <w:szCs w:val="24"/>
        </w:rPr>
      </w:pPr>
      <w:r w:rsidRPr="002A5CD3">
        <w:rPr>
          <w:rFonts w:hint="eastAsia"/>
          <w:b/>
        </w:rPr>
        <w:t>表</w:t>
      </w:r>
      <w:r>
        <w:rPr>
          <w:rFonts w:hint="eastAsia"/>
          <w:b/>
        </w:rPr>
        <w:t xml:space="preserve">2  </w:t>
      </w:r>
      <w:r w:rsidR="009752AD">
        <w:rPr>
          <w:rFonts w:hint="eastAsia"/>
          <w:b/>
        </w:rPr>
        <w:t>108至113年</w:t>
      </w:r>
      <w:r w:rsidRPr="006B72B9">
        <w:rPr>
          <w:rFonts w:hint="eastAsia"/>
          <w:b/>
        </w:rPr>
        <w:t>金融消費評議中心</w:t>
      </w:r>
      <w:r>
        <w:rPr>
          <w:rFonts w:hint="eastAsia"/>
          <w:b/>
        </w:rPr>
        <w:t>所受理與</w:t>
      </w:r>
      <w:r w:rsidRPr="007A4E1E">
        <w:rPr>
          <w:rFonts w:hint="eastAsia"/>
          <w:b/>
        </w:rPr>
        <w:t>信用卡消費款代償、結清或爭議款</w:t>
      </w:r>
      <w:r>
        <w:rPr>
          <w:rFonts w:hint="eastAsia"/>
          <w:b/>
        </w:rPr>
        <w:t>相關之</w:t>
      </w:r>
      <w:r w:rsidRPr="00A9217D">
        <w:rPr>
          <w:rFonts w:hint="eastAsia"/>
          <w:b/>
        </w:rPr>
        <w:t>申訴</w:t>
      </w:r>
      <w:r>
        <w:rPr>
          <w:rFonts w:hint="eastAsia"/>
          <w:b/>
        </w:rPr>
        <w:t>暨</w:t>
      </w:r>
      <w:r w:rsidRPr="00A9217D">
        <w:rPr>
          <w:rFonts w:hint="eastAsia"/>
          <w:b/>
        </w:rPr>
        <w:t>評議案件</w:t>
      </w:r>
      <w:r>
        <w:rPr>
          <w:rFonts w:hint="eastAsia"/>
          <w:b/>
        </w:rPr>
        <w:t xml:space="preserve">分析表        </w:t>
      </w:r>
      <w:r>
        <w:rPr>
          <w:rFonts w:hint="eastAsia"/>
          <w:sz w:val="24"/>
          <w:szCs w:val="24"/>
        </w:rPr>
        <w:t>單</w:t>
      </w:r>
      <w:r w:rsidRPr="00E977AC">
        <w:rPr>
          <w:rFonts w:hint="eastAsia"/>
          <w:sz w:val="24"/>
          <w:szCs w:val="24"/>
        </w:rPr>
        <w:t>位：</w:t>
      </w:r>
      <w:r>
        <w:rPr>
          <w:rFonts w:hint="eastAsia"/>
          <w:sz w:val="24"/>
          <w:szCs w:val="24"/>
        </w:rPr>
        <w:t>件；%</w:t>
      </w:r>
    </w:p>
    <w:tbl>
      <w:tblPr>
        <w:tblW w:w="893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1039"/>
        <w:gridCol w:w="1040"/>
        <w:gridCol w:w="1039"/>
        <w:gridCol w:w="1040"/>
        <w:gridCol w:w="1039"/>
        <w:gridCol w:w="1040"/>
      </w:tblGrid>
      <w:tr w:rsidR="00017CBE" w:rsidRPr="00A17118" w:rsidTr="00DC4F6C">
        <w:trPr>
          <w:cantSplit/>
          <w:trHeight w:val="524"/>
          <w:tblHeader/>
        </w:trPr>
        <w:tc>
          <w:tcPr>
            <w:tcW w:w="2694" w:type="dxa"/>
            <w:gridSpan w:val="2"/>
            <w:tcBorders>
              <w:top w:val="single" w:sz="12" w:space="0" w:color="auto"/>
              <w:left w:val="single" w:sz="12" w:space="0" w:color="auto"/>
              <w:bottom w:val="single" w:sz="6" w:space="0" w:color="auto"/>
              <w:right w:val="single" w:sz="6" w:space="0" w:color="auto"/>
              <w:tl2br w:val="single" w:sz="4" w:space="0" w:color="auto"/>
            </w:tcBorders>
          </w:tcPr>
          <w:p w:rsidR="00017CBE" w:rsidRPr="003A5DCA" w:rsidRDefault="00017CBE" w:rsidP="00017CBE">
            <w:pPr>
              <w:pStyle w:val="142"/>
              <w:rPr>
                <w:b/>
              </w:rPr>
            </w:pPr>
            <w:r w:rsidRPr="003A5DCA">
              <w:rPr>
                <w:rFonts w:hint="eastAsia"/>
                <w:b/>
              </w:rPr>
              <w:t xml:space="preserve">        </w:t>
            </w:r>
            <w:r>
              <w:rPr>
                <w:rFonts w:hint="eastAsia"/>
                <w:b/>
              </w:rPr>
              <w:t xml:space="preserve">     </w:t>
            </w:r>
            <w:r w:rsidR="00DC4F6C">
              <w:rPr>
                <w:rFonts w:hint="eastAsia"/>
                <w:b/>
              </w:rPr>
              <w:t xml:space="preserve">   </w:t>
            </w:r>
            <w:r w:rsidRPr="003A5DCA">
              <w:rPr>
                <w:rFonts w:hint="eastAsia"/>
                <w:b/>
              </w:rPr>
              <w:t>年度</w:t>
            </w:r>
          </w:p>
          <w:p w:rsidR="00017CBE" w:rsidRPr="003A5DCA" w:rsidRDefault="00017CBE" w:rsidP="00017CBE">
            <w:pPr>
              <w:pStyle w:val="142"/>
              <w:rPr>
                <w:b/>
              </w:rPr>
            </w:pPr>
            <w:r w:rsidRPr="003A5DCA">
              <w:rPr>
                <w:rFonts w:hint="eastAsia"/>
                <w:b/>
              </w:rPr>
              <w:t>案件</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108</w:t>
            </w:r>
            <w:r w:rsidRPr="007E1A7F">
              <w:rPr>
                <w:b/>
              </w:rPr>
              <w:t xml:space="preserve"> </w:t>
            </w:r>
          </w:p>
        </w:tc>
        <w:tc>
          <w:tcPr>
            <w:tcW w:w="1040"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109</w:t>
            </w:r>
            <w:r w:rsidRPr="007E1A7F">
              <w:rPr>
                <w:b/>
              </w:rPr>
              <w:t xml:space="preserve"> </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110</w:t>
            </w:r>
            <w:r w:rsidRPr="007E1A7F">
              <w:rPr>
                <w:b/>
              </w:rPr>
              <w:t xml:space="preserve"> </w:t>
            </w:r>
          </w:p>
        </w:tc>
        <w:tc>
          <w:tcPr>
            <w:tcW w:w="1040"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111</w:t>
            </w:r>
            <w:r w:rsidRPr="007E1A7F">
              <w:rPr>
                <w:b/>
              </w:rPr>
              <w:t xml:space="preserve"> </w:t>
            </w:r>
          </w:p>
        </w:tc>
        <w:tc>
          <w:tcPr>
            <w:tcW w:w="1039" w:type="dxa"/>
            <w:tcBorders>
              <w:top w:val="single" w:sz="12" w:space="0" w:color="auto"/>
              <w:left w:val="single" w:sz="6" w:space="0" w:color="auto"/>
              <w:bottom w:val="single" w:sz="6" w:space="0" w:color="auto"/>
              <w:right w:val="single" w:sz="6" w:space="0" w:color="auto"/>
            </w:tcBorders>
            <w:vAlign w:val="center"/>
          </w:tcPr>
          <w:p w:rsidR="00017CBE" w:rsidRPr="003A5DCA" w:rsidRDefault="00017CBE" w:rsidP="00017CBE">
            <w:pPr>
              <w:pStyle w:val="142"/>
              <w:jc w:val="center"/>
              <w:rPr>
                <w:b/>
              </w:rPr>
            </w:pPr>
            <w:r w:rsidRPr="007E1A7F">
              <w:rPr>
                <w:rFonts w:hint="eastAsia"/>
                <w:b/>
              </w:rPr>
              <w:t>112</w:t>
            </w:r>
            <w:r w:rsidRPr="007E1A7F">
              <w:rPr>
                <w:b/>
              </w:rPr>
              <w:t xml:space="preserve"> </w:t>
            </w:r>
          </w:p>
        </w:tc>
        <w:tc>
          <w:tcPr>
            <w:tcW w:w="1040" w:type="dxa"/>
            <w:tcBorders>
              <w:top w:val="single" w:sz="12" w:space="0" w:color="auto"/>
              <w:left w:val="single" w:sz="6" w:space="0" w:color="auto"/>
              <w:bottom w:val="single" w:sz="6" w:space="0" w:color="auto"/>
              <w:right w:val="single" w:sz="12" w:space="0" w:color="auto"/>
            </w:tcBorders>
            <w:vAlign w:val="center"/>
          </w:tcPr>
          <w:p w:rsidR="00017CBE" w:rsidRPr="003A5DCA" w:rsidRDefault="00017CBE" w:rsidP="00017CBE">
            <w:pPr>
              <w:pStyle w:val="142"/>
              <w:jc w:val="center"/>
              <w:rPr>
                <w:b/>
              </w:rPr>
            </w:pPr>
            <w:r w:rsidRPr="002B3D75">
              <w:rPr>
                <w:rFonts w:hint="eastAsia"/>
                <w:b/>
              </w:rPr>
              <w:t>113</w:t>
            </w:r>
            <w:r w:rsidRPr="002B3D75">
              <w:rPr>
                <w:b/>
              </w:rPr>
              <w:t xml:space="preserve"> </w:t>
            </w:r>
          </w:p>
        </w:tc>
      </w:tr>
      <w:tr w:rsidR="00560834" w:rsidRPr="00A17118" w:rsidTr="00B65253">
        <w:trPr>
          <w:cantSplit/>
          <w:trHeight w:val="340"/>
        </w:trPr>
        <w:tc>
          <w:tcPr>
            <w:tcW w:w="851" w:type="dxa"/>
            <w:vMerge w:val="restart"/>
            <w:tcBorders>
              <w:top w:val="single" w:sz="6" w:space="0" w:color="auto"/>
              <w:left w:val="single" w:sz="12" w:space="0" w:color="auto"/>
              <w:bottom w:val="single" w:sz="6" w:space="0" w:color="auto"/>
              <w:right w:val="single" w:sz="6" w:space="0" w:color="auto"/>
            </w:tcBorders>
            <w:vAlign w:val="center"/>
          </w:tcPr>
          <w:p w:rsidR="00560834" w:rsidRPr="00A17118" w:rsidRDefault="00560834" w:rsidP="00135196">
            <w:pPr>
              <w:pStyle w:val="142"/>
              <w:jc w:val="center"/>
            </w:pPr>
            <w:r>
              <w:rPr>
                <w:rFonts w:hint="eastAsia"/>
              </w:rPr>
              <w:t>申訴暨評議</w:t>
            </w:r>
          </w:p>
        </w:tc>
        <w:tc>
          <w:tcPr>
            <w:tcW w:w="1843" w:type="dxa"/>
            <w:tcBorders>
              <w:top w:val="single" w:sz="6" w:space="0" w:color="auto"/>
              <w:left w:val="single" w:sz="6" w:space="0" w:color="auto"/>
              <w:bottom w:val="single" w:sz="6" w:space="0" w:color="auto"/>
              <w:right w:val="single" w:sz="6" w:space="0" w:color="auto"/>
            </w:tcBorders>
            <w:vAlign w:val="center"/>
          </w:tcPr>
          <w:p w:rsidR="00560834" w:rsidRPr="00A17118" w:rsidRDefault="00560834" w:rsidP="00135196">
            <w:pPr>
              <w:pStyle w:val="142"/>
              <w:jc w:val="center"/>
            </w:pPr>
            <w:r>
              <w:rPr>
                <w:rFonts w:hint="eastAsia"/>
              </w:rPr>
              <w:t>案件合計數</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174</w:t>
            </w:r>
          </w:p>
        </w:tc>
        <w:tc>
          <w:tcPr>
            <w:tcW w:w="1040"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165</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128</w:t>
            </w:r>
          </w:p>
        </w:tc>
        <w:tc>
          <w:tcPr>
            <w:tcW w:w="1040" w:type="dxa"/>
            <w:tcBorders>
              <w:top w:val="single" w:sz="6" w:space="0" w:color="auto"/>
              <w:left w:val="single" w:sz="6" w:space="0" w:color="auto"/>
              <w:bottom w:val="single" w:sz="6" w:space="0" w:color="auto"/>
              <w:right w:val="single" w:sz="6" w:space="0" w:color="auto"/>
            </w:tcBorders>
            <w:vAlign w:val="center"/>
          </w:tcPr>
          <w:p w:rsidR="00560834" w:rsidRPr="00A831DB" w:rsidRDefault="00560834" w:rsidP="00A6311A">
            <w:pPr>
              <w:pStyle w:val="142"/>
              <w:jc w:val="right"/>
            </w:pPr>
            <w:r w:rsidRPr="00A831DB">
              <w:t>207</w:t>
            </w:r>
          </w:p>
        </w:tc>
        <w:tc>
          <w:tcPr>
            <w:tcW w:w="1039" w:type="dxa"/>
            <w:tcBorders>
              <w:top w:val="single" w:sz="6" w:space="0" w:color="auto"/>
              <w:left w:val="single" w:sz="6" w:space="0" w:color="auto"/>
              <w:bottom w:val="single" w:sz="6" w:space="0" w:color="auto"/>
              <w:right w:val="single" w:sz="6" w:space="0" w:color="auto"/>
            </w:tcBorders>
            <w:vAlign w:val="center"/>
          </w:tcPr>
          <w:p w:rsidR="00560834" w:rsidRDefault="00560834" w:rsidP="00A6311A">
            <w:pPr>
              <w:pStyle w:val="142"/>
              <w:jc w:val="right"/>
            </w:pPr>
            <w:r w:rsidRPr="00A831DB">
              <w:t>887</w:t>
            </w:r>
          </w:p>
        </w:tc>
        <w:tc>
          <w:tcPr>
            <w:tcW w:w="1040" w:type="dxa"/>
            <w:tcBorders>
              <w:top w:val="single" w:sz="6" w:space="0" w:color="auto"/>
              <w:left w:val="single" w:sz="6" w:space="0" w:color="auto"/>
              <w:bottom w:val="single" w:sz="6" w:space="0" w:color="auto"/>
              <w:right w:val="single" w:sz="12" w:space="0" w:color="auto"/>
            </w:tcBorders>
            <w:vAlign w:val="center"/>
          </w:tcPr>
          <w:p w:rsidR="00560834" w:rsidRPr="00D64EE0" w:rsidRDefault="00DB67BD" w:rsidP="00A6311A">
            <w:pPr>
              <w:pStyle w:val="142"/>
              <w:jc w:val="right"/>
            </w:pPr>
            <w:r>
              <w:rPr>
                <w:rFonts w:hint="eastAsia"/>
              </w:rPr>
              <w:t>1,322</w:t>
            </w:r>
          </w:p>
        </w:tc>
      </w:tr>
      <w:tr w:rsidR="00560834" w:rsidRPr="00A17118" w:rsidTr="00B65253">
        <w:trPr>
          <w:cantSplit/>
          <w:trHeight w:val="340"/>
        </w:trPr>
        <w:tc>
          <w:tcPr>
            <w:tcW w:w="851" w:type="dxa"/>
            <w:vMerge/>
            <w:tcBorders>
              <w:top w:val="single" w:sz="6" w:space="0" w:color="auto"/>
              <w:left w:val="single" w:sz="12" w:space="0" w:color="auto"/>
              <w:bottom w:val="single" w:sz="12" w:space="0" w:color="auto"/>
              <w:right w:val="single" w:sz="6" w:space="0" w:color="auto"/>
            </w:tcBorders>
            <w:vAlign w:val="center"/>
          </w:tcPr>
          <w:p w:rsidR="00560834" w:rsidRPr="00A17118" w:rsidRDefault="00560834" w:rsidP="00A6311A">
            <w:pPr>
              <w:pStyle w:val="142"/>
            </w:pPr>
          </w:p>
        </w:tc>
        <w:tc>
          <w:tcPr>
            <w:tcW w:w="1843" w:type="dxa"/>
            <w:tcBorders>
              <w:top w:val="single" w:sz="6" w:space="0" w:color="auto"/>
              <w:left w:val="single" w:sz="6" w:space="0" w:color="auto"/>
              <w:bottom w:val="single" w:sz="12" w:space="0" w:color="auto"/>
              <w:right w:val="single" w:sz="6" w:space="0" w:color="auto"/>
            </w:tcBorders>
            <w:vAlign w:val="center"/>
          </w:tcPr>
          <w:p w:rsidR="00560834" w:rsidRPr="00A17118" w:rsidRDefault="00560834" w:rsidP="00135196">
            <w:pPr>
              <w:pStyle w:val="142"/>
              <w:jc w:val="center"/>
            </w:pPr>
            <w:r>
              <w:rPr>
                <w:rFonts w:hint="eastAsia"/>
              </w:rPr>
              <w:t>占銀行業比率</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9.52</w:t>
            </w:r>
          </w:p>
        </w:tc>
        <w:tc>
          <w:tcPr>
            <w:tcW w:w="1040"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6.73</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6.88</w:t>
            </w:r>
          </w:p>
        </w:tc>
        <w:tc>
          <w:tcPr>
            <w:tcW w:w="1040"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10.87</w:t>
            </w:r>
          </w:p>
        </w:tc>
        <w:tc>
          <w:tcPr>
            <w:tcW w:w="1039" w:type="dxa"/>
            <w:tcBorders>
              <w:top w:val="single" w:sz="6" w:space="0" w:color="auto"/>
              <w:left w:val="single" w:sz="6" w:space="0" w:color="auto"/>
              <w:bottom w:val="single" w:sz="12" w:space="0" w:color="auto"/>
              <w:right w:val="single" w:sz="6" w:space="0" w:color="auto"/>
            </w:tcBorders>
            <w:vAlign w:val="center"/>
          </w:tcPr>
          <w:p w:rsidR="00560834" w:rsidRPr="009170A6" w:rsidRDefault="00560834" w:rsidP="00A6311A">
            <w:pPr>
              <w:pStyle w:val="142"/>
              <w:jc w:val="right"/>
            </w:pPr>
            <w:r w:rsidRPr="009170A6">
              <w:t>24.68</w:t>
            </w:r>
          </w:p>
        </w:tc>
        <w:tc>
          <w:tcPr>
            <w:tcW w:w="1040" w:type="dxa"/>
            <w:tcBorders>
              <w:top w:val="single" w:sz="6" w:space="0" w:color="auto"/>
              <w:left w:val="single" w:sz="6" w:space="0" w:color="auto"/>
              <w:bottom w:val="single" w:sz="12" w:space="0" w:color="auto"/>
              <w:right w:val="single" w:sz="12" w:space="0" w:color="auto"/>
            </w:tcBorders>
            <w:vAlign w:val="center"/>
          </w:tcPr>
          <w:p w:rsidR="00560834" w:rsidRPr="00D64EE0" w:rsidRDefault="00DB67BD" w:rsidP="00A6311A">
            <w:pPr>
              <w:pStyle w:val="142"/>
              <w:jc w:val="right"/>
              <w:rPr>
                <w:rFonts w:hint="eastAsia"/>
              </w:rPr>
            </w:pPr>
            <w:r>
              <w:rPr>
                <w:rFonts w:hint="eastAsia"/>
              </w:rPr>
              <w:t>34.49</w:t>
            </w:r>
          </w:p>
        </w:tc>
      </w:tr>
    </w:tbl>
    <w:p w:rsidR="00560834" w:rsidRPr="0053298C" w:rsidRDefault="00560834" w:rsidP="00560834">
      <w:pPr>
        <w:pStyle w:val="142"/>
        <w:ind w:leftChars="-50" w:left="1196" w:rightChars="-50" w:right="-142" w:hangingChars="550" w:hanging="1338"/>
        <w:jc w:val="both"/>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560834" w:rsidRPr="00827E96" w:rsidRDefault="00560834" w:rsidP="00560834">
      <w:pPr>
        <w:ind w:left="566" w:firstLine="566"/>
        <w:rPr>
          <w:rFonts w:hint="eastAsia"/>
        </w:rPr>
      </w:pPr>
      <w:r>
        <w:lastRenderedPageBreak/>
        <w:t>綜上，</w:t>
      </w:r>
      <w:r>
        <w:rPr>
          <w:rFonts w:hint="eastAsia"/>
        </w:rPr>
        <w:t>近年金融消費評議中心所受理與銀行業相關之申訴、</w:t>
      </w:r>
      <w:r w:rsidRPr="000F1331">
        <w:rPr>
          <w:rFonts w:hint="eastAsia"/>
        </w:rPr>
        <w:t>評議案件</w:t>
      </w:r>
      <w:r>
        <w:rPr>
          <w:rFonts w:hint="eastAsia"/>
        </w:rPr>
        <w:t>皆</w:t>
      </w:r>
      <w:r w:rsidRPr="000F1331">
        <w:rPr>
          <w:rFonts w:hint="eastAsia"/>
        </w:rPr>
        <w:t>概呈增加</w:t>
      </w:r>
      <w:r>
        <w:rPr>
          <w:rFonts w:hint="eastAsia"/>
        </w:rPr>
        <w:t>，</w:t>
      </w:r>
      <w:r w:rsidR="00390582" w:rsidRPr="009B4E7E">
        <w:rPr>
          <w:rFonts w:hint="eastAsia"/>
        </w:rPr>
        <w:t>113年度</w:t>
      </w:r>
      <w:r w:rsidR="009B4E7E" w:rsidRPr="009B4E7E">
        <w:rPr>
          <w:rFonts w:hint="eastAsia"/>
        </w:rPr>
        <w:t>占整體金融業之比率分別為20.84%及1</w:t>
      </w:r>
      <w:r w:rsidR="009B4E7E" w:rsidRPr="009B4E7E">
        <w:t>6.01</w:t>
      </w:r>
      <w:r w:rsidR="009B4E7E" w:rsidRPr="009B4E7E">
        <w:rPr>
          <w:rFonts w:hint="eastAsia"/>
        </w:rPr>
        <w:t>%，係1</w:t>
      </w:r>
      <w:r w:rsidR="001723C0">
        <w:rPr>
          <w:rFonts w:hint="eastAsia"/>
        </w:rPr>
        <w:t>10</w:t>
      </w:r>
      <w:r w:rsidR="009B4E7E" w:rsidRPr="009B4E7E">
        <w:rPr>
          <w:rFonts w:hint="eastAsia"/>
        </w:rPr>
        <w:t>年以來最高，</w:t>
      </w:r>
      <w:r w:rsidRPr="009B4E7E">
        <w:rPr>
          <w:rFonts w:hint="eastAsia"/>
        </w:rPr>
        <w:t>允宜持續加</w:t>
      </w:r>
      <w:r>
        <w:rPr>
          <w:rFonts w:hint="eastAsia"/>
        </w:rPr>
        <w:t>強宣導以強化民眾防詐意識，並敦促業者落實</w:t>
      </w:r>
      <w:r w:rsidR="00827303">
        <w:rPr>
          <w:rFonts w:hint="eastAsia"/>
        </w:rPr>
        <w:t>相關</w:t>
      </w:r>
      <w:r>
        <w:rPr>
          <w:rFonts w:hint="eastAsia"/>
        </w:rPr>
        <w:t>措施</w:t>
      </w:r>
      <w:r w:rsidRPr="00C10CAD">
        <w:rPr>
          <w:rFonts w:hint="eastAsia"/>
        </w:rPr>
        <w:t>，俾有效保障消費者權益</w:t>
      </w:r>
      <w:r>
        <w:rPr>
          <w:rFonts w:hint="eastAsia"/>
        </w:rPr>
        <w:t>。</w:t>
      </w:r>
    </w:p>
    <w:bookmarkEnd w:id="2"/>
    <w:bookmarkEnd w:id="3"/>
    <w:sectPr w:rsidR="00560834" w:rsidRPr="00827E96" w:rsidSect="00DF32C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EE1" w:rsidRDefault="00264EE1" w:rsidP="00E92BAD">
      <w:pPr>
        <w:spacing w:line="240" w:lineRule="auto"/>
        <w:ind w:left="560" w:firstLine="560"/>
      </w:pPr>
      <w:r>
        <w:separator/>
      </w:r>
    </w:p>
  </w:endnote>
  <w:endnote w:type="continuationSeparator" w:id="0">
    <w:p w:rsidR="00264EE1" w:rsidRDefault="00264EE1"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033D9" w:rsidRDefault="000033D9">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567CB2" w:rsidRDefault="000033D9"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66708E">
      <w:rPr>
        <w:rStyle w:val="af4"/>
        <w:rFonts w:ascii="標楷體" w:hAnsi="標楷體"/>
        <w:noProof/>
      </w:rPr>
      <w:t>2</w:t>
    </w:r>
    <w:r w:rsidRPr="00567CB2">
      <w:rPr>
        <w:rStyle w:val="af4"/>
        <w:rFonts w:ascii="標楷體" w:hAnsi="標楷體"/>
      </w:rPr>
      <w:fldChar w:fldCharType="end"/>
    </w:r>
  </w:p>
  <w:p w:rsidR="000033D9" w:rsidRPr="00657357" w:rsidRDefault="000033D9" w:rsidP="00BE16E8">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EE1" w:rsidRDefault="00264EE1" w:rsidP="000A7B0C">
      <w:pPr>
        <w:pStyle w:val="142"/>
      </w:pPr>
      <w:r>
        <w:separator/>
      </w:r>
    </w:p>
  </w:footnote>
  <w:footnote w:type="continuationSeparator" w:id="0">
    <w:p w:rsidR="00264EE1" w:rsidRPr="000A7B0C" w:rsidRDefault="00264EE1" w:rsidP="000A7B0C">
      <w:pPr>
        <w:pStyle w:val="142"/>
      </w:pPr>
      <w:r w:rsidRPr="000A7B0C">
        <w:continuationSeparator/>
      </w:r>
    </w:p>
  </w:footnote>
  <w:footnote w:type="continuationNotice" w:id="1">
    <w:p w:rsidR="00264EE1" w:rsidRPr="000A7B0C" w:rsidRDefault="00264EE1" w:rsidP="000A7B0C">
      <w:pPr>
        <w:pStyle w:val="142"/>
      </w:pPr>
    </w:p>
  </w:footnote>
  <w:footnote w:id="2">
    <w:p w:rsidR="00F92877" w:rsidRDefault="00F92877" w:rsidP="00F92877">
      <w:pPr>
        <w:pStyle w:val="142"/>
        <w:ind w:left="170" w:hangingChars="70" w:hanging="170"/>
        <w:rPr>
          <w:rFonts w:hint="eastAsia"/>
        </w:rPr>
      </w:pPr>
      <w:r>
        <w:rPr>
          <w:rStyle w:val="af7"/>
        </w:rPr>
        <w:footnoteRef/>
      </w:r>
      <w:r>
        <w:t xml:space="preserve"> </w:t>
      </w:r>
      <w:r w:rsidRPr="002272E9">
        <w:rPr>
          <w:rFonts w:hint="eastAsia"/>
        </w:rPr>
        <w:t>金融消費者保護法</w:t>
      </w:r>
      <w:r>
        <w:rPr>
          <w:rFonts w:hint="eastAsia"/>
        </w:rPr>
        <w:t>第13條第2項規定：「</w:t>
      </w:r>
      <w:r w:rsidRPr="002272E9">
        <w:rPr>
          <w:rFonts w:hint="eastAsia"/>
        </w:rPr>
        <w:t>金融消費者就金融消費爭議事件應先向金融服務業提出申訴，金融服務業應於收受申訴之日起</w:t>
      </w:r>
      <w:r w:rsidR="00F0296D">
        <w:rPr>
          <w:rFonts w:hint="eastAsia"/>
        </w:rPr>
        <w:t>30</w:t>
      </w:r>
      <w:r w:rsidRPr="002272E9">
        <w:rPr>
          <w:rFonts w:hint="eastAsia"/>
        </w:rPr>
        <w:t>日內為適當之處理，並將處理結果回覆提出申訴之金融消費者；</w:t>
      </w:r>
      <w:r w:rsidRPr="002272E9">
        <w:rPr>
          <w:rFonts w:hint="eastAsia"/>
          <w:u w:val="single"/>
        </w:rPr>
        <w:t>金融消費者不接受處理結果者或金融服務業逾上述期限不為處理者，金融消費者得於收受處理結果或期限屆滿之日起</w:t>
      </w:r>
      <w:r w:rsidR="00F0296D">
        <w:rPr>
          <w:rFonts w:hint="eastAsia"/>
          <w:u w:val="single"/>
        </w:rPr>
        <w:t>60</w:t>
      </w:r>
      <w:r w:rsidRPr="002272E9">
        <w:rPr>
          <w:rFonts w:hint="eastAsia"/>
          <w:u w:val="single"/>
        </w:rPr>
        <w:t>日內，向爭議處理機構申請評議</w:t>
      </w:r>
      <w:r w:rsidRPr="002272E9">
        <w:rPr>
          <w:rFonts w:hint="eastAsia"/>
        </w:rPr>
        <w:t>；金融消費者向爭議處理機構提出申訴者，爭議處理機構之金融消費者服務部門應將該申訴移交金融服務業處理</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657357" w:rsidRDefault="000033D9" w:rsidP="00E0138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6"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7"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6"/>
  </w:num>
  <w:num w:numId="4">
    <w:abstractNumId w:val="14"/>
  </w:num>
  <w:num w:numId="5">
    <w:abstractNumId w:val="1"/>
  </w:num>
  <w:num w:numId="6">
    <w:abstractNumId w:val="7"/>
  </w:num>
  <w:num w:numId="7">
    <w:abstractNumId w:val="4"/>
  </w:num>
  <w:num w:numId="8">
    <w:abstractNumId w:val="8"/>
  </w:num>
  <w:num w:numId="9">
    <w:abstractNumId w:val="17"/>
  </w:num>
  <w:num w:numId="10">
    <w:abstractNumId w:val="11"/>
  </w:num>
  <w:num w:numId="11">
    <w:abstractNumId w:val="15"/>
  </w:num>
  <w:num w:numId="12">
    <w:abstractNumId w:val="0"/>
  </w:num>
  <w:num w:numId="13">
    <w:abstractNumId w:val="6"/>
  </w:num>
  <w:num w:numId="14">
    <w:abstractNumId w:val="3"/>
  </w:num>
  <w:num w:numId="15">
    <w:abstractNumId w:val="5"/>
  </w:num>
  <w:num w:numId="16">
    <w:abstractNumId w:val="18"/>
  </w:num>
  <w:num w:numId="17">
    <w:abstractNumId w:val="2"/>
  </w:num>
  <w:num w:numId="18">
    <w:abstractNumId w:val="10"/>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FFD"/>
    <w:rsid w:val="000014B2"/>
    <w:rsid w:val="00001938"/>
    <w:rsid w:val="00001C3A"/>
    <w:rsid w:val="00001C48"/>
    <w:rsid w:val="00001CBD"/>
    <w:rsid w:val="00002485"/>
    <w:rsid w:val="0000258F"/>
    <w:rsid w:val="00002FED"/>
    <w:rsid w:val="000033D9"/>
    <w:rsid w:val="000035BD"/>
    <w:rsid w:val="00004150"/>
    <w:rsid w:val="00004721"/>
    <w:rsid w:val="000053FA"/>
    <w:rsid w:val="0000696B"/>
    <w:rsid w:val="00006CF7"/>
    <w:rsid w:val="0001024F"/>
    <w:rsid w:val="00010A51"/>
    <w:rsid w:val="00012171"/>
    <w:rsid w:val="00014D33"/>
    <w:rsid w:val="00014FDF"/>
    <w:rsid w:val="0001614F"/>
    <w:rsid w:val="00016BAE"/>
    <w:rsid w:val="00017CBE"/>
    <w:rsid w:val="00017F0D"/>
    <w:rsid w:val="00017FF1"/>
    <w:rsid w:val="00020AB6"/>
    <w:rsid w:val="00021251"/>
    <w:rsid w:val="00021455"/>
    <w:rsid w:val="00021875"/>
    <w:rsid w:val="00021FAC"/>
    <w:rsid w:val="00023655"/>
    <w:rsid w:val="00023C58"/>
    <w:rsid w:val="00024461"/>
    <w:rsid w:val="0002459F"/>
    <w:rsid w:val="00024ECE"/>
    <w:rsid w:val="000270F7"/>
    <w:rsid w:val="00027B69"/>
    <w:rsid w:val="000302B2"/>
    <w:rsid w:val="00030D24"/>
    <w:rsid w:val="00032311"/>
    <w:rsid w:val="00032998"/>
    <w:rsid w:val="000350C2"/>
    <w:rsid w:val="000355FF"/>
    <w:rsid w:val="00035850"/>
    <w:rsid w:val="00035F0D"/>
    <w:rsid w:val="00036273"/>
    <w:rsid w:val="0003644B"/>
    <w:rsid w:val="00037545"/>
    <w:rsid w:val="00037F26"/>
    <w:rsid w:val="000409E2"/>
    <w:rsid w:val="00040A99"/>
    <w:rsid w:val="000417ED"/>
    <w:rsid w:val="00042821"/>
    <w:rsid w:val="00042BE5"/>
    <w:rsid w:val="00042D78"/>
    <w:rsid w:val="00042E11"/>
    <w:rsid w:val="00043790"/>
    <w:rsid w:val="00044122"/>
    <w:rsid w:val="00044860"/>
    <w:rsid w:val="0004495A"/>
    <w:rsid w:val="00044DFA"/>
    <w:rsid w:val="00044FC1"/>
    <w:rsid w:val="000454B6"/>
    <w:rsid w:val="00046632"/>
    <w:rsid w:val="00046844"/>
    <w:rsid w:val="0005056C"/>
    <w:rsid w:val="00050622"/>
    <w:rsid w:val="00050BC2"/>
    <w:rsid w:val="00050C6F"/>
    <w:rsid w:val="0005126E"/>
    <w:rsid w:val="000512AF"/>
    <w:rsid w:val="00052E7E"/>
    <w:rsid w:val="00053055"/>
    <w:rsid w:val="00053473"/>
    <w:rsid w:val="00053585"/>
    <w:rsid w:val="00054472"/>
    <w:rsid w:val="00054A67"/>
    <w:rsid w:val="000557D2"/>
    <w:rsid w:val="00055F87"/>
    <w:rsid w:val="00056731"/>
    <w:rsid w:val="00060CE1"/>
    <w:rsid w:val="00062B35"/>
    <w:rsid w:val="00062BF2"/>
    <w:rsid w:val="00062DE1"/>
    <w:rsid w:val="00062FBE"/>
    <w:rsid w:val="00063543"/>
    <w:rsid w:val="00063628"/>
    <w:rsid w:val="000641E7"/>
    <w:rsid w:val="000653DD"/>
    <w:rsid w:val="0006679E"/>
    <w:rsid w:val="0006690B"/>
    <w:rsid w:val="0006729B"/>
    <w:rsid w:val="00067314"/>
    <w:rsid w:val="00067491"/>
    <w:rsid w:val="00067964"/>
    <w:rsid w:val="0007024E"/>
    <w:rsid w:val="0007048C"/>
    <w:rsid w:val="00071105"/>
    <w:rsid w:val="0007117E"/>
    <w:rsid w:val="00071C71"/>
    <w:rsid w:val="000721D4"/>
    <w:rsid w:val="000728B8"/>
    <w:rsid w:val="00072E12"/>
    <w:rsid w:val="00073116"/>
    <w:rsid w:val="0007385D"/>
    <w:rsid w:val="00073C0B"/>
    <w:rsid w:val="000751B1"/>
    <w:rsid w:val="00075B1F"/>
    <w:rsid w:val="00075D99"/>
    <w:rsid w:val="000774B3"/>
    <w:rsid w:val="000775BE"/>
    <w:rsid w:val="00077C3E"/>
    <w:rsid w:val="00080B78"/>
    <w:rsid w:val="00080F57"/>
    <w:rsid w:val="00081A19"/>
    <w:rsid w:val="000824DA"/>
    <w:rsid w:val="00082A63"/>
    <w:rsid w:val="00082F74"/>
    <w:rsid w:val="00083B7D"/>
    <w:rsid w:val="00086006"/>
    <w:rsid w:val="000866C9"/>
    <w:rsid w:val="00086831"/>
    <w:rsid w:val="000868E3"/>
    <w:rsid w:val="00086B5B"/>
    <w:rsid w:val="00086D04"/>
    <w:rsid w:val="00086D89"/>
    <w:rsid w:val="00086FC5"/>
    <w:rsid w:val="00087A9C"/>
    <w:rsid w:val="000900F5"/>
    <w:rsid w:val="00090869"/>
    <w:rsid w:val="00090F07"/>
    <w:rsid w:val="00090FD5"/>
    <w:rsid w:val="00092110"/>
    <w:rsid w:val="0009324C"/>
    <w:rsid w:val="00093B0D"/>
    <w:rsid w:val="000945AF"/>
    <w:rsid w:val="00094DA2"/>
    <w:rsid w:val="000952E9"/>
    <w:rsid w:val="000956C0"/>
    <w:rsid w:val="0009596E"/>
    <w:rsid w:val="00095D7D"/>
    <w:rsid w:val="00095E6D"/>
    <w:rsid w:val="00096961"/>
    <w:rsid w:val="00096C3C"/>
    <w:rsid w:val="0009701A"/>
    <w:rsid w:val="00097CBC"/>
    <w:rsid w:val="000A0ED2"/>
    <w:rsid w:val="000A3C5D"/>
    <w:rsid w:val="000A4782"/>
    <w:rsid w:val="000A4998"/>
    <w:rsid w:val="000A6606"/>
    <w:rsid w:val="000A67CD"/>
    <w:rsid w:val="000A76B6"/>
    <w:rsid w:val="000A794E"/>
    <w:rsid w:val="000A7B0C"/>
    <w:rsid w:val="000A7BBA"/>
    <w:rsid w:val="000A7E34"/>
    <w:rsid w:val="000B00D8"/>
    <w:rsid w:val="000B02CF"/>
    <w:rsid w:val="000B031E"/>
    <w:rsid w:val="000B0EF7"/>
    <w:rsid w:val="000B36C7"/>
    <w:rsid w:val="000B3BA9"/>
    <w:rsid w:val="000B432C"/>
    <w:rsid w:val="000B5CAA"/>
    <w:rsid w:val="000B7131"/>
    <w:rsid w:val="000B753F"/>
    <w:rsid w:val="000B7AEF"/>
    <w:rsid w:val="000B7CE3"/>
    <w:rsid w:val="000B7E1A"/>
    <w:rsid w:val="000C0DCE"/>
    <w:rsid w:val="000C1265"/>
    <w:rsid w:val="000C17A1"/>
    <w:rsid w:val="000C1B94"/>
    <w:rsid w:val="000C3046"/>
    <w:rsid w:val="000C314F"/>
    <w:rsid w:val="000C3C52"/>
    <w:rsid w:val="000C561B"/>
    <w:rsid w:val="000C57D4"/>
    <w:rsid w:val="000C6320"/>
    <w:rsid w:val="000C66F2"/>
    <w:rsid w:val="000C6CEA"/>
    <w:rsid w:val="000C74C1"/>
    <w:rsid w:val="000C7705"/>
    <w:rsid w:val="000C7CDD"/>
    <w:rsid w:val="000D0499"/>
    <w:rsid w:val="000D080E"/>
    <w:rsid w:val="000D0C63"/>
    <w:rsid w:val="000D0F5E"/>
    <w:rsid w:val="000D17E2"/>
    <w:rsid w:val="000D19EA"/>
    <w:rsid w:val="000D1BC3"/>
    <w:rsid w:val="000D248C"/>
    <w:rsid w:val="000D33C2"/>
    <w:rsid w:val="000D3430"/>
    <w:rsid w:val="000D366D"/>
    <w:rsid w:val="000D5096"/>
    <w:rsid w:val="000D523A"/>
    <w:rsid w:val="000D5B17"/>
    <w:rsid w:val="000D6B98"/>
    <w:rsid w:val="000D6C20"/>
    <w:rsid w:val="000D7E1D"/>
    <w:rsid w:val="000E0B15"/>
    <w:rsid w:val="000E1A02"/>
    <w:rsid w:val="000E1A49"/>
    <w:rsid w:val="000E1A5C"/>
    <w:rsid w:val="000E28AC"/>
    <w:rsid w:val="000E28CF"/>
    <w:rsid w:val="000E2A57"/>
    <w:rsid w:val="000E2D88"/>
    <w:rsid w:val="000E2F6E"/>
    <w:rsid w:val="000E34DC"/>
    <w:rsid w:val="000E357E"/>
    <w:rsid w:val="000E39B7"/>
    <w:rsid w:val="000E4BC5"/>
    <w:rsid w:val="000E66B1"/>
    <w:rsid w:val="000E6AAD"/>
    <w:rsid w:val="000E6D08"/>
    <w:rsid w:val="000E6D66"/>
    <w:rsid w:val="000E74CD"/>
    <w:rsid w:val="000F0015"/>
    <w:rsid w:val="000F04B7"/>
    <w:rsid w:val="000F188A"/>
    <w:rsid w:val="000F1E09"/>
    <w:rsid w:val="000F2843"/>
    <w:rsid w:val="000F2D1F"/>
    <w:rsid w:val="000F2E0D"/>
    <w:rsid w:val="000F3629"/>
    <w:rsid w:val="000F36AD"/>
    <w:rsid w:val="000F4539"/>
    <w:rsid w:val="000F4EEE"/>
    <w:rsid w:val="000F609B"/>
    <w:rsid w:val="000F6743"/>
    <w:rsid w:val="000F6B58"/>
    <w:rsid w:val="000F700F"/>
    <w:rsid w:val="000F7323"/>
    <w:rsid w:val="000F75A9"/>
    <w:rsid w:val="00102BD4"/>
    <w:rsid w:val="00102EDB"/>
    <w:rsid w:val="001031D6"/>
    <w:rsid w:val="00103DAA"/>
    <w:rsid w:val="001048C9"/>
    <w:rsid w:val="00104AEA"/>
    <w:rsid w:val="00104D01"/>
    <w:rsid w:val="001055F6"/>
    <w:rsid w:val="00106022"/>
    <w:rsid w:val="00106109"/>
    <w:rsid w:val="001079F6"/>
    <w:rsid w:val="001102F7"/>
    <w:rsid w:val="0011086B"/>
    <w:rsid w:val="00110AED"/>
    <w:rsid w:val="001117B3"/>
    <w:rsid w:val="0011183D"/>
    <w:rsid w:val="0011248F"/>
    <w:rsid w:val="00112DE9"/>
    <w:rsid w:val="00113130"/>
    <w:rsid w:val="001137B4"/>
    <w:rsid w:val="00113983"/>
    <w:rsid w:val="00115035"/>
    <w:rsid w:val="00116B0F"/>
    <w:rsid w:val="0011703C"/>
    <w:rsid w:val="001179AD"/>
    <w:rsid w:val="001203B0"/>
    <w:rsid w:val="00120650"/>
    <w:rsid w:val="00120AEA"/>
    <w:rsid w:val="001212EC"/>
    <w:rsid w:val="00121D53"/>
    <w:rsid w:val="00121E88"/>
    <w:rsid w:val="0012258C"/>
    <w:rsid w:val="00123128"/>
    <w:rsid w:val="00123CAC"/>
    <w:rsid w:val="001242FA"/>
    <w:rsid w:val="001247E6"/>
    <w:rsid w:val="0012526C"/>
    <w:rsid w:val="001259DB"/>
    <w:rsid w:val="00125F0B"/>
    <w:rsid w:val="00125FB1"/>
    <w:rsid w:val="0012636E"/>
    <w:rsid w:val="001264CD"/>
    <w:rsid w:val="001265D9"/>
    <w:rsid w:val="00131634"/>
    <w:rsid w:val="00132B18"/>
    <w:rsid w:val="00133245"/>
    <w:rsid w:val="00133341"/>
    <w:rsid w:val="00133936"/>
    <w:rsid w:val="00135196"/>
    <w:rsid w:val="00135DBE"/>
    <w:rsid w:val="00136197"/>
    <w:rsid w:val="0013622C"/>
    <w:rsid w:val="00136895"/>
    <w:rsid w:val="00136BEF"/>
    <w:rsid w:val="00137021"/>
    <w:rsid w:val="001379AA"/>
    <w:rsid w:val="00140075"/>
    <w:rsid w:val="0014065E"/>
    <w:rsid w:val="00140B87"/>
    <w:rsid w:val="00140FDB"/>
    <w:rsid w:val="00141F87"/>
    <w:rsid w:val="001423DF"/>
    <w:rsid w:val="00142577"/>
    <w:rsid w:val="0014283A"/>
    <w:rsid w:val="001428A8"/>
    <w:rsid w:val="00142CDD"/>
    <w:rsid w:val="0014464F"/>
    <w:rsid w:val="001448D6"/>
    <w:rsid w:val="00144C40"/>
    <w:rsid w:val="00145477"/>
    <w:rsid w:val="0014569E"/>
    <w:rsid w:val="001505EF"/>
    <w:rsid w:val="00151772"/>
    <w:rsid w:val="001529CD"/>
    <w:rsid w:val="00152DAC"/>
    <w:rsid w:val="00153138"/>
    <w:rsid w:val="0015332D"/>
    <w:rsid w:val="00153840"/>
    <w:rsid w:val="00153BC3"/>
    <w:rsid w:val="001549B3"/>
    <w:rsid w:val="00154B28"/>
    <w:rsid w:val="00155116"/>
    <w:rsid w:val="00156789"/>
    <w:rsid w:val="001571E1"/>
    <w:rsid w:val="0015760D"/>
    <w:rsid w:val="0016189A"/>
    <w:rsid w:val="001618EA"/>
    <w:rsid w:val="00161B25"/>
    <w:rsid w:val="00163125"/>
    <w:rsid w:val="00163EBA"/>
    <w:rsid w:val="00165C8B"/>
    <w:rsid w:val="001666C1"/>
    <w:rsid w:val="00166B22"/>
    <w:rsid w:val="00166C00"/>
    <w:rsid w:val="001670D0"/>
    <w:rsid w:val="0016794D"/>
    <w:rsid w:val="0017062A"/>
    <w:rsid w:val="00170652"/>
    <w:rsid w:val="00170B2B"/>
    <w:rsid w:val="0017193A"/>
    <w:rsid w:val="001723C0"/>
    <w:rsid w:val="00172A03"/>
    <w:rsid w:val="001746CA"/>
    <w:rsid w:val="00174957"/>
    <w:rsid w:val="0017576D"/>
    <w:rsid w:val="00175E00"/>
    <w:rsid w:val="00175F6E"/>
    <w:rsid w:val="001768D8"/>
    <w:rsid w:val="00176C34"/>
    <w:rsid w:val="00177806"/>
    <w:rsid w:val="001778D6"/>
    <w:rsid w:val="001779D5"/>
    <w:rsid w:val="00181004"/>
    <w:rsid w:val="001813C6"/>
    <w:rsid w:val="0018150C"/>
    <w:rsid w:val="00181B07"/>
    <w:rsid w:val="00182109"/>
    <w:rsid w:val="001825AD"/>
    <w:rsid w:val="0018269B"/>
    <w:rsid w:val="0018276C"/>
    <w:rsid w:val="00182A06"/>
    <w:rsid w:val="00182F9A"/>
    <w:rsid w:val="001833D4"/>
    <w:rsid w:val="00183686"/>
    <w:rsid w:val="00183B4C"/>
    <w:rsid w:val="00184252"/>
    <w:rsid w:val="00184860"/>
    <w:rsid w:val="00184A33"/>
    <w:rsid w:val="00187A9C"/>
    <w:rsid w:val="001903A9"/>
    <w:rsid w:val="001907E1"/>
    <w:rsid w:val="00191102"/>
    <w:rsid w:val="001917CF"/>
    <w:rsid w:val="0019265D"/>
    <w:rsid w:val="0019299B"/>
    <w:rsid w:val="00193578"/>
    <w:rsid w:val="00193B61"/>
    <w:rsid w:val="001941E5"/>
    <w:rsid w:val="0019426A"/>
    <w:rsid w:val="001950D9"/>
    <w:rsid w:val="00195E02"/>
    <w:rsid w:val="001967D7"/>
    <w:rsid w:val="001968D3"/>
    <w:rsid w:val="00196C8D"/>
    <w:rsid w:val="001973EC"/>
    <w:rsid w:val="00197E2C"/>
    <w:rsid w:val="001A0F93"/>
    <w:rsid w:val="001A1122"/>
    <w:rsid w:val="001A29E1"/>
    <w:rsid w:val="001A2A34"/>
    <w:rsid w:val="001A2BF8"/>
    <w:rsid w:val="001A2F68"/>
    <w:rsid w:val="001A5A69"/>
    <w:rsid w:val="001A5CED"/>
    <w:rsid w:val="001A643E"/>
    <w:rsid w:val="001A7297"/>
    <w:rsid w:val="001B0C71"/>
    <w:rsid w:val="001B123B"/>
    <w:rsid w:val="001B1448"/>
    <w:rsid w:val="001B2704"/>
    <w:rsid w:val="001B28D4"/>
    <w:rsid w:val="001B2E79"/>
    <w:rsid w:val="001B3332"/>
    <w:rsid w:val="001B3377"/>
    <w:rsid w:val="001B3701"/>
    <w:rsid w:val="001B402A"/>
    <w:rsid w:val="001B4E00"/>
    <w:rsid w:val="001B583A"/>
    <w:rsid w:val="001B604B"/>
    <w:rsid w:val="001B633C"/>
    <w:rsid w:val="001B6356"/>
    <w:rsid w:val="001B6F74"/>
    <w:rsid w:val="001C0A25"/>
    <w:rsid w:val="001C0C1D"/>
    <w:rsid w:val="001C19CA"/>
    <w:rsid w:val="001C1ABB"/>
    <w:rsid w:val="001C2060"/>
    <w:rsid w:val="001C2689"/>
    <w:rsid w:val="001C2EF0"/>
    <w:rsid w:val="001C3402"/>
    <w:rsid w:val="001C684C"/>
    <w:rsid w:val="001C6EBF"/>
    <w:rsid w:val="001C7181"/>
    <w:rsid w:val="001C73DA"/>
    <w:rsid w:val="001C7D32"/>
    <w:rsid w:val="001D09BF"/>
    <w:rsid w:val="001D23CA"/>
    <w:rsid w:val="001D4E1D"/>
    <w:rsid w:val="001D577D"/>
    <w:rsid w:val="001D60FB"/>
    <w:rsid w:val="001D7258"/>
    <w:rsid w:val="001E04E2"/>
    <w:rsid w:val="001E06B2"/>
    <w:rsid w:val="001E0816"/>
    <w:rsid w:val="001E1507"/>
    <w:rsid w:val="001E180D"/>
    <w:rsid w:val="001E1D1C"/>
    <w:rsid w:val="001E3202"/>
    <w:rsid w:val="001E33D9"/>
    <w:rsid w:val="001E3912"/>
    <w:rsid w:val="001E67A9"/>
    <w:rsid w:val="001E6C41"/>
    <w:rsid w:val="001E6EA7"/>
    <w:rsid w:val="001E72FD"/>
    <w:rsid w:val="001F0D3B"/>
    <w:rsid w:val="001F225F"/>
    <w:rsid w:val="001F36F7"/>
    <w:rsid w:val="001F47A3"/>
    <w:rsid w:val="001F4E68"/>
    <w:rsid w:val="001F4F56"/>
    <w:rsid w:val="001F5121"/>
    <w:rsid w:val="001F5D18"/>
    <w:rsid w:val="001F62DE"/>
    <w:rsid w:val="001F7141"/>
    <w:rsid w:val="001F79A4"/>
    <w:rsid w:val="00200683"/>
    <w:rsid w:val="002009AC"/>
    <w:rsid w:val="00200CCA"/>
    <w:rsid w:val="0020110F"/>
    <w:rsid w:val="0020115E"/>
    <w:rsid w:val="00202006"/>
    <w:rsid w:val="00202B5A"/>
    <w:rsid w:val="00203093"/>
    <w:rsid w:val="00203792"/>
    <w:rsid w:val="00204F59"/>
    <w:rsid w:val="002051A5"/>
    <w:rsid w:val="00205D83"/>
    <w:rsid w:val="0020629B"/>
    <w:rsid w:val="00206DDE"/>
    <w:rsid w:val="002072CF"/>
    <w:rsid w:val="00210133"/>
    <w:rsid w:val="00210A49"/>
    <w:rsid w:val="00211988"/>
    <w:rsid w:val="0021429C"/>
    <w:rsid w:val="0021541F"/>
    <w:rsid w:val="002155EC"/>
    <w:rsid w:val="0021572A"/>
    <w:rsid w:val="00215F1A"/>
    <w:rsid w:val="002163C5"/>
    <w:rsid w:val="0021686E"/>
    <w:rsid w:val="00216B8B"/>
    <w:rsid w:val="0021780C"/>
    <w:rsid w:val="00217965"/>
    <w:rsid w:val="00217A7C"/>
    <w:rsid w:val="00220068"/>
    <w:rsid w:val="0022048E"/>
    <w:rsid w:val="00221207"/>
    <w:rsid w:val="00221655"/>
    <w:rsid w:val="0022170C"/>
    <w:rsid w:val="0022177A"/>
    <w:rsid w:val="00222B15"/>
    <w:rsid w:val="002234C0"/>
    <w:rsid w:val="002237BB"/>
    <w:rsid w:val="0022381F"/>
    <w:rsid w:val="00223D47"/>
    <w:rsid w:val="002247CB"/>
    <w:rsid w:val="00225A1E"/>
    <w:rsid w:val="00225ECA"/>
    <w:rsid w:val="0022616D"/>
    <w:rsid w:val="002269AB"/>
    <w:rsid w:val="00226E68"/>
    <w:rsid w:val="00227CB6"/>
    <w:rsid w:val="00227D8C"/>
    <w:rsid w:val="002300AE"/>
    <w:rsid w:val="00231A05"/>
    <w:rsid w:val="00231C3A"/>
    <w:rsid w:val="00232AE9"/>
    <w:rsid w:val="00234061"/>
    <w:rsid w:val="00236259"/>
    <w:rsid w:val="00237CD3"/>
    <w:rsid w:val="002404D8"/>
    <w:rsid w:val="00240761"/>
    <w:rsid w:val="002408F4"/>
    <w:rsid w:val="0024153C"/>
    <w:rsid w:val="002423A3"/>
    <w:rsid w:val="00242875"/>
    <w:rsid w:val="00242F87"/>
    <w:rsid w:val="00243C6C"/>
    <w:rsid w:val="00243D97"/>
    <w:rsid w:val="00244000"/>
    <w:rsid w:val="0024434C"/>
    <w:rsid w:val="00244485"/>
    <w:rsid w:val="00245691"/>
    <w:rsid w:val="00245908"/>
    <w:rsid w:val="002462D9"/>
    <w:rsid w:val="00246350"/>
    <w:rsid w:val="002463A3"/>
    <w:rsid w:val="002466B1"/>
    <w:rsid w:val="00246D08"/>
    <w:rsid w:val="00250508"/>
    <w:rsid w:val="00250C2B"/>
    <w:rsid w:val="002512F3"/>
    <w:rsid w:val="002516E1"/>
    <w:rsid w:val="002528BF"/>
    <w:rsid w:val="0025295D"/>
    <w:rsid w:val="00252B02"/>
    <w:rsid w:val="00252B6D"/>
    <w:rsid w:val="00252E75"/>
    <w:rsid w:val="00253473"/>
    <w:rsid w:val="00253B10"/>
    <w:rsid w:val="00253E84"/>
    <w:rsid w:val="0025403B"/>
    <w:rsid w:val="002544A0"/>
    <w:rsid w:val="002544DB"/>
    <w:rsid w:val="002548C3"/>
    <w:rsid w:val="00255932"/>
    <w:rsid w:val="00255C0A"/>
    <w:rsid w:val="00255C2C"/>
    <w:rsid w:val="00256D63"/>
    <w:rsid w:val="00257690"/>
    <w:rsid w:val="002576A1"/>
    <w:rsid w:val="00257885"/>
    <w:rsid w:val="00257DAB"/>
    <w:rsid w:val="002628DB"/>
    <w:rsid w:val="00263D3D"/>
    <w:rsid w:val="002647CB"/>
    <w:rsid w:val="00264A2D"/>
    <w:rsid w:val="00264EE1"/>
    <w:rsid w:val="00264F09"/>
    <w:rsid w:val="00265C7C"/>
    <w:rsid w:val="0026648A"/>
    <w:rsid w:val="00266A1E"/>
    <w:rsid w:val="00266BE2"/>
    <w:rsid w:val="002679CF"/>
    <w:rsid w:val="00267E38"/>
    <w:rsid w:val="002704A2"/>
    <w:rsid w:val="00270DD8"/>
    <w:rsid w:val="00271024"/>
    <w:rsid w:val="00271180"/>
    <w:rsid w:val="00271494"/>
    <w:rsid w:val="0027247C"/>
    <w:rsid w:val="00272A7D"/>
    <w:rsid w:val="00272CC5"/>
    <w:rsid w:val="002734B0"/>
    <w:rsid w:val="00274442"/>
    <w:rsid w:val="00274746"/>
    <w:rsid w:val="002747D9"/>
    <w:rsid w:val="00274A1B"/>
    <w:rsid w:val="00274CD7"/>
    <w:rsid w:val="00274E60"/>
    <w:rsid w:val="002756FC"/>
    <w:rsid w:val="00275BD0"/>
    <w:rsid w:val="00276B36"/>
    <w:rsid w:val="00276D0B"/>
    <w:rsid w:val="00276DE8"/>
    <w:rsid w:val="002774E5"/>
    <w:rsid w:val="002777D6"/>
    <w:rsid w:val="00277ED0"/>
    <w:rsid w:val="002800D5"/>
    <w:rsid w:val="00280E55"/>
    <w:rsid w:val="002818A8"/>
    <w:rsid w:val="00283261"/>
    <w:rsid w:val="00283952"/>
    <w:rsid w:val="00284260"/>
    <w:rsid w:val="00284CAE"/>
    <w:rsid w:val="00284FD7"/>
    <w:rsid w:val="00285FCF"/>
    <w:rsid w:val="00286BB7"/>
    <w:rsid w:val="00287B62"/>
    <w:rsid w:val="002911E4"/>
    <w:rsid w:val="0029133A"/>
    <w:rsid w:val="0029273C"/>
    <w:rsid w:val="002927ED"/>
    <w:rsid w:val="00292C0B"/>
    <w:rsid w:val="002933B9"/>
    <w:rsid w:val="002937BE"/>
    <w:rsid w:val="00293E0B"/>
    <w:rsid w:val="00295B21"/>
    <w:rsid w:val="00295C61"/>
    <w:rsid w:val="00295CA2"/>
    <w:rsid w:val="00295EE2"/>
    <w:rsid w:val="00296425"/>
    <w:rsid w:val="00296467"/>
    <w:rsid w:val="002965FD"/>
    <w:rsid w:val="002969F3"/>
    <w:rsid w:val="00297BB9"/>
    <w:rsid w:val="00297C9B"/>
    <w:rsid w:val="002A0D4F"/>
    <w:rsid w:val="002A0EE4"/>
    <w:rsid w:val="002A0F09"/>
    <w:rsid w:val="002A1397"/>
    <w:rsid w:val="002A2820"/>
    <w:rsid w:val="002A374C"/>
    <w:rsid w:val="002A508F"/>
    <w:rsid w:val="002A5448"/>
    <w:rsid w:val="002A55B7"/>
    <w:rsid w:val="002A57C2"/>
    <w:rsid w:val="002A7CE0"/>
    <w:rsid w:val="002B1BEF"/>
    <w:rsid w:val="002B3160"/>
    <w:rsid w:val="002B3178"/>
    <w:rsid w:val="002B34E3"/>
    <w:rsid w:val="002B370B"/>
    <w:rsid w:val="002B3B09"/>
    <w:rsid w:val="002B48CE"/>
    <w:rsid w:val="002B5F16"/>
    <w:rsid w:val="002B6507"/>
    <w:rsid w:val="002B6554"/>
    <w:rsid w:val="002B7604"/>
    <w:rsid w:val="002C010B"/>
    <w:rsid w:val="002C0559"/>
    <w:rsid w:val="002C0653"/>
    <w:rsid w:val="002C158C"/>
    <w:rsid w:val="002C1E2D"/>
    <w:rsid w:val="002C257E"/>
    <w:rsid w:val="002C320A"/>
    <w:rsid w:val="002C321F"/>
    <w:rsid w:val="002C351F"/>
    <w:rsid w:val="002C3A37"/>
    <w:rsid w:val="002C428B"/>
    <w:rsid w:val="002C50A1"/>
    <w:rsid w:val="002C597A"/>
    <w:rsid w:val="002C6C60"/>
    <w:rsid w:val="002C6FD0"/>
    <w:rsid w:val="002C7FEC"/>
    <w:rsid w:val="002D132B"/>
    <w:rsid w:val="002D1535"/>
    <w:rsid w:val="002D1AEF"/>
    <w:rsid w:val="002D1C89"/>
    <w:rsid w:val="002D1D0D"/>
    <w:rsid w:val="002D2539"/>
    <w:rsid w:val="002D29CD"/>
    <w:rsid w:val="002D29F3"/>
    <w:rsid w:val="002D38BD"/>
    <w:rsid w:val="002D42ED"/>
    <w:rsid w:val="002D451F"/>
    <w:rsid w:val="002D46CE"/>
    <w:rsid w:val="002D5399"/>
    <w:rsid w:val="002D5EE7"/>
    <w:rsid w:val="002D6A3A"/>
    <w:rsid w:val="002E0104"/>
    <w:rsid w:val="002E09E4"/>
    <w:rsid w:val="002E1164"/>
    <w:rsid w:val="002E14B7"/>
    <w:rsid w:val="002E1D92"/>
    <w:rsid w:val="002E2614"/>
    <w:rsid w:val="002E2931"/>
    <w:rsid w:val="002E2B48"/>
    <w:rsid w:val="002E3212"/>
    <w:rsid w:val="002E3537"/>
    <w:rsid w:val="002E3586"/>
    <w:rsid w:val="002E37DD"/>
    <w:rsid w:val="002E3821"/>
    <w:rsid w:val="002E3E3B"/>
    <w:rsid w:val="002E4AB4"/>
    <w:rsid w:val="002E64CC"/>
    <w:rsid w:val="002E66E7"/>
    <w:rsid w:val="002E7672"/>
    <w:rsid w:val="002E7C48"/>
    <w:rsid w:val="002E7FA8"/>
    <w:rsid w:val="002F12EB"/>
    <w:rsid w:val="002F143E"/>
    <w:rsid w:val="002F16DE"/>
    <w:rsid w:val="002F2522"/>
    <w:rsid w:val="002F38C8"/>
    <w:rsid w:val="002F4154"/>
    <w:rsid w:val="002F476A"/>
    <w:rsid w:val="002F4BC3"/>
    <w:rsid w:val="002F4C28"/>
    <w:rsid w:val="002F5CC4"/>
    <w:rsid w:val="002F63D3"/>
    <w:rsid w:val="002F6B44"/>
    <w:rsid w:val="002F70A9"/>
    <w:rsid w:val="002F7E5E"/>
    <w:rsid w:val="002F7FFE"/>
    <w:rsid w:val="003002D1"/>
    <w:rsid w:val="00300395"/>
    <w:rsid w:val="00300635"/>
    <w:rsid w:val="003007F9"/>
    <w:rsid w:val="003019DC"/>
    <w:rsid w:val="00302CE8"/>
    <w:rsid w:val="00303044"/>
    <w:rsid w:val="003030CB"/>
    <w:rsid w:val="003038FA"/>
    <w:rsid w:val="0030395F"/>
    <w:rsid w:val="003041C4"/>
    <w:rsid w:val="003044C3"/>
    <w:rsid w:val="003047E8"/>
    <w:rsid w:val="003055FF"/>
    <w:rsid w:val="003056A2"/>
    <w:rsid w:val="0030592D"/>
    <w:rsid w:val="00305A41"/>
    <w:rsid w:val="00306230"/>
    <w:rsid w:val="00306DB9"/>
    <w:rsid w:val="0030705C"/>
    <w:rsid w:val="00310243"/>
    <w:rsid w:val="003111EA"/>
    <w:rsid w:val="003113F0"/>
    <w:rsid w:val="00311DE2"/>
    <w:rsid w:val="00312993"/>
    <w:rsid w:val="00312A13"/>
    <w:rsid w:val="0031302A"/>
    <w:rsid w:val="003131AB"/>
    <w:rsid w:val="00314379"/>
    <w:rsid w:val="00314900"/>
    <w:rsid w:val="00314939"/>
    <w:rsid w:val="00314BDF"/>
    <w:rsid w:val="00316138"/>
    <w:rsid w:val="0031620F"/>
    <w:rsid w:val="00316C7A"/>
    <w:rsid w:val="003177BD"/>
    <w:rsid w:val="00317892"/>
    <w:rsid w:val="003200B8"/>
    <w:rsid w:val="003216AC"/>
    <w:rsid w:val="00321892"/>
    <w:rsid w:val="00321C5B"/>
    <w:rsid w:val="003226BE"/>
    <w:rsid w:val="00322A0D"/>
    <w:rsid w:val="00322F53"/>
    <w:rsid w:val="0032332B"/>
    <w:rsid w:val="00323898"/>
    <w:rsid w:val="00323D03"/>
    <w:rsid w:val="00324304"/>
    <w:rsid w:val="003243F2"/>
    <w:rsid w:val="00324BCC"/>
    <w:rsid w:val="00324F71"/>
    <w:rsid w:val="00325008"/>
    <w:rsid w:val="00326442"/>
    <w:rsid w:val="00326F5C"/>
    <w:rsid w:val="003272AC"/>
    <w:rsid w:val="0032744F"/>
    <w:rsid w:val="00327744"/>
    <w:rsid w:val="00327B6C"/>
    <w:rsid w:val="00330270"/>
    <w:rsid w:val="00330FAB"/>
    <w:rsid w:val="0033150A"/>
    <w:rsid w:val="00331881"/>
    <w:rsid w:val="0033318B"/>
    <w:rsid w:val="00334381"/>
    <w:rsid w:val="00334497"/>
    <w:rsid w:val="00334B55"/>
    <w:rsid w:val="00334F28"/>
    <w:rsid w:val="00335CDD"/>
    <w:rsid w:val="003373F8"/>
    <w:rsid w:val="003378F0"/>
    <w:rsid w:val="00337BBA"/>
    <w:rsid w:val="003407ED"/>
    <w:rsid w:val="00340C19"/>
    <w:rsid w:val="00340D74"/>
    <w:rsid w:val="0034175C"/>
    <w:rsid w:val="00341B2B"/>
    <w:rsid w:val="00341D68"/>
    <w:rsid w:val="00343D86"/>
    <w:rsid w:val="00343DCD"/>
    <w:rsid w:val="00344131"/>
    <w:rsid w:val="00344A95"/>
    <w:rsid w:val="00345F42"/>
    <w:rsid w:val="00345F87"/>
    <w:rsid w:val="00346866"/>
    <w:rsid w:val="00346CAA"/>
    <w:rsid w:val="00346D13"/>
    <w:rsid w:val="0035096D"/>
    <w:rsid w:val="003512C8"/>
    <w:rsid w:val="00351B6D"/>
    <w:rsid w:val="00351E20"/>
    <w:rsid w:val="003521B5"/>
    <w:rsid w:val="00353EFE"/>
    <w:rsid w:val="00354127"/>
    <w:rsid w:val="0035497F"/>
    <w:rsid w:val="00355B14"/>
    <w:rsid w:val="003562DA"/>
    <w:rsid w:val="00356360"/>
    <w:rsid w:val="00360644"/>
    <w:rsid w:val="003613C6"/>
    <w:rsid w:val="0036156C"/>
    <w:rsid w:val="00362050"/>
    <w:rsid w:val="003625DA"/>
    <w:rsid w:val="00362CD0"/>
    <w:rsid w:val="0036352F"/>
    <w:rsid w:val="00363624"/>
    <w:rsid w:val="00363B1B"/>
    <w:rsid w:val="0036431A"/>
    <w:rsid w:val="003648B8"/>
    <w:rsid w:val="00364CEF"/>
    <w:rsid w:val="00364D31"/>
    <w:rsid w:val="00364E31"/>
    <w:rsid w:val="00365391"/>
    <w:rsid w:val="00365D23"/>
    <w:rsid w:val="003704A1"/>
    <w:rsid w:val="00371504"/>
    <w:rsid w:val="003716CB"/>
    <w:rsid w:val="00371AE7"/>
    <w:rsid w:val="003728AA"/>
    <w:rsid w:val="00372AF0"/>
    <w:rsid w:val="00372B6F"/>
    <w:rsid w:val="00372C66"/>
    <w:rsid w:val="00373067"/>
    <w:rsid w:val="00374D39"/>
    <w:rsid w:val="003750CE"/>
    <w:rsid w:val="003752B9"/>
    <w:rsid w:val="0037566C"/>
    <w:rsid w:val="00375F36"/>
    <w:rsid w:val="0037613E"/>
    <w:rsid w:val="003764B8"/>
    <w:rsid w:val="003764BD"/>
    <w:rsid w:val="003765F8"/>
    <w:rsid w:val="003774F9"/>
    <w:rsid w:val="00380A0C"/>
    <w:rsid w:val="00380E4C"/>
    <w:rsid w:val="00381C03"/>
    <w:rsid w:val="00381F4D"/>
    <w:rsid w:val="00383CC0"/>
    <w:rsid w:val="00384975"/>
    <w:rsid w:val="00384D65"/>
    <w:rsid w:val="0038539A"/>
    <w:rsid w:val="00385905"/>
    <w:rsid w:val="00385D33"/>
    <w:rsid w:val="003865B7"/>
    <w:rsid w:val="003867B8"/>
    <w:rsid w:val="00387C00"/>
    <w:rsid w:val="00387F49"/>
    <w:rsid w:val="00390582"/>
    <w:rsid w:val="003909AA"/>
    <w:rsid w:val="00390A16"/>
    <w:rsid w:val="00391148"/>
    <w:rsid w:val="0039134D"/>
    <w:rsid w:val="00392DD1"/>
    <w:rsid w:val="00392EAF"/>
    <w:rsid w:val="00392F27"/>
    <w:rsid w:val="0039386D"/>
    <w:rsid w:val="00393D78"/>
    <w:rsid w:val="003942C5"/>
    <w:rsid w:val="0039452F"/>
    <w:rsid w:val="00395708"/>
    <w:rsid w:val="00395F4D"/>
    <w:rsid w:val="00396946"/>
    <w:rsid w:val="00396AFF"/>
    <w:rsid w:val="00397B6E"/>
    <w:rsid w:val="003A0AB1"/>
    <w:rsid w:val="003A1262"/>
    <w:rsid w:val="003A1968"/>
    <w:rsid w:val="003A29D6"/>
    <w:rsid w:val="003A2F60"/>
    <w:rsid w:val="003A4077"/>
    <w:rsid w:val="003A4BFF"/>
    <w:rsid w:val="003A594C"/>
    <w:rsid w:val="003A5EC7"/>
    <w:rsid w:val="003A5FA2"/>
    <w:rsid w:val="003A7085"/>
    <w:rsid w:val="003B034B"/>
    <w:rsid w:val="003B056A"/>
    <w:rsid w:val="003B0609"/>
    <w:rsid w:val="003B0976"/>
    <w:rsid w:val="003B302B"/>
    <w:rsid w:val="003B3163"/>
    <w:rsid w:val="003B3C21"/>
    <w:rsid w:val="003B42F6"/>
    <w:rsid w:val="003B4F6C"/>
    <w:rsid w:val="003B666F"/>
    <w:rsid w:val="003B6717"/>
    <w:rsid w:val="003B6864"/>
    <w:rsid w:val="003B6D51"/>
    <w:rsid w:val="003B6FA8"/>
    <w:rsid w:val="003B7301"/>
    <w:rsid w:val="003B75BA"/>
    <w:rsid w:val="003B7F2F"/>
    <w:rsid w:val="003C00E3"/>
    <w:rsid w:val="003C16E1"/>
    <w:rsid w:val="003C224F"/>
    <w:rsid w:val="003C3295"/>
    <w:rsid w:val="003C360A"/>
    <w:rsid w:val="003C4603"/>
    <w:rsid w:val="003C5ACF"/>
    <w:rsid w:val="003C6189"/>
    <w:rsid w:val="003D09ED"/>
    <w:rsid w:val="003D0EF5"/>
    <w:rsid w:val="003D1286"/>
    <w:rsid w:val="003D1455"/>
    <w:rsid w:val="003D1654"/>
    <w:rsid w:val="003D1BDB"/>
    <w:rsid w:val="003D2AEF"/>
    <w:rsid w:val="003D32DE"/>
    <w:rsid w:val="003D3FF8"/>
    <w:rsid w:val="003D4514"/>
    <w:rsid w:val="003D5F0E"/>
    <w:rsid w:val="003D6D94"/>
    <w:rsid w:val="003D749F"/>
    <w:rsid w:val="003D7A5E"/>
    <w:rsid w:val="003E02A4"/>
    <w:rsid w:val="003E0B6F"/>
    <w:rsid w:val="003E16D2"/>
    <w:rsid w:val="003E25E9"/>
    <w:rsid w:val="003E40E3"/>
    <w:rsid w:val="003E41F1"/>
    <w:rsid w:val="003E4927"/>
    <w:rsid w:val="003E4BFC"/>
    <w:rsid w:val="003E4C8D"/>
    <w:rsid w:val="003E5176"/>
    <w:rsid w:val="003E56D2"/>
    <w:rsid w:val="003E66E0"/>
    <w:rsid w:val="003E6F45"/>
    <w:rsid w:val="003F04B9"/>
    <w:rsid w:val="003F0A76"/>
    <w:rsid w:val="003F119C"/>
    <w:rsid w:val="003F12C0"/>
    <w:rsid w:val="003F13D0"/>
    <w:rsid w:val="003F16AD"/>
    <w:rsid w:val="003F1B41"/>
    <w:rsid w:val="003F1D14"/>
    <w:rsid w:val="003F2066"/>
    <w:rsid w:val="003F272A"/>
    <w:rsid w:val="003F3AB3"/>
    <w:rsid w:val="003F41AD"/>
    <w:rsid w:val="003F5AA3"/>
    <w:rsid w:val="003F5DAD"/>
    <w:rsid w:val="003F6CEB"/>
    <w:rsid w:val="003F741A"/>
    <w:rsid w:val="003F7AF8"/>
    <w:rsid w:val="00400281"/>
    <w:rsid w:val="0040041A"/>
    <w:rsid w:val="0040054A"/>
    <w:rsid w:val="00400D72"/>
    <w:rsid w:val="00401AC0"/>
    <w:rsid w:val="00402B64"/>
    <w:rsid w:val="00402C92"/>
    <w:rsid w:val="0040309F"/>
    <w:rsid w:val="00403621"/>
    <w:rsid w:val="0040377E"/>
    <w:rsid w:val="004037BB"/>
    <w:rsid w:val="00403BBC"/>
    <w:rsid w:val="00404141"/>
    <w:rsid w:val="00405331"/>
    <w:rsid w:val="00405B8E"/>
    <w:rsid w:val="00406992"/>
    <w:rsid w:val="0040703A"/>
    <w:rsid w:val="004073B9"/>
    <w:rsid w:val="00407751"/>
    <w:rsid w:val="0041022D"/>
    <w:rsid w:val="004105B9"/>
    <w:rsid w:val="004106F8"/>
    <w:rsid w:val="00411CF0"/>
    <w:rsid w:val="004122DE"/>
    <w:rsid w:val="00412420"/>
    <w:rsid w:val="00412A73"/>
    <w:rsid w:val="00412D9C"/>
    <w:rsid w:val="00413DE2"/>
    <w:rsid w:val="0041596A"/>
    <w:rsid w:val="00415EA2"/>
    <w:rsid w:val="00415F84"/>
    <w:rsid w:val="00416264"/>
    <w:rsid w:val="00416484"/>
    <w:rsid w:val="00416DE0"/>
    <w:rsid w:val="00417A33"/>
    <w:rsid w:val="004202A2"/>
    <w:rsid w:val="00420437"/>
    <w:rsid w:val="00420454"/>
    <w:rsid w:val="00420722"/>
    <w:rsid w:val="004220AA"/>
    <w:rsid w:val="0042242C"/>
    <w:rsid w:val="004229A8"/>
    <w:rsid w:val="00422F44"/>
    <w:rsid w:val="00422FA6"/>
    <w:rsid w:val="004237F0"/>
    <w:rsid w:val="004240AB"/>
    <w:rsid w:val="0042464C"/>
    <w:rsid w:val="004246A0"/>
    <w:rsid w:val="0042500C"/>
    <w:rsid w:val="004253C7"/>
    <w:rsid w:val="004254F8"/>
    <w:rsid w:val="00425BCB"/>
    <w:rsid w:val="00425C3B"/>
    <w:rsid w:val="004262CA"/>
    <w:rsid w:val="004263A6"/>
    <w:rsid w:val="00427995"/>
    <w:rsid w:val="004279DB"/>
    <w:rsid w:val="00427ABC"/>
    <w:rsid w:val="004302FB"/>
    <w:rsid w:val="004303C0"/>
    <w:rsid w:val="004304ED"/>
    <w:rsid w:val="0043061A"/>
    <w:rsid w:val="00430B20"/>
    <w:rsid w:val="00430E31"/>
    <w:rsid w:val="004310E1"/>
    <w:rsid w:val="00431D2C"/>
    <w:rsid w:val="00433150"/>
    <w:rsid w:val="00433456"/>
    <w:rsid w:val="004335BD"/>
    <w:rsid w:val="0043363F"/>
    <w:rsid w:val="0043375F"/>
    <w:rsid w:val="00433DFE"/>
    <w:rsid w:val="004346FF"/>
    <w:rsid w:val="004363E0"/>
    <w:rsid w:val="00436518"/>
    <w:rsid w:val="00436FAF"/>
    <w:rsid w:val="004374DB"/>
    <w:rsid w:val="0043759A"/>
    <w:rsid w:val="004379A4"/>
    <w:rsid w:val="00437CF4"/>
    <w:rsid w:val="004405CF"/>
    <w:rsid w:val="004408C3"/>
    <w:rsid w:val="004412FB"/>
    <w:rsid w:val="004416E5"/>
    <w:rsid w:val="00442A88"/>
    <w:rsid w:val="00442EB1"/>
    <w:rsid w:val="00443E5F"/>
    <w:rsid w:val="00446061"/>
    <w:rsid w:val="004476F0"/>
    <w:rsid w:val="00447D44"/>
    <w:rsid w:val="00450CD6"/>
    <w:rsid w:val="004513D6"/>
    <w:rsid w:val="004515F1"/>
    <w:rsid w:val="004516EF"/>
    <w:rsid w:val="00451993"/>
    <w:rsid w:val="00451D19"/>
    <w:rsid w:val="0045340F"/>
    <w:rsid w:val="00453E38"/>
    <w:rsid w:val="00454E7C"/>
    <w:rsid w:val="004553C4"/>
    <w:rsid w:val="00455A1A"/>
    <w:rsid w:val="00455B4D"/>
    <w:rsid w:val="00456B70"/>
    <w:rsid w:val="00457EC8"/>
    <w:rsid w:val="00460B73"/>
    <w:rsid w:val="00460DCC"/>
    <w:rsid w:val="00460DF5"/>
    <w:rsid w:val="00461437"/>
    <w:rsid w:val="00461C5D"/>
    <w:rsid w:val="0046283F"/>
    <w:rsid w:val="0046315B"/>
    <w:rsid w:val="0046349B"/>
    <w:rsid w:val="00463734"/>
    <w:rsid w:val="004638A1"/>
    <w:rsid w:val="004638C0"/>
    <w:rsid w:val="0046396F"/>
    <w:rsid w:val="00464151"/>
    <w:rsid w:val="00464C19"/>
    <w:rsid w:val="0046535B"/>
    <w:rsid w:val="00465B8E"/>
    <w:rsid w:val="00465D53"/>
    <w:rsid w:val="00466280"/>
    <w:rsid w:val="00466D01"/>
    <w:rsid w:val="00466F2B"/>
    <w:rsid w:val="00467337"/>
    <w:rsid w:val="00467505"/>
    <w:rsid w:val="00470056"/>
    <w:rsid w:val="0047011E"/>
    <w:rsid w:val="0047092A"/>
    <w:rsid w:val="00470F61"/>
    <w:rsid w:val="00472449"/>
    <w:rsid w:val="00473115"/>
    <w:rsid w:val="00473AAC"/>
    <w:rsid w:val="00473D44"/>
    <w:rsid w:val="00474836"/>
    <w:rsid w:val="00475408"/>
    <w:rsid w:val="0047552C"/>
    <w:rsid w:val="00477614"/>
    <w:rsid w:val="004776D9"/>
    <w:rsid w:val="00477722"/>
    <w:rsid w:val="00480639"/>
    <w:rsid w:val="00480892"/>
    <w:rsid w:val="00480ED5"/>
    <w:rsid w:val="0048214D"/>
    <w:rsid w:val="004823CC"/>
    <w:rsid w:val="00483CDD"/>
    <w:rsid w:val="0048466B"/>
    <w:rsid w:val="00484B63"/>
    <w:rsid w:val="004864F3"/>
    <w:rsid w:val="004873D7"/>
    <w:rsid w:val="00490860"/>
    <w:rsid w:val="004908B9"/>
    <w:rsid w:val="00490A36"/>
    <w:rsid w:val="00491669"/>
    <w:rsid w:val="00491FEF"/>
    <w:rsid w:val="00492148"/>
    <w:rsid w:val="00492567"/>
    <w:rsid w:val="004927D2"/>
    <w:rsid w:val="00493F3F"/>
    <w:rsid w:val="00493F6F"/>
    <w:rsid w:val="00494043"/>
    <w:rsid w:val="004943E6"/>
    <w:rsid w:val="00494DEC"/>
    <w:rsid w:val="00494FCE"/>
    <w:rsid w:val="00495189"/>
    <w:rsid w:val="00496250"/>
    <w:rsid w:val="00496518"/>
    <w:rsid w:val="004968DA"/>
    <w:rsid w:val="00496A7C"/>
    <w:rsid w:val="00496BDE"/>
    <w:rsid w:val="00496F81"/>
    <w:rsid w:val="00497147"/>
    <w:rsid w:val="004A02F1"/>
    <w:rsid w:val="004A14F2"/>
    <w:rsid w:val="004A16D6"/>
    <w:rsid w:val="004A221C"/>
    <w:rsid w:val="004A3BE8"/>
    <w:rsid w:val="004A3E82"/>
    <w:rsid w:val="004A4356"/>
    <w:rsid w:val="004A4613"/>
    <w:rsid w:val="004A47F4"/>
    <w:rsid w:val="004A4D16"/>
    <w:rsid w:val="004A4E52"/>
    <w:rsid w:val="004A5EF0"/>
    <w:rsid w:val="004A6443"/>
    <w:rsid w:val="004A7857"/>
    <w:rsid w:val="004A7E3B"/>
    <w:rsid w:val="004B01CC"/>
    <w:rsid w:val="004B0976"/>
    <w:rsid w:val="004B0D38"/>
    <w:rsid w:val="004B1C67"/>
    <w:rsid w:val="004B2ECA"/>
    <w:rsid w:val="004B2FAA"/>
    <w:rsid w:val="004B3589"/>
    <w:rsid w:val="004B3EF6"/>
    <w:rsid w:val="004B3FFB"/>
    <w:rsid w:val="004B44F3"/>
    <w:rsid w:val="004B4B98"/>
    <w:rsid w:val="004B54EE"/>
    <w:rsid w:val="004B5DD3"/>
    <w:rsid w:val="004B6181"/>
    <w:rsid w:val="004B643C"/>
    <w:rsid w:val="004B686D"/>
    <w:rsid w:val="004B68FF"/>
    <w:rsid w:val="004B6E14"/>
    <w:rsid w:val="004B7192"/>
    <w:rsid w:val="004B7254"/>
    <w:rsid w:val="004B77E8"/>
    <w:rsid w:val="004C36B2"/>
    <w:rsid w:val="004C39A7"/>
    <w:rsid w:val="004C47B5"/>
    <w:rsid w:val="004C499B"/>
    <w:rsid w:val="004C5674"/>
    <w:rsid w:val="004C5E86"/>
    <w:rsid w:val="004C60EF"/>
    <w:rsid w:val="004C72BF"/>
    <w:rsid w:val="004C74B9"/>
    <w:rsid w:val="004C7DF1"/>
    <w:rsid w:val="004D02E1"/>
    <w:rsid w:val="004D0451"/>
    <w:rsid w:val="004D0F3C"/>
    <w:rsid w:val="004D1EC7"/>
    <w:rsid w:val="004D1EE2"/>
    <w:rsid w:val="004D360D"/>
    <w:rsid w:val="004D3B2A"/>
    <w:rsid w:val="004D4473"/>
    <w:rsid w:val="004D4719"/>
    <w:rsid w:val="004D4B26"/>
    <w:rsid w:val="004D519F"/>
    <w:rsid w:val="004D5615"/>
    <w:rsid w:val="004D75BF"/>
    <w:rsid w:val="004E0175"/>
    <w:rsid w:val="004E04E1"/>
    <w:rsid w:val="004E1357"/>
    <w:rsid w:val="004E1904"/>
    <w:rsid w:val="004E1E35"/>
    <w:rsid w:val="004E1FED"/>
    <w:rsid w:val="004E2FBD"/>
    <w:rsid w:val="004E30FE"/>
    <w:rsid w:val="004E366D"/>
    <w:rsid w:val="004E4252"/>
    <w:rsid w:val="004E4320"/>
    <w:rsid w:val="004E4A52"/>
    <w:rsid w:val="004E4F40"/>
    <w:rsid w:val="004E5266"/>
    <w:rsid w:val="004E5437"/>
    <w:rsid w:val="004E5639"/>
    <w:rsid w:val="004E5846"/>
    <w:rsid w:val="004E5D3B"/>
    <w:rsid w:val="004E67A2"/>
    <w:rsid w:val="004E735B"/>
    <w:rsid w:val="004E7B76"/>
    <w:rsid w:val="004F1676"/>
    <w:rsid w:val="004F2549"/>
    <w:rsid w:val="004F26DF"/>
    <w:rsid w:val="004F2A4E"/>
    <w:rsid w:val="004F39CD"/>
    <w:rsid w:val="004F41DC"/>
    <w:rsid w:val="004F4329"/>
    <w:rsid w:val="004F5420"/>
    <w:rsid w:val="004F5888"/>
    <w:rsid w:val="004F59E5"/>
    <w:rsid w:val="004F5D39"/>
    <w:rsid w:val="004F7636"/>
    <w:rsid w:val="004F7704"/>
    <w:rsid w:val="004F7EB8"/>
    <w:rsid w:val="00500138"/>
    <w:rsid w:val="00501448"/>
    <w:rsid w:val="00503005"/>
    <w:rsid w:val="0050345B"/>
    <w:rsid w:val="0050451B"/>
    <w:rsid w:val="00504A08"/>
    <w:rsid w:val="00505568"/>
    <w:rsid w:val="005056FF"/>
    <w:rsid w:val="00505E97"/>
    <w:rsid w:val="00506FBD"/>
    <w:rsid w:val="0050774D"/>
    <w:rsid w:val="00507B53"/>
    <w:rsid w:val="00507D76"/>
    <w:rsid w:val="00510476"/>
    <w:rsid w:val="005111D2"/>
    <w:rsid w:val="0051135D"/>
    <w:rsid w:val="005114F2"/>
    <w:rsid w:val="0051231B"/>
    <w:rsid w:val="00512C0D"/>
    <w:rsid w:val="005144D2"/>
    <w:rsid w:val="005159B7"/>
    <w:rsid w:val="00516465"/>
    <w:rsid w:val="005167C6"/>
    <w:rsid w:val="00516BB6"/>
    <w:rsid w:val="00520A48"/>
    <w:rsid w:val="00522209"/>
    <w:rsid w:val="005242A4"/>
    <w:rsid w:val="00524B49"/>
    <w:rsid w:val="00524D90"/>
    <w:rsid w:val="0052512A"/>
    <w:rsid w:val="00525621"/>
    <w:rsid w:val="005256CF"/>
    <w:rsid w:val="00525A2A"/>
    <w:rsid w:val="00525AC1"/>
    <w:rsid w:val="00526116"/>
    <w:rsid w:val="005263EE"/>
    <w:rsid w:val="00526401"/>
    <w:rsid w:val="00526BEA"/>
    <w:rsid w:val="00526C80"/>
    <w:rsid w:val="00527CA9"/>
    <w:rsid w:val="00527DD7"/>
    <w:rsid w:val="005311E7"/>
    <w:rsid w:val="005320C7"/>
    <w:rsid w:val="005321FC"/>
    <w:rsid w:val="00533E74"/>
    <w:rsid w:val="0053445B"/>
    <w:rsid w:val="00535712"/>
    <w:rsid w:val="00535E7D"/>
    <w:rsid w:val="00536335"/>
    <w:rsid w:val="0053647F"/>
    <w:rsid w:val="00536FFB"/>
    <w:rsid w:val="005401BF"/>
    <w:rsid w:val="005404E1"/>
    <w:rsid w:val="00540561"/>
    <w:rsid w:val="00540BFE"/>
    <w:rsid w:val="00540F61"/>
    <w:rsid w:val="00541D9C"/>
    <w:rsid w:val="00542697"/>
    <w:rsid w:val="00542DBB"/>
    <w:rsid w:val="00543B7F"/>
    <w:rsid w:val="005449F3"/>
    <w:rsid w:val="00546F36"/>
    <w:rsid w:val="005471EE"/>
    <w:rsid w:val="00550302"/>
    <w:rsid w:val="005506D0"/>
    <w:rsid w:val="00550F16"/>
    <w:rsid w:val="005512A0"/>
    <w:rsid w:val="00551708"/>
    <w:rsid w:val="00551872"/>
    <w:rsid w:val="0055219E"/>
    <w:rsid w:val="005529C7"/>
    <w:rsid w:val="005531C5"/>
    <w:rsid w:val="00553210"/>
    <w:rsid w:val="005541D2"/>
    <w:rsid w:val="00555106"/>
    <w:rsid w:val="00555435"/>
    <w:rsid w:val="00555922"/>
    <w:rsid w:val="00555B66"/>
    <w:rsid w:val="00555C3F"/>
    <w:rsid w:val="00556304"/>
    <w:rsid w:val="00556716"/>
    <w:rsid w:val="00556B01"/>
    <w:rsid w:val="00556D0B"/>
    <w:rsid w:val="00560834"/>
    <w:rsid w:val="00560C74"/>
    <w:rsid w:val="005616F2"/>
    <w:rsid w:val="00561E25"/>
    <w:rsid w:val="00561E54"/>
    <w:rsid w:val="005624DC"/>
    <w:rsid w:val="00563082"/>
    <w:rsid w:val="0056527C"/>
    <w:rsid w:val="00566478"/>
    <w:rsid w:val="005668F8"/>
    <w:rsid w:val="00566C23"/>
    <w:rsid w:val="00566D56"/>
    <w:rsid w:val="005678E0"/>
    <w:rsid w:val="00567CB2"/>
    <w:rsid w:val="00567F5F"/>
    <w:rsid w:val="00570B3C"/>
    <w:rsid w:val="00570CC5"/>
    <w:rsid w:val="00570F43"/>
    <w:rsid w:val="00571255"/>
    <w:rsid w:val="00571B0D"/>
    <w:rsid w:val="00571D93"/>
    <w:rsid w:val="00572871"/>
    <w:rsid w:val="00573A0C"/>
    <w:rsid w:val="0057412E"/>
    <w:rsid w:val="00574787"/>
    <w:rsid w:val="0057573D"/>
    <w:rsid w:val="00575A2E"/>
    <w:rsid w:val="005764C0"/>
    <w:rsid w:val="00576F2B"/>
    <w:rsid w:val="00576F8C"/>
    <w:rsid w:val="005801FB"/>
    <w:rsid w:val="00581132"/>
    <w:rsid w:val="00581770"/>
    <w:rsid w:val="00581E99"/>
    <w:rsid w:val="00582118"/>
    <w:rsid w:val="00582CBB"/>
    <w:rsid w:val="00582D8A"/>
    <w:rsid w:val="00582DDD"/>
    <w:rsid w:val="00583CC2"/>
    <w:rsid w:val="00584398"/>
    <w:rsid w:val="005847FD"/>
    <w:rsid w:val="00584EA8"/>
    <w:rsid w:val="00584FB4"/>
    <w:rsid w:val="00584FEE"/>
    <w:rsid w:val="00585D09"/>
    <w:rsid w:val="005863A6"/>
    <w:rsid w:val="00587C26"/>
    <w:rsid w:val="005906E7"/>
    <w:rsid w:val="00590E7C"/>
    <w:rsid w:val="0059199F"/>
    <w:rsid w:val="00591BAC"/>
    <w:rsid w:val="005926F0"/>
    <w:rsid w:val="00592719"/>
    <w:rsid w:val="00592AC4"/>
    <w:rsid w:val="00594D85"/>
    <w:rsid w:val="00594ED6"/>
    <w:rsid w:val="0059521B"/>
    <w:rsid w:val="00596013"/>
    <w:rsid w:val="005978DE"/>
    <w:rsid w:val="005A025D"/>
    <w:rsid w:val="005A0E1E"/>
    <w:rsid w:val="005A268C"/>
    <w:rsid w:val="005A2818"/>
    <w:rsid w:val="005A3441"/>
    <w:rsid w:val="005A45EB"/>
    <w:rsid w:val="005A5FA4"/>
    <w:rsid w:val="005A773F"/>
    <w:rsid w:val="005A7FE0"/>
    <w:rsid w:val="005B12C0"/>
    <w:rsid w:val="005B1B14"/>
    <w:rsid w:val="005B24ED"/>
    <w:rsid w:val="005B2BFB"/>
    <w:rsid w:val="005B39A6"/>
    <w:rsid w:val="005B4A7E"/>
    <w:rsid w:val="005B4E9E"/>
    <w:rsid w:val="005B5366"/>
    <w:rsid w:val="005B5BBC"/>
    <w:rsid w:val="005B5D81"/>
    <w:rsid w:val="005B6565"/>
    <w:rsid w:val="005C0012"/>
    <w:rsid w:val="005C0B47"/>
    <w:rsid w:val="005C192C"/>
    <w:rsid w:val="005C2A72"/>
    <w:rsid w:val="005C2F8A"/>
    <w:rsid w:val="005C438E"/>
    <w:rsid w:val="005C4FA1"/>
    <w:rsid w:val="005C5970"/>
    <w:rsid w:val="005C67E3"/>
    <w:rsid w:val="005C7C5B"/>
    <w:rsid w:val="005D006D"/>
    <w:rsid w:val="005D0427"/>
    <w:rsid w:val="005D043C"/>
    <w:rsid w:val="005D045D"/>
    <w:rsid w:val="005D11A5"/>
    <w:rsid w:val="005D1E0B"/>
    <w:rsid w:val="005D3256"/>
    <w:rsid w:val="005D3282"/>
    <w:rsid w:val="005D32B1"/>
    <w:rsid w:val="005D3560"/>
    <w:rsid w:val="005D4093"/>
    <w:rsid w:val="005D4B2A"/>
    <w:rsid w:val="005D6BD6"/>
    <w:rsid w:val="005D6DBC"/>
    <w:rsid w:val="005E0895"/>
    <w:rsid w:val="005E08C1"/>
    <w:rsid w:val="005E0A73"/>
    <w:rsid w:val="005E0E94"/>
    <w:rsid w:val="005E27C1"/>
    <w:rsid w:val="005E2A65"/>
    <w:rsid w:val="005E2ED5"/>
    <w:rsid w:val="005E346E"/>
    <w:rsid w:val="005E3E84"/>
    <w:rsid w:val="005E464B"/>
    <w:rsid w:val="005E587A"/>
    <w:rsid w:val="005E5FCF"/>
    <w:rsid w:val="005E605C"/>
    <w:rsid w:val="005E65AE"/>
    <w:rsid w:val="005E6C4C"/>
    <w:rsid w:val="005E7B9A"/>
    <w:rsid w:val="005E7CF6"/>
    <w:rsid w:val="005F21AD"/>
    <w:rsid w:val="005F23FC"/>
    <w:rsid w:val="005F3C9F"/>
    <w:rsid w:val="005F42EB"/>
    <w:rsid w:val="005F4DCA"/>
    <w:rsid w:val="005F4DDC"/>
    <w:rsid w:val="005F589A"/>
    <w:rsid w:val="005F7178"/>
    <w:rsid w:val="005F750C"/>
    <w:rsid w:val="0060000E"/>
    <w:rsid w:val="0060017D"/>
    <w:rsid w:val="006002C7"/>
    <w:rsid w:val="00601113"/>
    <w:rsid w:val="0060216D"/>
    <w:rsid w:val="0060235B"/>
    <w:rsid w:val="0060235F"/>
    <w:rsid w:val="006026B5"/>
    <w:rsid w:val="00602EA2"/>
    <w:rsid w:val="006038DE"/>
    <w:rsid w:val="006039D8"/>
    <w:rsid w:val="006048ED"/>
    <w:rsid w:val="0060543D"/>
    <w:rsid w:val="006059E6"/>
    <w:rsid w:val="00605C4A"/>
    <w:rsid w:val="00606CA4"/>
    <w:rsid w:val="00606CDD"/>
    <w:rsid w:val="00606E1F"/>
    <w:rsid w:val="00607237"/>
    <w:rsid w:val="00607638"/>
    <w:rsid w:val="00610234"/>
    <w:rsid w:val="00610A59"/>
    <w:rsid w:val="00611EE7"/>
    <w:rsid w:val="00612A6B"/>
    <w:rsid w:val="00613CBE"/>
    <w:rsid w:val="00614F7D"/>
    <w:rsid w:val="00615E8B"/>
    <w:rsid w:val="00616315"/>
    <w:rsid w:val="006166EE"/>
    <w:rsid w:val="0061686E"/>
    <w:rsid w:val="00616EF4"/>
    <w:rsid w:val="006170AD"/>
    <w:rsid w:val="00617147"/>
    <w:rsid w:val="0062020E"/>
    <w:rsid w:val="006224BA"/>
    <w:rsid w:val="00622526"/>
    <w:rsid w:val="00623F84"/>
    <w:rsid w:val="00624511"/>
    <w:rsid w:val="00624633"/>
    <w:rsid w:val="006256C2"/>
    <w:rsid w:val="00625BFC"/>
    <w:rsid w:val="00626082"/>
    <w:rsid w:val="006265EE"/>
    <w:rsid w:val="00630460"/>
    <w:rsid w:val="00631DF3"/>
    <w:rsid w:val="006320E1"/>
    <w:rsid w:val="006332A2"/>
    <w:rsid w:val="0063358B"/>
    <w:rsid w:val="00633CE7"/>
    <w:rsid w:val="00634A99"/>
    <w:rsid w:val="00635114"/>
    <w:rsid w:val="0063695B"/>
    <w:rsid w:val="00636D13"/>
    <w:rsid w:val="006372A6"/>
    <w:rsid w:val="00637F6B"/>
    <w:rsid w:val="00640BA3"/>
    <w:rsid w:val="00641B16"/>
    <w:rsid w:val="00641C18"/>
    <w:rsid w:val="0064270C"/>
    <w:rsid w:val="00642D39"/>
    <w:rsid w:val="00643555"/>
    <w:rsid w:val="00643877"/>
    <w:rsid w:val="006439F3"/>
    <w:rsid w:val="00644824"/>
    <w:rsid w:val="00644D8B"/>
    <w:rsid w:val="00645288"/>
    <w:rsid w:val="00645628"/>
    <w:rsid w:val="006459EE"/>
    <w:rsid w:val="006460B3"/>
    <w:rsid w:val="006464D6"/>
    <w:rsid w:val="00646663"/>
    <w:rsid w:val="006466E7"/>
    <w:rsid w:val="00646C00"/>
    <w:rsid w:val="00646E0D"/>
    <w:rsid w:val="00646F06"/>
    <w:rsid w:val="00652530"/>
    <w:rsid w:val="00653394"/>
    <w:rsid w:val="00653F15"/>
    <w:rsid w:val="00655E52"/>
    <w:rsid w:val="00655F18"/>
    <w:rsid w:val="00656C2B"/>
    <w:rsid w:val="006575F2"/>
    <w:rsid w:val="00660C61"/>
    <w:rsid w:val="006611FF"/>
    <w:rsid w:val="00661624"/>
    <w:rsid w:val="0066198F"/>
    <w:rsid w:val="00661B08"/>
    <w:rsid w:val="00662074"/>
    <w:rsid w:val="006624EE"/>
    <w:rsid w:val="00662D07"/>
    <w:rsid w:val="00663AC2"/>
    <w:rsid w:val="006663E1"/>
    <w:rsid w:val="00667031"/>
    <w:rsid w:val="0066708E"/>
    <w:rsid w:val="006713AC"/>
    <w:rsid w:val="00671E6E"/>
    <w:rsid w:val="006720E6"/>
    <w:rsid w:val="00672EE5"/>
    <w:rsid w:val="006736D4"/>
    <w:rsid w:val="0067385C"/>
    <w:rsid w:val="00674497"/>
    <w:rsid w:val="0067450F"/>
    <w:rsid w:val="0067565A"/>
    <w:rsid w:val="006758B3"/>
    <w:rsid w:val="00675C3B"/>
    <w:rsid w:val="00680319"/>
    <w:rsid w:val="00680703"/>
    <w:rsid w:val="00681309"/>
    <w:rsid w:val="00681BBA"/>
    <w:rsid w:val="006827FB"/>
    <w:rsid w:val="0068323D"/>
    <w:rsid w:val="00683319"/>
    <w:rsid w:val="00683541"/>
    <w:rsid w:val="00683F25"/>
    <w:rsid w:val="00683F98"/>
    <w:rsid w:val="006851E0"/>
    <w:rsid w:val="006855F0"/>
    <w:rsid w:val="006866E1"/>
    <w:rsid w:val="00686719"/>
    <w:rsid w:val="006874C2"/>
    <w:rsid w:val="0068758F"/>
    <w:rsid w:val="00690CB6"/>
    <w:rsid w:val="00690D58"/>
    <w:rsid w:val="006924F7"/>
    <w:rsid w:val="006927E0"/>
    <w:rsid w:val="0069318D"/>
    <w:rsid w:val="006934F8"/>
    <w:rsid w:val="00693803"/>
    <w:rsid w:val="00693EF3"/>
    <w:rsid w:val="00694B5D"/>
    <w:rsid w:val="00694D7D"/>
    <w:rsid w:val="00695EC6"/>
    <w:rsid w:val="00695FCD"/>
    <w:rsid w:val="00696FC5"/>
    <w:rsid w:val="006A01E9"/>
    <w:rsid w:val="006A0838"/>
    <w:rsid w:val="006A0D7F"/>
    <w:rsid w:val="006A1086"/>
    <w:rsid w:val="006A19A3"/>
    <w:rsid w:val="006A1B14"/>
    <w:rsid w:val="006A2179"/>
    <w:rsid w:val="006A234D"/>
    <w:rsid w:val="006A2B45"/>
    <w:rsid w:val="006A32CD"/>
    <w:rsid w:val="006A487E"/>
    <w:rsid w:val="006A4ADA"/>
    <w:rsid w:val="006A4DC1"/>
    <w:rsid w:val="006A4F67"/>
    <w:rsid w:val="006A6C87"/>
    <w:rsid w:val="006A785C"/>
    <w:rsid w:val="006A794F"/>
    <w:rsid w:val="006B000D"/>
    <w:rsid w:val="006B09A5"/>
    <w:rsid w:val="006B0E40"/>
    <w:rsid w:val="006B1BFB"/>
    <w:rsid w:val="006B1DA7"/>
    <w:rsid w:val="006B1FB8"/>
    <w:rsid w:val="006B31E5"/>
    <w:rsid w:val="006B32D5"/>
    <w:rsid w:val="006B3EFD"/>
    <w:rsid w:val="006B3F44"/>
    <w:rsid w:val="006B5675"/>
    <w:rsid w:val="006B5889"/>
    <w:rsid w:val="006B61D5"/>
    <w:rsid w:val="006B6CEE"/>
    <w:rsid w:val="006B7799"/>
    <w:rsid w:val="006C033F"/>
    <w:rsid w:val="006C0497"/>
    <w:rsid w:val="006C057B"/>
    <w:rsid w:val="006C10FC"/>
    <w:rsid w:val="006C1698"/>
    <w:rsid w:val="006C19FC"/>
    <w:rsid w:val="006C1BC4"/>
    <w:rsid w:val="006C2051"/>
    <w:rsid w:val="006C2D7E"/>
    <w:rsid w:val="006C2DB3"/>
    <w:rsid w:val="006C3145"/>
    <w:rsid w:val="006C31B4"/>
    <w:rsid w:val="006C35AF"/>
    <w:rsid w:val="006C4021"/>
    <w:rsid w:val="006C4C80"/>
    <w:rsid w:val="006C5718"/>
    <w:rsid w:val="006C5942"/>
    <w:rsid w:val="006C656D"/>
    <w:rsid w:val="006C7ACA"/>
    <w:rsid w:val="006D5F9E"/>
    <w:rsid w:val="006D6042"/>
    <w:rsid w:val="006D7ACE"/>
    <w:rsid w:val="006D7B6A"/>
    <w:rsid w:val="006E11E0"/>
    <w:rsid w:val="006E2935"/>
    <w:rsid w:val="006E2C1D"/>
    <w:rsid w:val="006E3E9D"/>
    <w:rsid w:val="006E45B9"/>
    <w:rsid w:val="006E48DD"/>
    <w:rsid w:val="006E4B51"/>
    <w:rsid w:val="006E4E64"/>
    <w:rsid w:val="006E505E"/>
    <w:rsid w:val="006E5440"/>
    <w:rsid w:val="006E585D"/>
    <w:rsid w:val="006E5B02"/>
    <w:rsid w:val="006E6600"/>
    <w:rsid w:val="006E67B4"/>
    <w:rsid w:val="006E6931"/>
    <w:rsid w:val="006E6F34"/>
    <w:rsid w:val="006E73D9"/>
    <w:rsid w:val="006E7556"/>
    <w:rsid w:val="006E7F28"/>
    <w:rsid w:val="006F03AD"/>
    <w:rsid w:val="006F0A6C"/>
    <w:rsid w:val="006F131C"/>
    <w:rsid w:val="006F1664"/>
    <w:rsid w:val="006F2003"/>
    <w:rsid w:val="006F20C0"/>
    <w:rsid w:val="006F2943"/>
    <w:rsid w:val="006F2F39"/>
    <w:rsid w:val="006F3B48"/>
    <w:rsid w:val="006F4198"/>
    <w:rsid w:val="006F5A78"/>
    <w:rsid w:val="006F6448"/>
    <w:rsid w:val="006F7356"/>
    <w:rsid w:val="006F7428"/>
    <w:rsid w:val="006F7760"/>
    <w:rsid w:val="006F7919"/>
    <w:rsid w:val="00701359"/>
    <w:rsid w:val="007015A1"/>
    <w:rsid w:val="00702602"/>
    <w:rsid w:val="0070330B"/>
    <w:rsid w:val="00703553"/>
    <w:rsid w:val="007049F8"/>
    <w:rsid w:val="00704E7E"/>
    <w:rsid w:val="007070F6"/>
    <w:rsid w:val="00707BBD"/>
    <w:rsid w:val="00710158"/>
    <w:rsid w:val="007107C6"/>
    <w:rsid w:val="00710A97"/>
    <w:rsid w:val="00710EA7"/>
    <w:rsid w:val="007118D3"/>
    <w:rsid w:val="0071195E"/>
    <w:rsid w:val="00711A54"/>
    <w:rsid w:val="00712859"/>
    <w:rsid w:val="00712ACB"/>
    <w:rsid w:val="00712AD9"/>
    <w:rsid w:val="00712B2F"/>
    <w:rsid w:val="00713812"/>
    <w:rsid w:val="007138E7"/>
    <w:rsid w:val="00713ABC"/>
    <w:rsid w:val="00714AAA"/>
    <w:rsid w:val="007157E6"/>
    <w:rsid w:val="00715E34"/>
    <w:rsid w:val="00715F4A"/>
    <w:rsid w:val="007166CB"/>
    <w:rsid w:val="007167D6"/>
    <w:rsid w:val="00716DD9"/>
    <w:rsid w:val="00716DEC"/>
    <w:rsid w:val="00716E23"/>
    <w:rsid w:val="00720485"/>
    <w:rsid w:val="00720D9C"/>
    <w:rsid w:val="007210F1"/>
    <w:rsid w:val="0072138E"/>
    <w:rsid w:val="0072177D"/>
    <w:rsid w:val="007218D6"/>
    <w:rsid w:val="00721E19"/>
    <w:rsid w:val="007225DB"/>
    <w:rsid w:val="00723D49"/>
    <w:rsid w:val="00723E3F"/>
    <w:rsid w:val="00724A11"/>
    <w:rsid w:val="00725584"/>
    <w:rsid w:val="0072561D"/>
    <w:rsid w:val="007263FF"/>
    <w:rsid w:val="00726462"/>
    <w:rsid w:val="00726463"/>
    <w:rsid w:val="00727C93"/>
    <w:rsid w:val="00730B3D"/>
    <w:rsid w:val="00730D04"/>
    <w:rsid w:val="00731D15"/>
    <w:rsid w:val="00732B1F"/>
    <w:rsid w:val="00735041"/>
    <w:rsid w:val="00735EFF"/>
    <w:rsid w:val="00735F11"/>
    <w:rsid w:val="007360B4"/>
    <w:rsid w:val="00736351"/>
    <w:rsid w:val="00736711"/>
    <w:rsid w:val="007374B7"/>
    <w:rsid w:val="007378F0"/>
    <w:rsid w:val="00740046"/>
    <w:rsid w:val="0074085D"/>
    <w:rsid w:val="0074308F"/>
    <w:rsid w:val="007430CD"/>
    <w:rsid w:val="007433C5"/>
    <w:rsid w:val="007435CD"/>
    <w:rsid w:val="007436DF"/>
    <w:rsid w:val="007437A3"/>
    <w:rsid w:val="00743C6E"/>
    <w:rsid w:val="00744408"/>
    <w:rsid w:val="00744511"/>
    <w:rsid w:val="007459FD"/>
    <w:rsid w:val="007463DC"/>
    <w:rsid w:val="00746474"/>
    <w:rsid w:val="00746A4C"/>
    <w:rsid w:val="00746ED5"/>
    <w:rsid w:val="00747240"/>
    <w:rsid w:val="00750D96"/>
    <w:rsid w:val="00752326"/>
    <w:rsid w:val="007545A4"/>
    <w:rsid w:val="00754ABA"/>
    <w:rsid w:val="00754BA8"/>
    <w:rsid w:val="00754F29"/>
    <w:rsid w:val="00755279"/>
    <w:rsid w:val="00755645"/>
    <w:rsid w:val="007567D0"/>
    <w:rsid w:val="00756B96"/>
    <w:rsid w:val="0076002F"/>
    <w:rsid w:val="00760738"/>
    <w:rsid w:val="00760781"/>
    <w:rsid w:val="00760856"/>
    <w:rsid w:val="007610D0"/>
    <w:rsid w:val="00761954"/>
    <w:rsid w:val="0076226E"/>
    <w:rsid w:val="00764430"/>
    <w:rsid w:val="00764B6A"/>
    <w:rsid w:val="00764D81"/>
    <w:rsid w:val="0076537F"/>
    <w:rsid w:val="00765554"/>
    <w:rsid w:val="007655B1"/>
    <w:rsid w:val="00766A74"/>
    <w:rsid w:val="00766A81"/>
    <w:rsid w:val="00766D17"/>
    <w:rsid w:val="007674A2"/>
    <w:rsid w:val="0076771B"/>
    <w:rsid w:val="00767B10"/>
    <w:rsid w:val="0077008F"/>
    <w:rsid w:val="0077048D"/>
    <w:rsid w:val="00771738"/>
    <w:rsid w:val="00773388"/>
    <w:rsid w:val="007733D4"/>
    <w:rsid w:val="00773DBE"/>
    <w:rsid w:val="00774351"/>
    <w:rsid w:val="00774F2A"/>
    <w:rsid w:val="007750EF"/>
    <w:rsid w:val="007755F6"/>
    <w:rsid w:val="00776AE5"/>
    <w:rsid w:val="00776F6B"/>
    <w:rsid w:val="0077784A"/>
    <w:rsid w:val="007778DE"/>
    <w:rsid w:val="00777A30"/>
    <w:rsid w:val="00780AF7"/>
    <w:rsid w:val="00781933"/>
    <w:rsid w:val="00781B8E"/>
    <w:rsid w:val="007825E8"/>
    <w:rsid w:val="00783632"/>
    <w:rsid w:val="0078378F"/>
    <w:rsid w:val="00783EDF"/>
    <w:rsid w:val="0078482F"/>
    <w:rsid w:val="00784E85"/>
    <w:rsid w:val="00784FE1"/>
    <w:rsid w:val="0078593A"/>
    <w:rsid w:val="007861B6"/>
    <w:rsid w:val="00786338"/>
    <w:rsid w:val="00786C64"/>
    <w:rsid w:val="00787406"/>
    <w:rsid w:val="00787B0B"/>
    <w:rsid w:val="00791253"/>
    <w:rsid w:val="007917A1"/>
    <w:rsid w:val="007920F3"/>
    <w:rsid w:val="00792EAF"/>
    <w:rsid w:val="00793547"/>
    <w:rsid w:val="00794C8A"/>
    <w:rsid w:val="00795ACF"/>
    <w:rsid w:val="0079604D"/>
    <w:rsid w:val="007977C5"/>
    <w:rsid w:val="00797B3E"/>
    <w:rsid w:val="007A00C8"/>
    <w:rsid w:val="007A07BD"/>
    <w:rsid w:val="007A0BB6"/>
    <w:rsid w:val="007A0DEE"/>
    <w:rsid w:val="007A22F7"/>
    <w:rsid w:val="007A2406"/>
    <w:rsid w:val="007A28F4"/>
    <w:rsid w:val="007A2C1E"/>
    <w:rsid w:val="007A2CC2"/>
    <w:rsid w:val="007A36E3"/>
    <w:rsid w:val="007A47FF"/>
    <w:rsid w:val="007A54CC"/>
    <w:rsid w:val="007A5E5E"/>
    <w:rsid w:val="007A6D20"/>
    <w:rsid w:val="007A6D94"/>
    <w:rsid w:val="007A710D"/>
    <w:rsid w:val="007A78E5"/>
    <w:rsid w:val="007A79F0"/>
    <w:rsid w:val="007B083E"/>
    <w:rsid w:val="007B0E33"/>
    <w:rsid w:val="007B1067"/>
    <w:rsid w:val="007B1B52"/>
    <w:rsid w:val="007B31F3"/>
    <w:rsid w:val="007B3786"/>
    <w:rsid w:val="007B477C"/>
    <w:rsid w:val="007B4E0C"/>
    <w:rsid w:val="007B55C6"/>
    <w:rsid w:val="007B646B"/>
    <w:rsid w:val="007B65FE"/>
    <w:rsid w:val="007B6CE1"/>
    <w:rsid w:val="007B7783"/>
    <w:rsid w:val="007B7B0C"/>
    <w:rsid w:val="007C0A6B"/>
    <w:rsid w:val="007C0B99"/>
    <w:rsid w:val="007C249E"/>
    <w:rsid w:val="007C32AB"/>
    <w:rsid w:val="007C589C"/>
    <w:rsid w:val="007C59CD"/>
    <w:rsid w:val="007C6707"/>
    <w:rsid w:val="007C6B67"/>
    <w:rsid w:val="007C6D4B"/>
    <w:rsid w:val="007C79BD"/>
    <w:rsid w:val="007D19B4"/>
    <w:rsid w:val="007D2814"/>
    <w:rsid w:val="007D28C9"/>
    <w:rsid w:val="007D2965"/>
    <w:rsid w:val="007D2C0C"/>
    <w:rsid w:val="007D2CDB"/>
    <w:rsid w:val="007D36CA"/>
    <w:rsid w:val="007D3BED"/>
    <w:rsid w:val="007D413D"/>
    <w:rsid w:val="007D4281"/>
    <w:rsid w:val="007D462A"/>
    <w:rsid w:val="007D4945"/>
    <w:rsid w:val="007D4D4A"/>
    <w:rsid w:val="007D5F38"/>
    <w:rsid w:val="007D5F71"/>
    <w:rsid w:val="007D6A90"/>
    <w:rsid w:val="007D6D5A"/>
    <w:rsid w:val="007D7234"/>
    <w:rsid w:val="007D7299"/>
    <w:rsid w:val="007E0FDA"/>
    <w:rsid w:val="007E1ABD"/>
    <w:rsid w:val="007E2296"/>
    <w:rsid w:val="007E2541"/>
    <w:rsid w:val="007E281F"/>
    <w:rsid w:val="007E4109"/>
    <w:rsid w:val="007E47FB"/>
    <w:rsid w:val="007E4AB8"/>
    <w:rsid w:val="007E4B63"/>
    <w:rsid w:val="007E515D"/>
    <w:rsid w:val="007E54C1"/>
    <w:rsid w:val="007E63EF"/>
    <w:rsid w:val="007E644A"/>
    <w:rsid w:val="007E6478"/>
    <w:rsid w:val="007E6619"/>
    <w:rsid w:val="007E6FD7"/>
    <w:rsid w:val="007E6FDB"/>
    <w:rsid w:val="007E7277"/>
    <w:rsid w:val="007E76F0"/>
    <w:rsid w:val="007E7B86"/>
    <w:rsid w:val="007E7EFA"/>
    <w:rsid w:val="007E7F07"/>
    <w:rsid w:val="007F0FD0"/>
    <w:rsid w:val="007F15F8"/>
    <w:rsid w:val="007F161E"/>
    <w:rsid w:val="007F1AA5"/>
    <w:rsid w:val="007F1B50"/>
    <w:rsid w:val="007F21DC"/>
    <w:rsid w:val="007F2502"/>
    <w:rsid w:val="007F3CAE"/>
    <w:rsid w:val="007F3EEC"/>
    <w:rsid w:val="007F462F"/>
    <w:rsid w:val="007F4AB4"/>
    <w:rsid w:val="007F505A"/>
    <w:rsid w:val="007F5D20"/>
    <w:rsid w:val="007F67C7"/>
    <w:rsid w:val="007F68C6"/>
    <w:rsid w:val="007F7139"/>
    <w:rsid w:val="007F717C"/>
    <w:rsid w:val="007F7205"/>
    <w:rsid w:val="007F77FE"/>
    <w:rsid w:val="007F7F4D"/>
    <w:rsid w:val="008000E5"/>
    <w:rsid w:val="0080060B"/>
    <w:rsid w:val="00800624"/>
    <w:rsid w:val="00801548"/>
    <w:rsid w:val="00801669"/>
    <w:rsid w:val="00801712"/>
    <w:rsid w:val="008018B3"/>
    <w:rsid w:val="0080200D"/>
    <w:rsid w:val="00802D40"/>
    <w:rsid w:val="008031D5"/>
    <w:rsid w:val="0080386B"/>
    <w:rsid w:val="00803DC9"/>
    <w:rsid w:val="00804072"/>
    <w:rsid w:val="00804F00"/>
    <w:rsid w:val="00805754"/>
    <w:rsid w:val="00805F04"/>
    <w:rsid w:val="00806F1F"/>
    <w:rsid w:val="00807AC3"/>
    <w:rsid w:val="00811510"/>
    <w:rsid w:val="008123DA"/>
    <w:rsid w:val="00812906"/>
    <w:rsid w:val="00812B86"/>
    <w:rsid w:val="00812C42"/>
    <w:rsid w:val="00812E56"/>
    <w:rsid w:val="0081323D"/>
    <w:rsid w:val="008137F5"/>
    <w:rsid w:val="00814D9F"/>
    <w:rsid w:val="00814DBC"/>
    <w:rsid w:val="00814EF6"/>
    <w:rsid w:val="008151BF"/>
    <w:rsid w:val="00816AD7"/>
    <w:rsid w:val="00817A4D"/>
    <w:rsid w:val="00820B9D"/>
    <w:rsid w:val="00820C87"/>
    <w:rsid w:val="00820D49"/>
    <w:rsid w:val="0082113F"/>
    <w:rsid w:val="0082138E"/>
    <w:rsid w:val="008215CD"/>
    <w:rsid w:val="008218F7"/>
    <w:rsid w:val="00821991"/>
    <w:rsid w:val="00822934"/>
    <w:rsid w:val="008232D8"/>
    <w:rsid w:val="00823F37"/>
    <w:rsid w:val="00825F01"/>
    <w:rsid w:val="008266AA"/>
    <w:rsid w:val="00827303"/>
    <w:rsid w:val="00827E96"/>
    <w:rsid w:val="008328B1"/>
    <w:rsid w:val="008337CF"/>
    <w:rsid w:val="00833BB0"/>
    <w:rsid w:val="00834A39"/>
    <w:rsid w:val="008362F1"/>
    <w:rsid w:val="0083677B"/>
    <w:rsid w:val="008371F5"/>
    <w:rsid w:val="00837865"/>
    <w:rsid w:val="00840065"/>
    <w:rsid w:val="008400FB"/>
    <w:rsid w:val="008402CF"/>
    <w:rsid w:val="008406F7"/>
    <w:rsid w:val="00841478"/>
    <w:rsid w:val="00841F44"/>
    <w:rsid w:val="0084216F"/>
    <w:rsid w:val="00842456"/>
    <w:rsid w:val="0084356D"/>
    <w:rsid w:val="00843B38"/>
    <w:rsid w:val="0084455A"/>
    <w:rsid w:val="00845CE9"/>
    <w:rsid w:val="00846A48"/>
    <w:rsid w:val="00846FF2"/>
    <w:rsid w:val="00847D48"/>
    <w:rsid w:val="008504B7"/>
    <w:rsid w:val="00850829"/>
    <w:rsid w:val="00850972"/>
    <w:rsid w:val="00850BD6"/>
    <w:rsid w:val="00851348"/>
    <w:rsid w:val="00851A4D"/>
    <w:rsid w:val="00851E24"/>
    <w:rsid w:val="008538FD"/>
    <w:rsid w:val="008542EC"/>
    <w:rsid w:val="008543A3"/>
    <w:rsid w:val="008547E3"/>
    <w:rsid w:val="00854CAC"/>
    <w:rsid w:val="00854DFA"/>
    <w:rsid w:val="00854FE4"/>
    <w:rsid w:val="00855BA4"/>
    <w:rsid w:val="00857701"/>
    <w:rsid w:val="008601A4"/>
    <w:rsid w:val="008605D8"/>
    <w:rsid w:val="00860673"/>
    <w:rsid w:val="00861565"/>
    <w:rsid w:val="00861680"/>
    <w:rsid w:val="00861756"/>
    <w:rsid w:val="00861B59"/>
    <w:rsid w:val="00862036"/>
    <w:rsid w:val="00864AB3"/>
    <w:rsid w:val="0086547F"/>
    <w:rsid w:val="0086595C"/>
    <w:rsid w:val="0086598B"/>
    <w:rsid w:val="0086677F"/>
    <w:rsid w:val="0086739C"/>
    <w:rsid w:val="008676F3"/>
    <w:rsid w:val="00867983"/>
    <w:rsid w:val="00867F11"/>
    <w:rsid w:val="00870052"/>
    <w:rsid w:val="008706EF"/>
    <w:rsid w:val="0087081E"/>
    <w:rsid w:val="00871225"/>
    <w:rsid w:val="00871630"/>
    <w:rsid w:val="008717BF"/>
    <w:rsid w:val="00871CB2"/>
    <w:rsid w:val="00872739"/>
    <w:rsid w:val="00873E2B"/>
    <w:rsid w:val="00874078"/>
    <w:rsid w:val="00874D9E"/>
    <w:rsid w:val="0087603A"/>
    <w:rsid w:val="00876069"/>
    <w:rsid w:val="008762A0"/>
    <w:rsid w:val="00877E14"/>
    <w:rsid w:val="00880194"/>
    <w:rsid w:val="008803DC"/>
    <w:rsid w:val="008809D1"/>
    <w:rsid w:val="00880E76"/>
    <w:rsid w:val="0088152F"/>
    <w:rsid w:val="00883B7B"/>
    <w:rsid w:val="00884316"/>
    <w:rsid w:val="0088473D"/>
    <w:rsid w:val="0088682B"/>
    <w:rsid w:val="00886B52"/>
    <w:rsid w:val="008872E2"/>
    <w:rsid w:val="00887B71"/>
    <w:rsid w:val="00890E5E"/>
    <w:rsid w:val="008912FB"/>
    <w:rsid w:val="00891E70"/>
    <w:rsid w:val="00892177"/>
    <w:rsid w:val="008925F7"/>
    <w:rsid w:val="008928EA"/>
    <w:rsid w:val="00892B12"/>
    <w:rsid w:val="00892E5C"/>
    <w:rsid w:val="0089441D"/>
    <w:rsid w:val="00894492"/>
    <w:rsid w:val="008946F4"/>
    <w:rsid w:val="008947CC"/>
    <w:rsid w:val="0089519E"/>
    <w:rsid w:val="008956D2"/>
    <w:rsid w:val="00896C33"/>
    <w:rsid w:val="00896C36"/>
    <w:rsid w:val="0089785A"/>
    <w:rsid w:val="008978A0"/>
    <w:rsid w:val="008A07F8"/>
    <w:rsid w:val="008A166D"/>
    <w:rsid w:val="008A1E20"/>
    <w:rsid w:val="008A4698"/>
    <w:rsid w:val="008A4ECD"/>
    <w:rsid w:val="008A57F7"/>
    <w:rsid w:val="008A602E"/>
    <w:rsid w:val="008A67AD"/>
    <w:rsid w:val="008A67D4"/>
    <w:rsid w:val="008A694B"/>
    <w:rsid w:val="008A738D"/>
    <w:rsid w:val="008B04B5"/>
    <w:rsid w:val="008B08D7"/>
    <w:rsid w:val="008B1035"/>
    <w:rsid w:val="008B1744"/>
    <w:rsid w:val="008B1C52"/>
    <w:rsid w:val="008B1E10"/>
    <w:rsid w:val="008B2747"/>
    <w:rsid w:val="008B2DDE"/>
    <w:rsid w:val="008B3A2D"/>
    <w:rsid w:val="008B568F"/>
    <w:rsid w:val="008B5E26"/>
    <w:rsid w:val="008B5F8A"/>
    <w:rsid w:val="008B62B9"/>
    <w:rsid w:val="008B702A"/>
    <w:rsid w:val="008B75EF"/>
    <w:rsid w:val="008B77C5"/>
    <w:rsid w:val="008C030D"/>
    <w:rsid w:val="008C1ECB"/>
    <w:rsid w:val="008C20F1"/>
    <w:rsid w:val="008C2B9C"/>
    <w:rsid w:val="008C2D88"/>
    <w:rsid w:val="008C4102"/>
    <w:rsid w:val="008C510D"/>
    <w:rsid w:val="008C5A1C"/>
    <w:rsid w:val="008C5EB0"/>
    <w:rsid w:val="008C632E"/>
    <w:rsid w:val="008C6445"/>
    <w:rsid w:val="008C6705"/>
    <w:rsid w:val="008C67F3"/>
    <w:rsid w:val="008C6C38"/>
    <w:rsid w:val="008C7009"/>
    <w:rsid w:val="008C7E10"/>
    <w:rsid w:val="008D053A"/>
    <w:rsid w:val="008D05CE"/>
    <w:rsid w:val="008D0772"/>
    <w:rsid w:val="008D15F2"/>
    <w:rsid w:val="008D15FB"/>
    <w:rsid w:val="008D30CA"/>
    <w:rsid w:val="008D3714"/>
    <w:rsid w:val="008D3D9D"/>
    <w:rsid w:val="008D406F"/>
    <w:rsid w:val="008D60E6"/>
    <w:rsid w:val="008E1F8D"/>
    <w:rsid w:val="008E22AA"/>
    <w:rsid w:val="008E4BD9"/>
    <w:rsid w:val="008E4D4E"/>
    <w:rsid w:val="008E4E82"/>
    <w:rsid w:val="008E4FCB"/>
    <w:rsid w:val="008E57D6"/>
    <w:rsid w:val="008E6346"/>
    <w:rsid w:val="008E6AA5"/>
    <w:rsid w:val="008E6FCC"/>
    <w:rsid w:val="008E717B"/>
    <w:rsid w:val="008E73DE"/>
    <w:rsid w:val="008E7582"/>
    <w:rsid w:val="008E7FB8"/>
    <w:rsid w:val="008F0B3B"/>
    <w:rsid w:val="008F1D8B"/>
    <w:rsid w:val="008F2075"/>
    <w:rsid w:val="008F3539"/>
    <w:rsid w:val="008F3732"/>
    <w:rsid w:val="008F3DFD"/>
    <w:rsid w:val="008F5D21"/>
    <w:rsid w:val="008F5DED"/>
    <w:rsid w:val="008F61F8"/>
    <w:rsid w:val="008F6294"/>
    <w:rsid w:val="008F62F5"/>
    <w:rsid w:val="008F6BCF"/>
    <w:rsid w:val="008F7D3C"/>
    <w:rsid w:val="009011D7"/>
    <w:rsid w:val="009021C7"/>
    <w:rsid w:val="009027CE"/>
    <w:rsid w:val="00902A2F"/>
    <w:rsid w:val="00902DAE"/>
    <w:rsid w:val="0090361F"/>
    <w:rsid w:val="00903E9C"/>
    <w:rsid w:val="00903FE6"/>
    <w:rsid w:val="00905611"/>
    <w:rsid w:val="009109B3"/>
    <w:rsid w:val="00910DA2"/>
    <w:rsid w:val="00912675"/>
    <w:rsid w:val="0091275F"/>
    <w:rsid w:val="00912ADC"/>
    <w:rsid w:val="00913670"/>
    <w:rsid w:val="00914BEF"/>
    <w:rsid w:val="00915901"/>
    <w:rsid w:val="009159F6"/>
    <w:rsid w:val="00915A50"/>
    <w:rsid w:val="00915B76"/>
    <w:rsid w:val="00916005"/>
    <w:rsid w:val="00916A3E"/>
    <w:rsid w:val="009170AE"/>
    <w:rsid w:val="00920C5F"/>
    <w:rsid w:val="00922852"/>
    <w:rsid w:val="00923571"/>
    <w:rsid w:val="00923B19"/>
    <w:rsid w:val="00923C0E"/>
    <w:rsid w:val="009252C7"/>
    <w:rsid w:val="00926AF3"/>
    <w:rsid w:val="00930C33"/>
    <w:rsid w:val="00931788"/>
    <w:rsid w:val="00931875"/>
    <w:rsid w:val="00933938"/>
    <w:rsid w:val="00933EC5"/>
    <w:rsid w:val="00936150"/>
    <w:rsid w:val="00936A87"/>
    <w:rsid w:val="0093779A"/>
    <w:rsid w:val="00937D49"/>
    <w:rsid w:val="00937FA9"/>
    <w:rsid w:val="00937FC2"/>
    <w:rsid w:val="00941733"/>
    <w:rsid w:val="00941E43"/>
    <w:rsid w:val="00941E7A"/>
    <w:rsid w:val="00942039"/>
    <w:rsid w:val="00942830"/>
    <w:rsid w:val="009437DC"/>
    <w:rsid w:val="00943BD4"/>
    <w:rsid w:val="00944680"/>
    <w:rsid w:val="00946083"/>
    <w:rsid w:val="009460D5"/>
    <w:rsid w:val="009469E0"/>
    <w:rsid w:val="00946CA9"/>
    <w:rsid w:val="00946DFC"/>
    <w:rsid w:val="00947122"/>
    <w:rsid w:val="009501BC"/>
    <w:rsid w:val="00950775"/>
    <w:rsid w:val="009507BE"/>
    <w:rsid w:val="009526ED"/>
    <w:rsid w:val="00952916"/>
    <w:rsid w:val="00952DB7"/>
    <w:rsid w:val="00953F88"/>
    <w:rsid w:val="009549EB"/>
    <w:rsid w:val="00955E5E"/>
    <w:rsid w:val="0095697A"/>
    <w:rsid w:val="00956D79"/>
    <w:rsid w:val="0095724E"/>
    <w:rsid w:val="009572F4"/>
    <w:rsid w:val="00957643"/>
    <w:rsid w:val="00957C81"/>
    <w:rsid w:val="0096166B"/>
    <w:rsid w:val="009628F3"/>
    <w:rsid w:val="009636B1"/>
    <w:rsid w:val="00963789"/>
    <w:rsid w:val="00963820"/>
    <w:rsid w:val="009641C8"/>
    <w:rsid w:val="00964800"/>
    <w:rsid w:val="00964E16"/>
    <w:rsid w:val="009654DB"/>
    <w:rsid w:val="0096584C"/>
    <w:rsid w:val="00965E27"/>
    <w:rsid w:val="00966AA4"/>
    <w:rsid w:val="00970BC3"/>
    <w:rsid w:val="00970C8D"/>
    <w:rsid w:val="00971447"/>
    <w:rsid w:val="009726CA"/>
    <w:rsid w:val="00973349"/>
    <w:rsid w:val="00974E22"/>
    <w:rsid w:val="00975290"/>
    <w:rsid w:val="009752AD"/>
    <w:rsid w:val="009753B0"/>
    <w:rsid w:val="0097567C"/>
    <w:rsid w:val="00975FFF"/>
    <w:rsid w:val="009762A1"/>
    <w:rsid w:val="00976D73"/>
    <w:rsid w:val="00977842"/>
    <w:rsid w:val="00977A9A"/>
    <w:rsid w:val="009802EB"/>
    <w:rsid w:val="009806F9"/>
    <w:rsid w:val="00980D9C"/>
    <w:rsid w:val="00981895"/>
    <w:rsid w:val="00981C77"/>
    <w:rsid w:val="009827FE"/>
    <w:rsid w:val="00983069"/>
    <w:rsid w:val="0098327C"/>
    <w:rsid w:val="009835F3"/>
    <w:rsid w:val="009837EE"/>
    <w:rsid w:val="0098401B"/>
    <w:rsid w:val="0098444C"/>
    <w:rsid w:val="0098461D"/>
    <w:rsid w:val="0098485F"/>
    <w:rsid w:val="00984B94"/>
    <w:rsid w:val="009858FD"/>
    <w:rsid w:val="00985ED0"/>
    <w:rsid w:val="00986005"/>
    <w:rsid w:val="009860D8"/>
    <w:rsid w:val="009861EB"/>
    <w:rsid w:val="00986B5C"/>
    <w:rsid w:val="00987CC2"/>
    <w:rsid w:val="00990137"/>
    <w:rsid w:val="00991118"/>
    <w:rsid w:val="0099119D"/>
    <w:rsid w:val="009911A0"/>
    <w:rsid w:val="0099135B"/>
    <w:rsid w:val="00992AC7"/>
    <w:rsid w:val="0099398C"/>
    <w:rsid w:val="00993E17"/>
    <w:rsid w:val="00993FF5"/>
    <w:rsid w:val="0099499C"/>
    <w:rsid w:val="009949FF"/>
    <w:rsid w:val="009951DD"/>
    <w:rsid w:val="0099547F"/>
    <w:rsid w:val="0099650F"/>
    <w:rsid w:val="009966CD"/>
    <w:rsid w:val="00996C37"/>
    <w:rsid w:val="00996E98"/>
    <w:rsid w:val="00997299"/>
    <w:rsid w:val="009A01F1"/>
    <w:rsid w:val="009A0F4B"/>
    <w:rsid w:val="009A1598"/>
    <w:rsid w:val="009A2257"/>
    <w:rsid w:val="009A23CC"/>
    <w:rsid w:val="009A2F7A"/>
    <w:rsid w:val="009A3290"/>
    <w:rsid w:val="009A37DE"/>
    <w:rsid w:val="009A39D3"/>
    <w:rsid w:val="009A3CE7"/>
    <w:rsid w:val="009A41D3"/>
    <w:rsid w:val="009A45A8"/>
    <w:rsid w:val="009A600F"/>
    <w:rsid w:val="009A7E76"/>
    <w:rsid w:val="009B1247"/>
    <w:rsid w:val="009B2567"/>
    <w:rsid w:val="009B26CA"/>
    <w:rsid w:val="009B3050"/>
    <w:rsid w:val="009B390D"/>
    <w:rsid w:val="009B4504"/>
    <w:rsid w:val="009B4A67"/>
    <w:rsid w:val="009B4E7E"/>
    <w:rsid w:val="009B70A2"/>
    <w:rsid w:val="009B7B48"/>
    <w:rsid w:val="009C004F"/>
    <w:rsid w:val="009C026A"/>
    <w:rsid w:val="009C0536"/>
    <w:rsid w:val="009C096B"/>
    <w:rsid w:val="009C0BF2"/>
    <w:rsid w:val="009C0D17"/>
    <w:rsid w:val="009C0E5A"/>
    <w:rsid w:val="009C1AAB"/>
    <w:rsid w:val="009C1BA5"/>
    <w:rsid w:val="009C1C85"/>
    <w:rsid w:val="009C28F4"/>
    <w:rsid w:val="009C306A"/>
    <w:rsid w:val="009C4BE1"/>
    <w:rsid w:val="009C57B8"/>
    <w:rsid w:val="009C5CBA"/>
    <w:rsid w:val="009C5D14"/>
    <w:rsid w:val="009C6D80"/>
    <w:rsid w:val="009C7071"/>
    <w:rsid w:val="009D0363"/>
    <w:rsid w:val="009D0FD9"/>
    <w:rsid w:val="009D116A"/>
    <w:rsid w:val="009D23F3"/>
    <w:rsid w:val="009D25F3"/>
    <w:rsid w:val="009D28CB"/>
    <w:rsid w:val="009D2F0C"/>
    <w:rsid w:val="009D2FCB"/>
    <w:rsid w:val="009D3A12"/>
    <w:rsid w:val="009D52AD"/>
    <w:rsid w:val="009D552D"/>
    <w:rsid w:val="009D5F22"/>
    <w:rsid w:val="009D6542"/>
    <w:rsid w:val="009D6BD6"/>
    <w:rsid w:val="009D6FA2"/>
    <w:rsid w:val="009D70CB"/>
    <w:rsid w:val="009D72FB"/>
    <w:rsid w:val="009D79E9"/>
    <w:rsid w:val="009D7D85"/>
    <w:rsid w:val="009E076C"/>
    <w:rsid w:val="009E0A7E"/>
    <w:rsid w:val="009E14A0"/>
    <w:rsid w:val="009E1638"/>
    <w:rsid w:val="009E169E"/>
    <w:rsid w:val="009E18D1"/>
    <w:rsid w:val="009E1C85"/>
    <w:rsid w:val="009E2F1C"/>
    <w:rsid w:val="009E3947"/>
    <w:rsid w:val="009E3CF4"/>
    <w:rsid w:val="009E41A7"/>
    <w:rsid w:val="009E44F1"/>
    <w:rsid w:val="009E52AD"/>
    <w:rsid w:val="009E57A9"/>
    <w:rsid w:val="009E595D"/>
    <w:rsid w:val="009E64B3"/>
    <w:rsid w:val="009E7861"/>
    <w:rsid w:val="009F00F4"/>
    <w:rsid w:val="009F0497"/>
    <w:rsid w:val="009F06D9"/>
    <w:rsid w:val="009F0890"/>
    <w:rsid w:val="009F1000"/>
    <w:rsid w:val="009F114B"/>
    <w:rsid w:val="009F11FD"/>
    <w:rsid w:val="009F1422"/>
    <w:rsid w:val="009F15D2"/>
    <w:rsid w:val="009F1738"/>
    <w:rsid w:val="009F228B"/>
    <w:rsid w:val="009F27F8"/>
    <w:rsid w:val="009F2D80"/>
    <w:rsid w:val="009F3C69"/>
    <w:rsid w:val="009F3F82"/>
    <w:rsid w:val="009F42D5"/>
    <w:rsid w:val="009F4F4E"/>
    <w:rsid w:val="009F54B6"/>
    <w:rsid w:val="009F783F"/>
    <w:rsid w:val="009F7A01"/>
    <w:rsid w:val="009F7D30"/>
    <w:rsid w:val="00A0030A"/>
    <w:rsid w:val="00A01520"/>
    <w:rsid w:val="00A0207D"/>
    <w:rsid w:val="00A024E5"/>
    <w:rsid w:val="00A030C5"/>
    <w:rsid w:val="00A039B7"/>
    <w:rsid w:val="00A04919"/>
    <w:rsid w:val="00A04978"/>
    <w:rsid w:val="00A05764"/>
    <w:rsid w:val="00A059E0"/>
    <w:rsid w:val="00A05E1A"/>
    <w:rsid w:val="00A06257"/>
    <w:rsid w:val="00A06669"/>
    <w:rsid w:val="00A06945"/>
    <w:rsid w:val="00A06AA7"/>
    <w:rsid w:val="00A06ACF"/>
    <w:rsid w:val="00A07000"/>
    <w:rsid w:val="00A0742C"/>
    <w:rsid w:val="00A10A60"/>
    <w:rsid w:val="00A10C41"/>
    <w:rsid w:val="00A110F3"/>
    <w:rsid w:val="00A110FA"/>
    <w:rsid w:val="00A119AF"/>
    <w:rsid w:val="00A11C3C"/>
    <w:rsid w:val="00A12F8E"/>
    <w:rsid w:val="00A1334C"/>
    <w:rsid w:val="00A13F67"/>
    <w:rsid w:val="00A14F42"/>
    <w:rsid w:val="00A15499"/>
    <w:rsid w:val="00A15E38"/>
    <w:rsid w:val="00A16579"/>
    <w:rsid w:val="00A16885"/>
    <w:rsid w:val="00A20CBE"/>
    <w:rsid w:val="00A20E32"/>
    <w:rsid w:val="00A20EC7"/>
    <w:rsid w:val="00A21111"/>
    <w:rsid w:val="00A22D70"/>
    <w:rsid w:val="00A22E91"/>
    <w:rsid w:val="00A25DBA"/>
    <w:rsid w:val="00A2634D"/>
    <w:rsid w:val="00A3178E"/>
    <w:rsid w:val="00A31C30"/>
    <w:rsid w:val="00A32BBD"/>
    <w:rsid w:val="00A33074"/>
    <w:rsid w:val="00A331F1"/>
    <w:rsid w:val="00A33450"/>
    <w:rsid w:val="00A338DD"/>
    <w:rsid w:val="00A33AC1"/>
    <w:rsid w:val="00A3556C"/>
    <w:rsid w:val="00A35E69"/>
    <w:rsid w:val="00A3633B"/>
    <w:rsid w:val="00A3697F"/>
    <w:rsid w:val="00A37AEB"/>
    <w:rsid w:val="00A37D10"/>
    <w:rsid w:val="00A409C9"/>
    <w:rsid w:val="00A40F58"/>
    <w:rsid w:val="00A43780"/>
    <w:rsid w:val="00A43C99"/>
    <w:rsid w:val="00A449E8"/>
    <w:rsid w:val="00A454BF"/>
    <w:rsid w:val="00A454EF"/>
    <w:rsid w:val="00A4569C"/>
    <w:rsid w:val="00A4571F"/>
    <w:rsid w:val="00A466D4"/>
    <w:rsid w:val="00A4790F"/>
    <w:rsid w:val="00A47AD7"/>
    <w:rsid w:val="00A50D40"/>
    <w:rsid w:val="00A517AE"/>
    <w:rsid w:val="00A5263C"/>
    <w:rsid w:val="00A526B4"/>
    <w:rsid w:val="00A53DB5"/>
    <w:rsid w:val="00A542F1"/>
    <w:rsid w:val="00A55A1B"/>
    <w:rsid w:val="00A55E97"/>
    <w:rsid w:val="00A55FFD"/>
    <w:rsid w:val="00A56318"/>
    <w:rsid w:val="00A56457"/>
    <w:rsid w:val="00A56A07"/>
    <w:rsid w:val="00A57272"/>
    <w:rsid w:val="00A60756"/>
    <w:rsid w:val="00A60A9F"/>
    <w:rsid w:val="00A60B87"/>
    <w:rsid w:val="00A61643"/>
    <w:rsid w:val="00A6175A"/>
    <w:rsid w:val="00A61DFE"/>
    <w:rsid w:val="00A62B52"/>
    <w:rsid w:val="00A6311A"/>
    <w:rsid w:val="00A648E6"/>
    <w:rsid w:val="00A65C12"/>
    <w:rsid w:val="00A65C31"/>
    <w:rsid w:val="00A6608D"/>
    <w:rsid w:val="00A66C24"/>
    <w:rsid w:val="00A66CBE"/>
    <w:rsid w:val="00A7054D"/>
    <w:rsid w:val="00A708F7"/>
    <w:rsid w:val="00A70C05"/>
    <w:rsid w:val="00A71277"/>
    <w:rsid w:val="00A7127B"/>
    <w:rsid w:val="00A71FF8"/>
    <w:rsid w:val="00A72936"/>
    <w:rsid w:val="00A73A84"/>
    <w:rsid w:val="00A73D15"/>
    <w:rsid w:val="00A744F9"/>
    <w:rsid w:val="00A7472A"/>
    <w:rsid w:val="00A748CD"/>
    <w:rsid w:val="00A74BF4"/>
    <w:rsid w:val="00A74D19"/>
    <w:rsid w:val="00A75A81"/>
    <w:rsid w:val="00A764E9"/>
    <w:rsid w:val="00A777BC"/>
    <w:rsid w:val="00A82F69"/>
    <w:rsid w:val="00A835B9"/>
    <w:rsid w:val="00A83AF8"/>
    <w:rsid w:val="00A83F6E"/>
    <w:rsid w:val="00A8407D"/>
    <w:rsid w:val="00A849EB"/>
    <w:rsid w:val="00A853BF"/>
    <w:rsid w:val="00A870F9"/>
    <w:rsid w:val="00A87554"/>
    <w:rsid w:val="00A90236"/>
    <w:rsid w:val="00A90477"/>
    <w:rsid w:val="00A9104E"/>
    <w:rsid w:val="00A91F05"/>
    <w:rsid w:val="00A921DA"/>
    <w:rsid w:val="00A9240E"/>
    <w:rsid w:val="00A92A87"/>
    <w:rsid w:val="00A93BBB"/>
    <w:rsid w:val="00A94C12"/>
    <w:rsid w:val="00A95F2F"/>
    <w:rsid w:val="00A96C90"/>
    <w:rsid w:val="00A96EFA"/>
    <w:rsid w:val="00A96F3E"/>
    <w:rsid w:val="00A97DE6"/>
    <w:rsid w:val="00AA0012"/>
    <w:rsid w:val="00AA03ED"/>
    <w:rsid w:val="00AA062C"/>
    <w:rsid w:val="00AA0992"/>
    <w:rsid w:val="00AA0ACC"/>
    <w:rsid w:val="00AA1EE2"/>
    <w:rsid w:val="00AA3151"/>
    <w:rsid w:val="00AA31E6"/>
    <w:rsid w:val="00AA3226"/>
    <w:rsid w:val="00AA46B8"/>
    <w:rsid w:val="00AA4DD0"/>
    <w:rsid w:val="00AA55CD"/>
    <w:rsid w:val="00AA74A6"/>
    <w:rsid w:val="00AA780B"/>
    <w:rsid w:val="00AA7DF9"/>
    <w:rsid w:val="00AB0194"/>
    <w:rsid w:val="00AB13EE"/>
    <w:rsid w:val="00AB1497"/>
    <w:rsid w:val="00AB1FDA"/>
    <w:rsid w:val="00AB28E9"/>
    <w:rsid w:val="00AB317D"/>
    <w:rsid w:val="00AB34E7"/>
    <w:rsid w:val="00AB3596"/>
    <w:rsid w:val="00AB45DF"/>
    <w:rsid w:val="00AB4769"/>
    <w:rsid w:val="00AB4F81"/>
    <w:rsid w:val="00AB549B"/>
    <w:rsid w:val="00AB5980"/>
    <w:rsid w:val="00AB5F81"/>
    <w:rsid w:val="00AB6376"/>
    <w:rsid w:val="00AB794B"/>
    <w:rsid w:val="00AB7D3B"/>
    <w:rsid w:val="00AC1CD4"/>
    <w:rsid w:val="00AC29FC"/>
    <w:rsid w:val="00AC2AC0"/>
    <w:rsid w:val="00AC2F96"/>
    <w:rsid w:val="00AC3111"/>
    <w:rsid w:val="00AC32BC"/>
    <w:rsid w:val="00AC3B22"/>
    <w:rsid w:val="00AC3BBF"/>
    <w:rsid w:val="00AC46A4"/>
    <w:rsid w:val="00AC5078"/>
    <w:rsid w:val="00AC50E6"/>
    <w:rsid w:val="00AC52B4"/>
    <w:rsid w:val="00AC536E"/>
    <w:rsid w:val="00AC5EAD"/>
    <w:rsid w:val="00AC5F32"/>
    <w:rsid w:val="00AC6A76"/>
    <w:rsid w:val="00AC6BC1"/>
    <w:rsid w:val="00AC77B2"/>
    <w:rsid w:val="00AD0384"/>
    <w:rsid w:val="00AD03C2"/>
    <w:rsid w:val="00AD0F1C"/>
    <w:rsid w:val="00AD1281"/>
    <w:rsid w:val="00AD1880"/>
    <w:rsid w:val="00AD1D5A"/>
    <w:rsid w:val="00AD1DA4"/>
    <w:rsid w:val="00AD1ED4"/>
    <w:rsid w:val="00AD20B6"/>
    <w:rsid w:val="00AD2C8B"/>
    <w:rsid w:val="00AD3CF8"/>
    <w:rsid w:val="00AD3F42"/>
    <w:rsid w:val="00AD4976"/>
    <w:rsid w:val="00AD4A31"/>
    <w:rsid w:val="00AD6557"/>
    <w:rsid w:val="00AD66EB"/>
    <w:rsid w:val="00AD7CB3"/>
    <w:rsid w:val="00AE06DA"/>
    <w:rsid w:val="00AE0849"/>
    <w:rsid w:val="00AE0E99"/>
    <w:rsid w:val="00AE1BD2"/>
    <w:rsid w:val="00AE1F23"/>
    <w:rsid w:val="00AE2019"/>
    <w:rsid w:val="00AE247C"/>
    <w:rsid w:val="00AE2D1D"/>
    <w:rsid w:val="00AE358C"/>
    <w:rsid w:val="00AE3B81"/>
    <w:rsid w:val="00AE3E36"/>
    <w:rsid w:val="00AE40F9"/>
    <w:rsid w:val="00AE4472"/>
    <w:rsid w:val="00AE4503"/>
    <w:rsid w:val="00AE4860"/>
    <w:rsid w:val="00AE5941"/>
    <w:rsid w:val="00AE6AB0"/>
    <w:rsid w:val="00AE6F26"/>
    <w:rsid w:val="00AE708D"/>
    <w:rsid w:val="00AE745F"/>
    <w:rsid w:val="00AE76AE"/>
    <w:rsid w:val="00AF03B4"/>
    <w:rsid w:val="00AF2DA5"/>
    <w:rsid w:val="00AF2DAF"/>
    <w:rsid w:val="00AF30D8"/>
    <w:rsid w:val="00AF5BE7"/>
    <w:rsid w:val="00AF63E1"/>
    <w:rsid w:val="00AF6685"/>
    <w:rsid w:val="00AF6F3F"/>
    <w:rsid w:val="00AF7007"/>
    <w:rsid w:val="00AF7992"/>
    <w:rsid w:val="00B0114A"/>
    <w:rsid w:val="00B02670"/>
    <w:rsid w:val="00B02B13"/>
    <w:rsid w:val="00B03492"/>
    <w:rsid w:val="00B0375F"/>
    <w:rsid w:val="00B038F4"/>
    <w:rsid w:val="00B03BFB"/>
    <w:rsid w:val="00B03C15"/>
    <w:rsid w:val="00B03D7E"/>
    <w:rsid w:val="00B04190"/>
    <w:rsid w:val="00B0497C"/>
    <w:rsid w:val="00B04FA3"/>
    <w:rsid w:val="00B054A9"/>
    <w:rsid w:val="00B05928"/>
    <w:rsid w:val="00B0694F"/>
    <w:rsid w:val="00B070C2"/>
    <w:rsid w:val="00B073B6"/>
    <w:rsid w:val="00B10211"/>
    <w:rsid w:val="00B10615"/>
    <w:rsid w:val="00B108CD"/>
    <w:rsid w:val="00B10A86"/>
    <w:rsid w:val="00B10F4C"/>
    <w:rsid w:val="00B11636"/>
    <w:rsid w:val="00B11A5E"/>
    <w:rsid w:val="00B11A63"/>
    <w:rsid w:val="00B122C1"/>
    <w:rsid w:val="00B12708"/>
    <w:rsid w:val="00B14111"/>
    <w:rsid w:val="00B14A55"/>
    <w:rsid w:val="00B14D22"/>
    <w:rsid w:val="00B15933"/>
    <w:rsid w:val="00B16090"/>
    <w:rsid w:val="00B16F76"/>
    <w:rsid w:val="00B174BC"/>
    <w:rsid w:val="00B1791F"/>
    <w:rsid w:val="00B17922"/>
    <w:rsid w:val="00B17D53"/>
    <w:rsid w:val="00B17F31"/>
    <w:rsid w:val="00B20085"/>
    <w:rsid w:val="00B214F5"/>
    <w:rsid w:val="00B221CB"/>
    <w:rsid w:val="00B229C9"/>
    <w:rsid w:val="00B22F8A"/>
    <w:rsid w:val="00B22FE1"/>
    <w:rsid w:val="00B23C9D"/>
    <w:rsid w:val="00B243AE"/>
    <w:rsid w:val="00B246B7"/>
    <w:rsid w:val="00B25F41"/>
    <w:rsid w:val="00B26016"/>
    <w:rsid w:val="00B261E1"/>
    <w:rsid w:val="00B264B1"/>
    <w:rsid w:val="00B2663F"/>
    <w:rsid w:val="00B26D1E"/>
    <w:rsid w:val="00B26DF1"/>
    <w:rsid w:val="00B27237"/>
    <w:rsid w:val="00B27426"/>
    <w:rsid w:val="00B27D8A"/>
    <w:rsid w:val="00B27FDE"/>
    <w:rsid w:val="00B30269"/>
    <w:rsid w:val="00B31B60"/>
    <w:rsid w:val="00B3227B"/>
    <w:rsid w:val="00B32742"/>
    <w:rsid w:val="00B32EA0"/>
    <w:rsid w:val="00B340FD"/>
    <w:rsid w:val="00B341D3"/>
    <w:rsid w:val="00B347EE"/>
    <w:rsid w:val="00B350A7"/>
    <w:rsid w:val="00B3555C"/>
    <w:rsid w:val="00B3666D"/>
    <w:rsid w:val="00B366B5"/>
    <w:rsid w:val="00B36706"/>
    <w:rsid w:val="00B37725"/>
    <w:rsid w:val="00B42759"/>
    <w:rsid w:val="00B4292E"/>
    <w:rsid w:val="00B43AF2"/>
    <w:rsid w:val="00B5027A"/>
    <w:rsid w:val="00B50C03"/>
    <w:rsid w:val="00B514BC"/>
    <w:rsid w:val="00B516A0"/>
    <w:rsid w:val="00B51D94"/>
    <w:rsid w:val="00B51F62"/>
    <w:rsid w:val="00B5256B"/>
    <w:rsid w:val="00B52FD5"/>
    <w:rsid w:val="00B53006"/>
    <w:rsid w:val="00B53228"/>
    <w:rsid w:val="00B53A72"/>
    <w:rsid w:val="00B54500"/>
    <w:rsid w:val="00B55216"/>
    <w:rsid w:val="00B564DA"/>
    <w:rsid w:val="00B564FB"/>
    <w:rsid w:val="00B568BD"/>
    <w:rsid w:val="00B56B4B"/>
    <w:rsid w:val="00B56C2D"/>
    <w:rsid w:val="00B5720A"/>
    <w:rsid w:val="00B5723A"/>
    <w:rsid w:val="00B6023B"/>
    <w:rsid w:val="00B6076B"/>
    <w:rsid w:val="00B612D3"/>
    <w:rsid w:val="00B62800"/>
    <w:rsid w:val="00B63B69"/>
    <w:rsid w:val="00B63F25"/>
    <w:rsid w:val="00B6486D"/>
    <w:rsid w:val="00B65253"/>
    <w:rsid w:val="00B65819"/>
    <w:rsid w:val="00B65E77"/>
    <w:rsid w:val="00B660D2"/>
    <w:rsid w:val="00B66189"/>
    <w:rsid w:val="00B66455"/>
    <w:rsid w:val="00B664EB"/>
    <w:rsid w:val="00B666C2"/>
    <w:rsid w:val="00B66752"/>
    <w:rsid w:val="00B66AA8"/>
    <w:rsid w:val="00B67FE8"/>
    <w:rsid w:val="00B71261"/>
    <w:rsid w:val="00B72C7D"/>
    <w:rsid w:val="00B73618"/>
    <w:rsid w:val="00B73BD1"/>
    <w:rsid w:val="00B73E6B"/>
    <w:rsid w:val="00B73F1E"/>
    <w:rsid w:val="00B740CE"/>
    <w:rsid w:val="00B748EA"/>
    <w:rsid w:val="00B74E53"/>
    <w:rsid w:val="00B75C29"/>
    <w:rsid w:val="00B75DBE"/>
    <w:rsid w:val="00B761B7"/>
    <w:rsid w:val="00B7666D"/>
    <w:rsid w:val="00B76719"/>
    <w:rsid w:val="00B76B81"/>
    <w:rsid w:val="00B76BFE"/>
    <w:rsid w:val="00B773CA"/>
    <w:rsid w:val="00B802F9"/>
    <w:rsid w:val="00B80AF7"/>
    <w:rsid w:val="00B80D42"/>
    <w:rsid w:val="00B81D5E"/>
    <w:rsid w:val="00B81E2D"/>
    <w:rsid w:val="00B81EC5"/>
    <w:rsid w:val="00B82292"/>
    <w:rsid w:val="00B823D8"/>
    <w:rsid w:val="00B83293"/>
    <w:rsid w:val="00B83DD6"/>
    <w:rsid w:val="00B8449E"/>
    <w:rsid w:val="00B85C52"/>
    <w:rsid w:val="00B877EE"/>
    <w:rsid w:val="00B87CEA"/>
    <w:rsid w:val="00B9097A"/>
    <w:rsid w:val="00B90CA8"/>
    <w:rsid w:val="00B93760"/>
    <w:rsid w:val="00B93838"/>
    <w:rsid w:val="00B93EAA"/>
    <w:rsid w:val="00B93FC7"/>
    <w:rsid w:val="00B941B1"/>
    <w:rsid w:val="00B947E2"/>
    <w:rsid w:val="00B94884"/>
    <w:rsid w:val="00B95BC2"/>
    <w:rsid w:val="00B96E80"/>
    <w:rsid w:val="00BA1362"/>
    <w:rsid w:val="00BA1F1A"/>
    <w:rsid w:val="00BA472E"/>
    <w:rsid w:val="00BA487A"/>
    <w:rsid w:val="00BA567C"/>
    <w:rsid w:val="00BA60CD"/>
    <w:rsid w:val="00BA660D"/>
    <w:rsid w:val="00BA66AC"/>
    <w:rsid w:val="00BA6E45"/>
    <w:rsid w:val="00BA745D"/>
    <w:rsid w:val="00BA7613"/>
    <w:rsid w:val="00BA7761"/>
    <w:rsid w:val="00BA7C21"/>
    <w:rsid w:val="00BB023D"/>
    <w:rsid w:val="00BB0594"/>
    <w:rsid w:val="00BB275B"/>
    <w:rsid w:val="00BB2977"/>
    <w:rsid w:val="00BB33FB"/>
    <w:rsid w:val="00BB3A04"/>
    <w:rsid w:val="00BB46A2"/>
    <w:rsid w:val="00BB4726"/>
    <w:rsid w:val="00BB4750"/>
    <w:rsid w:val="00BB5026"/>
    <w:rsid w:val="00BB53F8"/>
    <w:rsid w:val="00BB559E"/>
    <w:rsid w:val="00BB5EC5"/>
    <w:rsid w:val="00BB631B"/>
    <w:rsid w:val="00BB7A9A"/>
    <w:rsid w:val="00BC023C"/>
    <w:rsid w:val="00BC02E4"/>
    <w:rsid w:val="00BC08FB"/>
    <w:rsid w:val="00BC27C5"/>
    <w:rsid w:val="00BC3477"/>
    <w:rsid w:val="00BC36EA"/>
    <w:rsid w:val="00BC3AA4"/>
    <w:rsid w:val="00BC3B3D"/>
    <w:rsid w:val="00BC4076"/>
    <w:rsid w:val="00BC4C9E"/>
    <w:rsid w:val="00BC4DF8"/>
    <w:rsid w:val="00BC4FB8"/>
    <w:rsid w:val="00BC50A9"/>
    <w:rsid w:val="00BC63C2"/>
    <w:rsid w:val="00BC7A91"/>
    <w:rsid w:val="00BC7DC9"/>
    <w:rsid w:val="00BD0F5D"/>
    <w:rsid w:val="00BD16F8"/>
    <w:rsid w:val="00BD1B85"/>
    <w:rsid w:val="00BD1CA8"/>
    <w:rsid w:val="00BD211E"/>
    <w:rsid w:val="00BD33DD"/>
    <w:rsid w:val="00BD4079"/>
    <w:rsid w:val="00BD4CC4"/>
    <w:rsid w:val="00BD52DE"/>
    <w:rsid w:val="00BD5783"/>
    <w:rsid w:val="00BD590D"/>
    <w:rsid w:val="00BD5ABE"/>
    <w:rsid w:val="00BD5DB2"/>
    <w:rsid w:val="00BD5E2A"/>
    <w:rsid w:val="00BD5E42"/>
    <w:rsid w:val="00BD605A"/>
    <w:rsid w:val="00BD68E9"/>
    <w:rsid w:val="00BE0F09"/>
    <w:rsid w:val="00BE165A"/>
    <w:rsid w:val="00BE16E8"/>
    <w:rsid w:val="00BE2321"/>
    <w:rsid w:val="00BE25EB"/>
    <w:rsid w:val="00BE2ADF"/>
    <w:rsid w:val="00BE2E28"/>
    <w:rsid w:val="00BE2E2F"/>
    <w:rsid w:val="00BE3250"/>
    <w:rsid w:val="00BE331D"/>
    <w:rsid w:val="00BE43D8"/>
    <w:rsid w:val="00BE4D86"/>
    <w:rsid w:val="00BE57B3"/>
    <w:rsid w:val="00BE6694"/>
    <w:rsid w:val="00BE7B0A"/>
    <w:rsid w:val="00BE7CDF"/>
    <w:rsid w:val="00BF012B"/>
    <w:rsid w:val="00BF06B6"/>
    <w:rsid w:val="00BF1901"/>
    <w:rsid w:val="00BF1A8C"/>
    <w:rsid w:val="00BF22B6"/>
    <w:rsid w:val="00BF34EB"/>
    <w:rsid w:val="00BF38B5"/>
    <w:rsid w:val="00BF43C4"/>
    <w:rsid w:val="00BF4749"/>
    <w:rsid w:val="00BF5D6D"/>
    <w:rsid w:val="00BF63FB"/>
    <w:rsid w:val="00BF659F"/>
    <w:rsid w:val="00BF6721"/>
    <w:rsid w:val="00BF770E"/>
    <w:rsid w:val="00C002EC"/>
    <w:rsid w:val="00C004B8"/>
    <w:rsid w:val="00C00AB3"/>
    <w:rsid w:val="00C00F36"/>
    <w:rsid w:val="00C020E8"/>
    <w:rsid w:val="00C02CAE"/>
    <w:rsid w:val="00C043D5"/>
    <w:rsid w:val="00C04617"/>
    <w:rsid w:val="00C04732"/>
    <w:rsid w:val="00C049A8"/>
    <w:rsid w:val="00C061E3"/>
    <w:rsid w:val="00C06387"/>
    <w:rsid w:val="00C06833"/>
    <w:rsid w:val="00C07191"/>
    <w:rsid w:val="00C07FAF"/>
    <w:rsid w:val="00C10619"/>
    <w:rsid w:val="00C11F5F"/>
    <w:rsid w:val="00C124F9"/>
    <w:rsid w:val="00C15145"/>
    <w:rsid w:val="00C17749"/>
    <w:rsid w:val="00C17D41"/>
    <w:rsid w:val="00C17F4E"/>
    <w:rsid w:val="00C20808"/>
    <w:rsid w:val="00C20D51"/>
    <w:rsid w:val="00C20EDA"/>
    <w:rsid w:val="00C2214A"/>
    <w:rsid w:val="00C226F3"/>
    <w:rsid w:val="00C22BA5"/>
    <w:rsid w:val="00C2418E"/>
    <w:rsid w:val="00C24855"/>
    <w:rsid w:val="00C24DB0"/>
    <w:rsid w:val="00C25393"/>
    <w:rsid w:val="00C25595"/>
    <w:rsid w:val="00C25EE7"/>
    <w:rsid w:val="00C303E3"/>
    <w:rsid w:val="00C306E7"/>
    <w:rsid w:val="00C3107D"/>
    <w:rsid w:val="00C3165F"/>
    <w:rsid w:val="00C31DDC"/>
    <w:rsid w:val="00C32058"/>
    <w:rsid w:val="00C3272E"/>
    <w:rsid w:val="00C32FD8"/>
    <w:rsid w:val="00C3303E"/>
    <w:rsid w:val="00C344F2"/>
    <w:rsid w:val="00C347EB"/>
    <w:rsid w:val="00C353FF"/>
    <w:rsid w:val="00C35D44"/>
    <w:rsid w:val="00C366D2"/>
    <w:rsid w:val="00C37624"/>
    <w:rsid w:val="00C400C4"/>
    <w:rsid w:val="00C40A45"/>
    <w:rsid w:val="00C41844"/>
    <w:rsid w:val="00C42606"/>
    <w:rsid w:val="00C4272F"/>
    <w:rsid w:val="00C43289"/>
    <w:rsid w:val="00C43982"/>
    <w:rsid w:val="00C43A55"/>
    <w:rsid w:val="00C44116"/>
    <w:rsid w:val="00C445D9"/>
    <w:rsid w:val="00C44997"/>
    <w:rsid w:val="00C44C17"/>
    <w:rsid w:val="00C45105"/>
    <w:rsid w:val="00C45802"/>
    <w:rsid w:val="00C45993"/>
    <w:rsid w:val="00C4624C"/>
    <w:rsid w:val="00C47D21"/>
    <w:rsid w:val="00C51CD5"/>
    <w:rsid w:val="00C52C0C"/>
    <w:rsid w:val="00C52D77"/>
    <w:rsid w:val="00C53CD9"/>
    <w:rsid w:val="00C54052"/>
    <w:rsid w:val="00C54747"/>
    <w:rsid w:val="00C54790"/>
    <w:rsid w:val="00C55A3E"/>
    <w:rsid w:val="00C55BFD"/>
    <w:rsid w:val="00C5674D"/>
    <w:rsid w:val="00C56AC9"/>
    <w:rsid w:val="00C56D80"/>
    <w:rsid w:val="00C57B29"/>
    <w:rsid w:val="00C60754"/>
    <w:rsid w:val="00C60C61"/>
    <w:rsid w:val="00C60C7D"/>
    <w:rsid w:val="00C61987"/>
    <w:rsid w:val="00C62218"/>
    <w:rsid w:val="00C62503"/>
    <w:rsid w:val="00C62C3E"/>
    <w:rsid w:val="00C630F0"/>
    <w:rsid w:val="00C6319F"/>
    <w:rsid w:val="00C63231"/>
    <w:rsid w:val="00C634CF"/>
    <w:rsid w:val="00C63B5F"/>
    <w:rsid w:val="00C640E0"/>
    <w:rsid w:val="00C64FDA"/>
    <w:rsid w:val="00C65B7B"/>
    <w:rsid w:val="00C660B6"/>
    <w:rsid w:val="00C66A8B"/>
    <w:rsid w:val="00C67024"/>
    <w:rsid w:val="00C67139"/>
    <w:rsid w:val="00C675BC"/>
    <w:rsid w:val="00C702A4"/>
    <w:rsid w:val="00C702E9"/>
    <w:rsid w:val="00C70F5C"/>
    <w:rsid w:val="00C71C76"/>
    <w:rsid w:val="00C71DA4"/>
    <w:rsid w:val="00C71FF2"/>
    <w:rsid w:val="00C72434"/>
    <w:rsid w:val="00C7246A"/>
    <w:rsid w:val="00C72DDF"/>
    <w:rsid w:val="00C730B2"/>
    <w:rsid w:val="00C73224"/>
    <w:rsid w:val="00C7379C"/>
    <w:rsid w:val="00C73AD3"/>
    <w:rsid w:val="00C73B10"/>
    <w:rsid w:val="00C73E8F"/>
    <w:rsid w:val="00C73F28"/>
    <w:rsid w:val="00C74D8E"/>
    <w:rsid w:val="00C752B5"/>
    <w:rsid w:val="00C75401"/>
    <w:rsid w:val="00C761E4"/>
    <w:rsid w:val="00C76298"/>
    <w:rsid w:val="00C77162"/>
    <w:rsid w:val="00C7759B"/>
    <w:rsid w:val="00C8024E"/>
    <w:rsid w:val="00C802D7"/>
    <w:rsid w:val="00C80A4B"/>
    <w:rsid w:val="00C814D4"/>
    <w:rsid w:val="00C81649"/>
    <w:rsid w:val="00C81D6B"/>
    <w:rsid w:val="00C82D0D"/>
    <w:rsid w:val="00C82E90"/>
    <w:rsid w:val="00C83DAD"/>
    <w:rsid w:val="00C848D1"/>
    <w:rsid w:val="00C850DA"/>
    <w:rsid w:val="00C8553C"/>
    <w:rsid w:val="00C86590"/>
    <w:rsid w:val="00C87DCA"/>
    <w:rsid w:val="00C87FB4"/>
    <w:rsid w:val="00C90B42"/>
    <w:rsid w:val="00C913F5"/>
    <w:rsid w:val="00C91585"/>
    <w:rsid w:val="00C91644"/>
    <w:rsid w:val="00C93242"/>
    <w:rsid w:val="00C93DE2"/>
    <w:rsid w:val="00C95630"/>
    <w:rsid w:val="00C95A0C"/>
    <w:rsid w:val="00C97008"/>
    <w:rsid w:val="00C979C9"/>
    <w:rsid w:val="00CA0262"/>
    <w:rsid w:val="00CA0879"/>
    <w:rsid w:val="00CA14F3"/>
    <w:rsid w:val="00CA1E81"/>
    <w:rsid w:val="00CA2C37"/>
    <w:rsid w:val="00CA2D1E"/>
    <w:rsid w:val="00CA3308"/>
    <w:rsid w:val="00CA3867"/>
    <w:rsid w:val="00CA4E33"/>
    <w:rsid w:val="00CA5A38"/>
    <w:rsid w:val="00CA5B3F"/>
    <w:rsid w:val="00CA6A4F"/>
    <w:rsid w:val="00CA78C6"/>
    <w:rsid w:val="00CB0037"/>
    <w:rsid w:val="00CB02AA"/>
    <w:rsid w:val="00CB1014"/>
    <w:rsid w:val="00CB2113"/>
    <w:rsid w:val="00CB2C65"/>
    <w:rsid w:val="00CB49B6"/>
    <w:rsid w:val="00CB49FB"/>
    <w:rsid w:val="00CB4B5A"/>
    <w:rsid w:val="00CB543E"/>
    <w:rsid w:val="00CB5DA7"/>
    <w:rsid w:val="00CB6DA4"/>
    <w:rsid w:val="00CB7012"/>
    <w:rsid w:val="00CB74DC"/>
    <w:rsid w:val="00CC04E0"/>
    <w:rsid w:val="00CC0B0A"/>
    <w:rsid w:val="00CC1F0F"/>
    <w:rsid w:val="00CC23F0"/>
    <w:rsid w:val="00CC25BB"/>
    <w:rsid w:val="00CC28D4"/>
    <w:rsid w:val="00CC36F5"/>
    <w:rsid w:val="00CC4AE2"/>
    <w:rsid w:val="00CC501C"/>
    <w:rsid w:val="00CC530E"/>
    <w:rsid w:val="00CC5329"/>
    <w:rsid w:val="00CC57BE"/>
    <w:rsid w:val="00CC5BF2"/>
    <w:rsid w:val="00CC6B73"/>
    <w:rsid w:val="00CD0AE3"/>
    <w:rsid w:val="00CD0D5C"/>
    <w:rsid w:val="00CD0D9E"/>
    <w:rsid w:val="00CD0E7D"/>
    <w:rsid w:val="00CD1714"/>
    <w:rsid w:val="00CD188F"/>
    <w:rsid w:val="00CD18E0"/>
    <w:rsid w:val="00CD1C94"/>
    <w:rsid w:val="00CD1E23"/>
    <w:rsid w:val="00CD233F"/>
    <w:rsid w:val="00CD2918"/>
    <w:rsid w:val="00CD2AA0"/>
    <w:rsid w:val="00CD3BD8"/>
    <w:rsid w:val="00CD564A"/>
    <w:rsid w:val="00CD5E3E"/>
    <w:rsid w:val="00CD6363"/>
    <w:rsid w:val="00CD6A5D"/>
    <w:rsid w:val="00CE089C"/>
    <w:rsid w:val="00CE27F7"/>
    <w:rsid w:val="00CE2909"/>
    <w:rsid w:val="00CE506C"/>
    <w:rsid w:val="00CE553E"/>
    <w:rsid w:val="00CE5E0C"/>
    <w:rsid w:val="00CE6A20"/>
    <w:rsid w:val="00CE7301"/>
    <w:rsid w:val="00CF0D02"/>
    <w:rsid w:val="00CF1649"/>
    <w:rsid w:val="00CF2C75"/>
    <w:rsid w:val="00CF4DC6"/>
    <w:rsid w:val="00CF4FEE"/>
    <w:rsid w:val="00CF54CB"/>
    <w:rsid w:val="00CF61A1"/>
    <w:rsid w:val="00CF6ABD"/>
    <w:rsid w:val="00CF6F45"/>
    <w:rsid w:val="00CF7418"/>
    <w:rsid w:val="00CF7625"/>
    <w:rsid w:val="00CF7F12"/>
    <w:rsid w:val="00D0062A"/>
    <w:rsid w:val="00D00C38"/>
    <w:rsid w:val="00D01C4F"/>
    <w:rsid w:val="00D01C66"/>
    <w:rsid w:val="00D0298E"/>
    <w:rsid w:val="00D02B4B"/>
    <w:rsid w:val="00D02DCB"/>
    <w:rsid w:val="00D0477B"/>
    <w:rsid w:val="00D05EAD"/>
    <w:rsid w:val="00D05F60"/>
    <w:rsid w:val="00D06AFA"/>
    <w:rsid w:val="00D06B37"/>
    <w:rsid w:val="00D06D5D"/>
    <w:rsid w:val="00D06DE1"/>
    <w:rsid w:val="00D07902"/>
    <w:rsid w:val="00D07BB8"/>
    <w:rsid w:val="00D07FD9"/>
    <w:rsid w:val="00D10246"/>
    <w:rsid w:val="00D11728"/>
    <w:rsid w:val="00D137EE"/>
    <w:rsid w:val="00D14732"/>
    <w:rsid w:val="00D14B17"/>
    <w:rsid w:val="00D152AB"/>
    <w:rsid w:val="00D1549F"/>
    <w:rsid w:val="00D15F87"/>
    <w:rsid w:val="00D16E08"/>
    <w:rsid w:val="00D173AA"/>
    <w:rsid w:val="00D208B6"/>
    <w:rsid w:val="00D208C8"/>
    <w:rsid w:val="00D2116E"/>
    <w:rsid w:val="00D217C3"/>
    <w:rsid w:val="00D21A58"/>
    <w:rsid w:val="00D233EE"/>
    <w:rsid w:val="00D236F1"/>
    <w:rsid w:val="00D23AAA"/>
    <w:rsid w:val="00D24861"/>
    <w:rsid w:val="00D25D89"/>
    <w:rsid w:val="00D2627C"/>
    <w:rsid w:val="00D269BC"/>
    <w:rsid w:val="00D316E8"/>
    <w:rsid w:val="00D326B7"/>
    <w:rsid w:val="00D32777"/>
    <w:rsid w:val="00D32798"/>
    <w:rsid w:val="00D3291D"/>
    <w:rsid w:val="00D3376E"/>
    <w:rsid w:val="00D33BDD"/>
    <w:rsid w:val="00D33D78"/>
    <w:rsid w:val="00D3476B"/>
    <w:rsid w:val="00D34E3B"/>
    <w:rsid w:val="00D34EED"/>
    <w:rsid w:val="00D35BD9"/>
    <w:rsid w:val="00D369C6"/>
    <w:rsid w:val="00D37013"/>
    <w:rsid w:val="00D377AF"/>
    <w:rsid w:val="00D400EC"/>
    <w:rsid w:val="00D40976"/>
    <w:rsid w:val="00D40DE9"/>
    <w:rsid w:val="00D40F85"/>
    <w:rsid w:val="00D41366"/>
    <w:rsid w:val="00D42183"/>
    <w:rsid w:val="00D42E71"/>
    <w:rsid w:val="00D43C2D"/>
    <w:rsid w:val="00D43D3F"/>
    <w:rsid w:val="00D45C28"/>
    <w:rsid w:val="00D50224"/>
    <w:rsid w:val="00D50B89"/>
    <w:rsid w:val="00D5241C"/>
    <w:rsid w:val="00D53022"/>
    <w:rsid w:val="00D5392A"/>
    <w:rsid w:val="00D541EA"/>
    <w:rsid w:val="00D54DDF"/>
    <w:rsid w:val="00D55351"/>
    <w:rsid w:val="00D56317"/>
    <w:rsid w:val="00D56492"/>
    <w:rsid w:val="00D56732"/>
    <w:rsid w:val="00D56B1B"/>
    <w:rsid w:val="00D56CE5"/>
    <w:rsid w:val="00D5796E"/>
    <w:rsid w:val="00D57DA4"/>
    <w:rsid w:val="00D57ED1"/>
    <w:rsid w:val="00D60065"/>
    <w:rsid w:val="00D6011A"/>
    <w:rsid w:val="00D60E0F"/>
    <w:rsid w:val="00D61041"/>
    <w:rsid w:val="00D61085"/>
    <w:rsid w:val="00D61166"/>
    <w:rsid w:val="00D61485"/>
    <w:rsid w:val="00D61B88"/>
    <w:rsid w:val="00D61E0D"/>
    <w:rsid w:val="00D62995"/>
    <w:rsid w:val="00D62FAF"/>
    <w:rsid w:val="00D63D51"/>
    <w:rsid w:val="00D63DA5"/>
    <w:rsid w:val="00D63E20"/>
    <w:rsid w:val="00D643B9"/>
    <w:rsid w:val="00D649F0"/>
    <w:rsid w:val="00D64F71"/>
    <w:rsid w:val="00D658CB"/>
    <w:rsid w:val="00D65CA4"/>
    <w:rsid w:val="00D66F26"/>
    <w:rsid w:val="00D6742F"/>
    <w:rsid w:val="00D679BC"/>
    <w:rsid w:val="00D708B7"/>
    <w:rsid w:val="00D72A80"/>
    <w:rsid w:val="00D72BB0"/>
    <w:rsid w:val="00D72BCB"/>
    <w:rsid w:val="00D72C99"/>
    <w:rsid w:val="00D7455B"/>
    <w:rsid w:val="00D74563"/>
    <w:rsid w:val="00D74B8B"/>
    <w:rsid w:val="00D74DA6"/>
    <w:rsid w:val="00D752DB"/>
    <w:rsid w:val="00D755DA"/>
    <w:rsid w:val="00D757AB"/>
    <w:rsid w:val="00D77000"/>
    <w:rsid w:val="00D77081"/>
    <w:rsid w:val="00D7783B"/>
    <w:rsid w:val="00D81011"/>
    <w:rsid w:val="00D81499"/>
    <w:rsid w:val="00D81918"/>
    <w:rsid w:val="00D82938"/>
    <w:rsid w:val="00D830ED"/>
    <w:rsid w:val="00D832E0"/>
    <w:rsid w:val="00D83D7A"/>
    <w:rsid w:val="00D84176"/>
    <w:rsid w:val="00D859F6"/>
    <w:rsid w:val="00D869C1"/>
    <w:rsid w:val="00D870F7"/>
    <w:rsid w:val="00D871C8"/>
    <w:rsid w:val="00D906F3"/>
    <w:rsid w:val="00D922F7"/>
    <w:rsid w:val="00D92440"/>
    <w:rsid w:val="00D926C8"/>
    <w:rsid w:val="00D92B85"/>
    <w:rsid w:val="00D93854"/>
    <w:rsid w:val="00D93890"/>
    <w:rsid w:val="00D95714"/>
    <w:rsid w:val="00D967DD"/>
    <w:rsid w:val="00D97A77"/>
    <w:rsid w:val="00DA0285"/>
    <w:rsid w:val="00DA0291"/>
    <w:rsid w:val="00DA0898"/>
    <w:rsid w:val="00DA10F9"/>
    <w:rsid w:val="00DA1144"/>
    <w:rsid w:val="00DA1D6D"/>
    <w:rsid w:val="00DA2DFE"/>
    <w:rsid w:val="00DA3375"/>
    <w:rsid w:val="00DA5550"/>
    <w:rsid w:val="00DA5C02"/>
    <w:rsid w:val="00DA5F55"/>
    <w:rsid w:val="00DA62E2"/>
    <w:rsid w:val="00DA6687"/>
    <w:rsid w:val="00DA7593"/>
    <w:rsid w:val="00DA7629"/>
    <w:rsid w:val="00DB0988"/>
    <w:rsid w:val="00DB0BAD"/>
    <w:rsid w:val="00DB0E52"/>
    <w:rsid w:val="00DB19C0"/>
    <w:rsid w:val="00DB23B1"/>
    <w:rsid w:val="00DB44F2"/>
    <w:rsid w:val="00DB4FF4"/>
    <w:rsid w:val="00DB5914"/>
    <w:rsid w:val="00DB67BD"/>
    <w:rsid w:val="00DB6F13"/>
    <w:rsid w:val="00DB78F2"/>
    <w:rsid w:val="00DC0176"/>
    <w:rsid w:val="00DC01E4"/>
    <w:rsid w:val="00DC04BF"/>
    <w:rsid w:val="00DC0A9D"/>
    <w:rsid w:val="00DC150B"/>
    <w:rsid w:val="00DC2F0D"/>
    <w:rsid w:val="00DC3D54"/>
    <w:rsid w:val="00DC4F6C"/>
    <w:rsid w:val="00DC5B3F"/>
    <w:rsid w:val="00DC6A82"/>
    <w:rsid w:val="00DC6AE6"/>
    <w:rsid w:val="00DC6EC4"/>
    <w:rsid w:val="00DC7601"/>
    <w:rsid w:val="00DC7680"/>
    <w:rsid w:val="00DC7978"/>
    <w:rsid w:val="00DD0105"/>
    <w:rsid w:val="00DD068F"/>
    <w:rsid w:val="00DD1F67"/>
    <w:rsid w:val="00DD2287"/>
    <w:rsid w:val="00DD2E4C"/>
    <w:rsid w:val="00DD3041"/>
    <w:rsid w:val="00DD3556"/>
    <w:rsid w:val="00DD39BF"/>
    <w:rsid w:val="00DD4B05"/>
    <w:rsid w:val="00DD563E"/>
    <w:rsid w:val="00DD64E7"/>
    <w:rsid w:val="00DD6601"/>
    <w:rsid w:val="00DD6795"/>
    <w:rsid w:val="00DD7562"/>
    <w:rsid w:val="00DE19F1"/>
    <w:rsid w:val="00DE1E5F"/>
    <w:rsid w:val="00DE2B83"/>
    <w:rsid w:val="00DE2C51"/>
    <w:rsid w:val="00DE3C32"/>
    <w:rsid w:val="00DE3DB2"/>
    <w:rsid w:val="00DE3E98"/>
    <w:rsid w:val="00DE4B77"/>
    <w:rsid w:val="00DE6948"/>
    <w:rsid w:val="00DE6F97"/>
    <w:rsid w:val="00DE72FD"/>
    <w:rsid w:val="00DE7AAF"/>
    <w:rsid w:val="00DE7EB9"/>
    <w:rsid w:val="00DF027E"/>
    <w:rsid w:val="00DF0DB5"/>
    <w:rsid w:val="00DF143C"/>
    <w:rsid w:val="00DF2366"/>
    <w:rsid w:val="00DF259C"/>
    <w:rsid w:val="00DF2DC3"/>
    <w:rsid w:val="00DF2F0D"/>
    <w:rsid w:val="00DF32CA"/>
    <w:rsid w:val="00DF362E"/>
    <w:rsid w:val="00DF4EFA"/>
    <w:rsid w:val="00DF5093"/>
    <w:rsid w:val="00DF5110"/>
    <w:rsid w:val="00DF5394"/>
    <w:rsid w:val="00DF56D7"/>
    <w:rsid w:val="00DF57C8"/>
    <w:rsid w:val="00DF5D1D"/>
    <w:rsid w:val="00DF60D1"/>
    <w:rsid w:val="00DF6CDE"/>
    <w:rsid w:val="00DF7606"/>
    <w:rsid w:val="00DF7754"/>
    <w:rsid w:val="00DF7BE0"/>
    <w:rsid w:val="00E00174"/>
    <w:rsid w:val="00E00932"/>
    <w:rsid w:val="00E01388"/>
    <w:rsid w:val="00E0167A"/>
    <w:rsid w:val="00E01A16"/>
    <w:rsid w:val="00E01C10"/>
    <w:rsid w:val="00E03572"/>
    <w:rsid w:val="00E04191"/>
    <w:rsid w:val="00E04899"/>
    <w:rsid w:val="00E05E5B"/>
    <w:rsid w:val="00E06B1B"/>
    <w:rsid w:val="00E10164"/>
    <w:rsid w:val="00E105C5"/>
    <w:rsid w:val="00E10617"/>
    <w:rsid w:val="00E1112B"/>
    <w:rsid w:val="00E11C51"/>
    <w:rsid w:val="00E12EAC"/>
    <w:rsid w:val="00E132BB"/>
    <w:rsid w:val="00E1422E"/>
    <w:rsid w:val="00E14336"/>
    <w:rsid w:val="00E14971"/>
    <w:rsid w:val="00E14B9B"/>
    <w:rsid w:val="00E14E30"/>
    <w:rsid w:val="00E1527B"/>
    <w:rsid w:val="00E16129"/>
    <w:rsid w:val="00E16425"/>
    <w:rsid w:val="00E165B7"/>
    <w:rsid w:val="00E2233D"/>
    <w:rsid w:val="00E22B30"/>
    <w:rsid w:val="00E22C30"/>
    <w:rsid w:val="00E22EC4"/>
    <w:rsid w:val="00E235DD"/>
    <w:rsid w:val="00E25055"/>
    <w:rsid w:val="00E256B1"/>
    <w:rsid w:val="00E25B61"/>
    <w:rsid w:val="00E275FA"/>
    <w:rsid w:val="00E27715"/>
    <w:rsid w:val="00E27F01"/>
    <w:rsid w:val="00E301CA"/>
    <w:rsid w:val="00E308EC"/>
    <w:rsid w:val="00E30CC8"/>
    <w:rsid w:val="00E31755"/>
    <w:rsid w:val="00E31A66"/>
    <w:rsid w:val="00E32CC3"/>
    <w:rsid w:val="00E3387C"/>
    <w:rsid w:val="00E338F3"/>
    <w:rsid w:val="00E34174"/>
    <w:rsid w:val="00E342D4"/>
    <w:rsid w:val="00E34CE5"/>
    <w:rsid w:val="00E350A3"/>
    <w:rsid w:val="00E35ACE"/>
    <w:rsid w:val="00E35B1B"/>
    <w:rsid w:val="00E36688"/>
    <w:rsid w:val="00E36D99"/>
    <w:rsid w:val="00E376E0"/>
    <w:rsid w:val="00E4030F"/>
    <w:rsid w:val="00E40D6A"/>
    <w:rsid w:val="00E41006"/>
    <w:rsid w:val="00E41C23"/>
    <w:rsid w:val="00E43683"/>
    <w:rsid w:val="00E43B39"/>
    <w:rsid w:val="00E45516"/>
    <w:rsid w:val="00E45E49"/>
    <w:rsid w:val="00E45FD1"/>
    <w:rsid w:val="00E46609"/>
    <w:rsid w:val="00E474A5"/>
    <w:rsid w:val="00E47733"/>
    <w:rsid w:val="00E516A1"/>
    <w:rsid w:val="00E528D8"/>
    <w:rsid w:val="00E52BAB"/>
    <w:rsid w:val="00E5389A"/>
    <w:rsid w:val="00E539DB"/>
    <w:rsid w:val="00E54BDA"/>
    <w:rsid w:val="00E5580A"/>
    <w:rsid w:val="00E559D7"/>
    <w:rsid w:val="00E55BFB"/>
    <w:rsid w:val="00E5738F"/>
    <w:rsid w:val="00E5796C"/>
    <w:rsid w:val="00E611AB"/>
    <w:rsid w:val="00E61529"/>
    <w:rsid w:val="00E63E22"/>
    <w:rsid w:val="00E66B68"/>
    <w:rsid w:val="00E672B2"/>
    <w:rsid w:val="00E7086F"/>
    <w:rsid w:val="00E70B6B"/>
    <w:rsid w:val="00E70D1B"/>
    <w:rsid w:val="00E72EC3"/>
    <w:rsid w:val="00E74ECA"/>
    <w:rsid w:val="00E756F4"/>
    <w:rsid w:val="00E75BB7"/>
    <w:rsid w:val="00E7722D"/>
    <w:rsid w:val="00E7745A"/>
    <w:rsid w:val="00E7751A"/>
    <w:rsid w:val="00E77931"/>
    <w:rsid w:val="00E808B5"/>
    <w:rsid w:val="00E822EB"/>
    <w:rsid w:val="00E830D1"/>
    <w:rsid w:val="00E83761"/>
    <w:rsid w:val="00E83B08"/>
    <w:rsid w:val="00E84228"/>
    <w:rsid w:val="00E84995"/>
    <w:rsid w:val="00E84EEA"/>
    <w:rsid w:val="00E862AD"/>
    <w:rsid w:val="00E913FB"/>
    <w:rsid w:val="00E9176B"/>
    <w:rsid w:val="00E92608"/>
    <w:rsid w:val="00E928CB"/>
    <w:rsid w:val="00E92BAD"/>
    <w:rsid w:val="00E94084"/>
    <w:rsid w:val="00E9424D"/>
    <w:rsid w:val="00E97132"/>
    <w:rsid w:val="00E97203"/>
    <w:rsid w:val="00EA022A"/>
    <w:rsid w:val="00EA0BC4"/>
    <w:rsid w:val="00EA0E75"/>
    <w:rsid w:val="00EA0E76"/>
    <w:rsid w:val="00EA110D"/>
    <w:rsid w:val="00EA2041"/>
    <w:rsid w:val="00EA237E"/>
    <w:rsid w:val="00EA29F9"/>
    <w:rsid w:val="00EA3D81"/>
    <w:rsid w:val="00EA411D"/>
    <w:rsid w:val="00EA44BF"/>
    <w:rsid w:val="00EA4CB9"/>
    <w:rsid w:val="00EA5234"/>
    <w:rsid w:val="00EA639E"/>
    <w:rsid w:val="00EA6A40"/>
    <w:rsid w:val="00EA6ECA"/>
    <w:rsid w:val="00EA6EF3"/>
    <w:rsid w:val="00EA79F0"/>
    <w:rsid w:val="00EB2666"/>
    <w:rsid w:val="00EB5498"/>
    <w:rsid w:val="00EB5992"/>
    <w:rsid w:val="00EB5D57"/>
    <w:rsid w:val="00EB6103"/>
    <w:rsid w:val="00EB66CC"/>
    <w:rsid w:val="00EB680C"/>
    <w:rsid w:val="00EB6DF7"/>
    <w:rsid w:val="00EB7BA3"/>
    <w:rsid w:val="00EC0369"/>
    <w:rsid w:val="00EC1CC7"/>
    <w:rsid w:val="00EC2201"/>
    <w:rsid w:val="00EC2F87"/>
    <w:rsid w:val="00EC4BCD"/>
    <w:rsid w:val="00EC4DAE"/>
    <w:rsid w:val="00EC53AE"/>
    <w:rsid w:val="00EC5D91"/>
    <w:rsid w:val="00EC66F5"/>
    <w:rsid w:val="00EC7B66"/>
    <w:rsid w:val="00EC7F5A"/>
    <w:rsid w:val="00ED04B1"/>
    <w:rsid w:val="00ED1304"/>
    <w:rsid w:val="00ED19AD"/>
    <w:rsid w:val="00ED19B4"/>
    <w:rsid w:val="00ED2977"/>
    <w:rsid w:val="00ED3185"/>
    <w:rsid w:val="00ED32AD"/>
    <w:rsid w:val="00ED4562"/>
    <w:rsid w:val="00ED5014"/>
    <w:rsid w:val="00ED5942"/>
    <w:rsid w:val="00ED6693"/>
    <w:rsid w:val="00ED6BD1"/>
    <w:rsid w:val="00ED7D08"/>
    <w:rsid w:val="00EE11E2"/>
    <w:rsid w:val="00EE2203"/>
    <w:rsid w:val="00EE23C0"/>
    <w:rsid w:val="00EE2649"/>
    <w:rsid w:val="00EE2E4B"/>
    <w:rsid w:val="00EE31D7"/>
    <w:rsid w:val="00EE3C56"/>
    <w:rsid w:val="00EE3C6E"/>
    <w:rsid w:val="00EE464B"/>
    <w:rsid w:val="00EE4F75"/>
    <w:rsid w:val="00EE5085"/>
    <w:rsid w:val="00EE5F43"/>
    <w:rsid w:val="00EE61B1"/>
    <w:rsid w:val="00EE70B3"/>
    <w:rsid w:val="00EF00FC"/>
    <w:rsid w:val="00EF010D"/>
    <w:rsid w:val="00EF07C5"/>
    <w:rsid w:val="00EF29AE"/>
    <w:rsid w:val="00EF2C60"/>
    <w:rsid w:val="00EF36B9"/>
    <w:rsid w:val="00EF5856"/>
    <w:rsid w:val="00EF61C7"/>
    <w:rsid w:val="00EF66E9"/>
    <w:rsid w:val="00EF7C1E"/>
    <w:rsid w:val="00F00584"/>
    <w:rsid w:val="00F016E4"/>
    <w:rsid w:val="00F0296D"/>
    <w:rsid w:val="00F02A16"/>
    <w:rsid w:val="00F036BE"/>
    <w:rsid w:val="00F03AB8"/>
    <w:rsid w:val="00F046BA"/>
    <w:rsid w:val="00F0519D"/>
    <w:rsid w:val="00F05260"/>
    <w:rsid w:val="00F05E7A"/>
    <w:rsid w:val="00F0715B"/>
    <w:rsid w:val="00F07904"/>
    <w:rsid w:val="00F07D5B"/>
    <w:rsid w:val="00F07F58"/>
    <w:rsid w:val="00F1065B"/>
    <w:rsid w:val="00F10C60"/>
    <w:rsid w:val="00F10C79"/>
    <w:rsid w:val="00F115C6"/>
    <w:rsid w:val="00F12DD8"/>
    <w:rsid w:val="00F12FA4"/>
    <w:rsid w:val="00F13AA4"/>
    <w:rsid w:val="00F13C84"/>
    <w:rsid w:val="00F14A8A"/>
    <w:rsid w:val="00F14B80"/>
    <w:rsid w:val="00F1547E"/>
    <w:rsid w:val="00F15E72"/>
    <w:rsid w:val="00F15F89"/>
    <w:rsid w:val="00F167B4"/>
    <w:rsid w:val="00F17019"/>
    <w:rsid w:val="00F17028"/>
    <w:rsid w:val="00F1766A"/>
    <w:rsid w:val="00F1774A"/>
    <w:rsid w:val="00F21563"/>
    <w:rsid w:val="00F221FB"/>
    <w:rsid w:val="00F229DF"/>
    <w:rsid w:val="00F22F0A"/>
    <w:rsid w:val="00F23268"/>
    <w:rsid w:val="00F2326C"/>
    <w:rsid w:val="00F24180"/>
    <w:rsid w:val="00F24519"/>
    <w:rsid w:val="00F256A4"/>
    <w:rsid w:val="00F25978"/>
    <w:rsid w:val="00F26857"/>
    <w:rsid w:val="00F27698"/>
    <w:rsid w:val="00F27DE8"/>
    <w:rsid w:val="00F30298"/>
    <w:rsid w:val="00F306ED"/>
    <w:rsid w:val="00F31830"/>
    <w:rsid w:val="00F32511"/>
    <w:rsid w:val="00F325C9"/>
    <w:rsid w:val="00F33EA8"/>
    <w:rsid w:val="00F33F44"/>
    <w:rsid w:val="00F34F94"/>
    <w:rsid w:val="00F35252"/>
    <w:rsid w:val="00F3684C"/>
    <w:rsid w:val="00F37282"/>
    <w:rsid w:val="00F3728F"/>
    <w:rsid w:val="00F372A3"/>
    <w:rsid w:val="00F406F7"/>
    <w:rsid w:val="00F41211"/>
    <w:rsid w:val="00F4140D"/>
    <w:rsid w:val="00F4187B"/>
    <w:rsid w:val="00F41A48"/>
    <w:rsid w:val="00F4222A"/>
    <w:rsid w:val="00F43480"/>
    <w:rsid w:val="00F43637"/>
    <w:rsid w:val="00F44D25"/>
    <w:rsid w:val="00F45AB9"/>
    <w:rsid w:val="00F4665F"/>
    <w:rsid w:val="00F4686D"/>
    <w:rsid w:val="00F4691A"/>
    <w:rsid w:val="00F50452"/>
    <w:rsid w:val="00F51D92"/>
    <w:rsid w:val="00F52914"/>
    <w:rsid w:val="00F53D43"/>
    <w:rsid w:val="00F54B60"/>
    <w:rsid w:val="00F54E80"/>
    <w:rsid w:val="00F55267"/>
    <w:rsid w:val="00F56057"/>
    <w:rsid w:val="00F566C3"/>
    <w:rsid w:val="00F567B8"/>
    <w:rsid w:val="00F6049F"/>
    <w:rsid w:val="00F60D74"/>
    <w:rsid w:val="00F61992"/>
    <w:rsid w:val="00F621E8"/>
    <w:rsid w:val="00F629F5"/>
    <w:rsid w:val="00F633D2"/>
    <w:rsid w:val="00F6391C"/>
    <w:rsid w:val="00F658FF"/>
    <w:rsid w:val="00F65B6F"/>
    <w:rsid w:val="00F666ED"/>
    <w:rsid w:val="00F673ED"/>
    <w:rsid w:val="00F67527"/>
    <w:rsid w:val="00F70307"/>
    <w:rsid w:val="00F70C84"/>
    <w:rsid w:val="00F70E5C"/>
    <w:rsid w:val="00F70F46"/>
    <w:rsid w:val="00F710B9"/>
    <w:rsid w:val="00F735E4"/>
    <w:rsid w:val="00F73764"/>
    <w:rsid w:val="00F737BE"/>
    <w:rsid w:val="00F739FD"/>
    <w:rsid w:val="00F75054"/>
    <w:rsid w:val="00F75896"/>
    <w:rsid w:val="00F75972"/>
    <w:rsid w:val="00F75D3E"/>
    <w:rsid w:val="00F77299"/>
    <w:rsid w:val="00F77B16"/>
    <w:rsid w:val="00F80634"/>
    <w:rsid w:val="00F8095F"/>
    <w:rsid w:val="00F812EE"/>
    <w:rsid w:val="00F8150C"/>
    <w:rsid w:val="00F81A54"/>
    <w:rsid w:val="00F822AE"/>
    <w:rsid w:val="00F8276B"/>
    <w:rsid w:val="00F827E9"/>
    <w:rsid w:val="00F82C50"/>
    <w:rsid w:val="00F8387A"/>
    <w:rsid w:val="00F862A0"/>
    <w:rsid w:val="00F86E9F"/>
    <w:rsid w:val="00F879F7"/>
    <w:rsid w:val="00F9017D"/>
    <w:rsid w:val="00F90259"/>
    <w:rsid w:val="00F90BEE"/>
    <w:rsid w:val="00F9123F"/>
    <w:rsid w:val="00F91750"/>
    <w:rsid w:val="00F917A4"/>
    <w:rsid w:val="00F92877"/>
    <w:rsid w:val="00F931F8"/>
    <w:rsid w:val="00F95F19"/>
    <w:rsid w:val="00F9658F"/>
    <w:rsid w:val="00F96E57"/>
    <w:rsid w:val="00F972D9"/>
    <w:rsid w:val="00F973A7"/>
    <w:rsid w:val="00F97AD2"/>
    <w:rsid w:val="00FA044B"/>
    <w:rsid w:val="00FA09F8"/>
    <w:rsid w:val="00FA1060"/>
    <w:rsid w:val="00FA1B88"/>
    <w:rsid w:val="00FA2CD2"/>
    <w:rsid w:val="00FA339F"/>
    <w:rsid w:val="00FA387C"/>
    <w:rsid w:val="00FA3C9D"/>
    <w:rsid w:val="00FA4D40"/>
    <w:rsid w:val="00FA4D9C"/>
    <w:rsid w:val="00FA6BA0"/>
    <w:rsid w:val="00FA71F9"/>
    <w:rsid w:val="00FA72CC"/>
    <w:rsid w:val="00FA76DC"/>
    <w:rsid w:val="00FA7750"/>
    <w:rsid w:val="00FB0A88"/>
    <w:rsid w:val="00FB0DD6"/>
    <w:rsid w:val="00FB18A8"/>
    <w:rsid w:val="00FB1A48"/>
    <w:rsid w:val="00FB1B72"/>
    <w:rsid w:val="00FB2A1D"/>
    <w:rsid w:val="00FB2E82"/>
    <w:rsid w:val="00FB375E"/>
    <w:rsid w:val="00FB3AAF"/>
    <w:rsid w:val="00FB4112"/>
    <w:rsid w:val="00FB423A"/>
    <w:rsid w:val="00FB4A6C"/>
    <w:rsid w:val="00FB568C"/>
    <w:rsid w:val="00FB5B9C"/>
    <w:rsid w:val="00FB6A49"/>
    <w:rsid w:val="00FB6F21"/>
    <w:rsid w:val="00FB7A91"/>
    <w:rsid w:val="00FC0A66"/>
    <w:rsid w:val="00FC0EAC"/>
    <w:rsid w:val="00FC11EC"/>
    <w:rsid w:val="00FC16FA"/>
    <w:rsid w:val="00FC1AD3"/>
    <w:rsid w:val="00FC4070"/>
    <w:rsid w:val="00FC41FA"/>
    <w:rsid w:val="00FC54A4"/>
    <w:rsid w:val="00FC684E"/>
    <w:rsid w:val="00FC68AD"/>
    <w:rsid w:val="00FC7BB5"/>
    <w:rsid w:val="00FD0894"/>
    <w:rsid w:val="00FD0965"/>
    <w:rsid w:val="00FD1193"/>
    <w:rsid w:val="00FD136A"/>
    <w:rsid w:val="00FD20C5"/>
    <w:rsid w:val="00FD2AF4"/>
    <w:rsid w:val="00FD37E6"/>
    <w:rsid w:val="00FD38EA"/>
    <w:rsid w:val="00FD39D0"/>
    <w:rsid w:val="00FD3AAF"/>
    <w:rsid w:val="00FD3C2D"/>
    <w:rsid w:val="00FD47AE"/>
    <w:rsid w:val="00FD52EE"/>
    <w:rsid w:val="00FD530C"/>
    <w:rsid w:val="00FD67A5"/>
    <w:rsid w:val="00FD75A6"/>
    <w:rsid w:val="00FD75B2"/>
    <w:rsid w:val="00FE09A4"/>
    <w:rsid w:val="00FE0AF0"/>
    <w:rsid w:val="00FE0C25"/>
    <w:rsid w:val="00FE147A"/>
    <w:rsid w:val="00FE1771"/>
    <w:rsid w:val="00FE2000"/>
    <w:rsid w:val="00FE226F"/>
    <w:rsid w:val="00FE24BF"/>
    <w:rsid w:val="00FE33C1"/>
    <w:rsid w:val="00FE4724"/>
    <w:rsid w:val="00FE56B1"/>
    <w:rsid w:val="00FE5CD4"/>
    <w:rsid w:val="00FE72FA"/>
    <w:rsid w:val="00FF123B"/>
    <w:rsid w:val="00FF1841"/>
    <w:rsid w:val="00FF2B9D"/>
    <w:rsid w:val="00FF32B8"/>
    <w:rsid w:val="00FF46EF"/>
    <w:rsid w:val="00FF62EB"/>
    <w:rsid w:val="00FF6F55"/>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1F29567B-E2A1-4872-8F8C-1FF697904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1C7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BE2AD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kern w:val="52"/>
      <w:sz w:val="52"/>
      <w:szCs w:val="52"/>
    </w:rPr>
  </w:style>
  <w:style w:type="character" w:customStyle="1" w:styleId="20">
    <w:name w:val="標題 2 字元"/>
    <w:link w:val="2"/>
    <w:rsid w:val="00BE2ADF"/>
    <w:rPr>
      <w:rFonts w:ascii="Arial" w:hAnsi="Arial"/>
      <w:b/>
      <w:bCs/>
      <w:snapToGrid/>
      <w:kern w:val="2"/>
      <w:sz w:val="48"/>
      <w:szCs w:val="48"/>
    </w:rPr>
  </w:style>
  <w:style w:type="character" w:customStyle="1" w:styleId="30">
    <w:name w:val="標題 3 字元"/>
    <w:link w:val="3"/>
    <w:uiPriority w:val="9"/>
    <w:semiHidden/>
    <w:rsid w:val="00BE2ADF"/>
    <w:rPr>
      <w:rFonts w:ascii="Cambria" w:hAnsi="Cambria"/>
      <w:b/>
      <w:bCs/>
      <w:snapToGrid/>
      <w:kern w:val="2"/>
      <w:sz w:val="36"/>
      <w:szCs w:val="36"/>
    </w:rPr>
  </w:style>
  <w:style w:type="paragraph" w:customStyle="1" w:styleId="16">
    <w:name w:val="第一層(16號字)"/>
    <w:rsid w:val="008B5E2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B5E26"/>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rsid w:val="008B5E2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8B5E2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8B5E26"/>
    <w:pPr>
      <w:ind w:left="300" w:hangingChars="100" w:hanging="100"/>
    </w:pPr>
  </w:style>
  <w:style w:type="character" w:customStyle="1" w:styleId="21">
    <w:name w:val="(一)(二)(三) 字元2"/>
    <w:link w:val="a4"/>
    <w:rsid w:val="00BE2ADF"/>
    <w:rPr>
      <w:rFonts w:ascii="標楷體" w:eastAsia="標楷體"/>
      <w:snapToGrid/>
      <w:kern w:val="2"/>
      <w:sz w:val="28"/>
      <w:szCs w:val="28"/>
    </w:rPr>
  </w:style>
  <w:style w:type="paragraph" w:customStyle="1" w:styleId="a5">
    <w:name w:val="(一)下內文"/>
    <w:basedOn w:val="a4"/>
    <w:link w:val="a6"/>
    <w:rsid w:val="008B5E26"/>
    <w:pPr>
      <w:adjustRightInd w:val="0"/>
      <w:ind w:leftChars="300" w:firstLineChars="0" w:firstLine="0"/>
    </w:pPr>
  </w:style>
  <w:style w:type="character" w:customStyle="1" w:styleId="a6">
    <w:name w:val="(一)下內文 字元"/>
    <w:link w:val="a5"/>
    <w:rsid w:val="00BE2ADF"/>
    <w:rPr>
      <w:rFonts w:ascii="標楷體" w:eastAsia="標楷體"/>
      <w:snapToGrid/>
      <w:kern w:val="2"/>
      <w:sz w:val="28"/>
      <w:szCs w:val="28"/>
    </w:rPr>
  </w:style>
  <w:style w:type="paragraph" w:customStyle="1" w:styleId="123">
    <w:name w:val="1.2.3."/>
    <w:basedOn w:val="a5"/>
    <w:link w:val="1230"/>
    <w:qFormat/>
    <w:rsid w:val="008B5E26"/>
    <w:pPr>
      <w:adjustRightInd/>
      <w:ind w:left="400" w:hangingChars="100" w:hanging="100"/>
    </w:pPr>
  </w:style>
  <w:style w:type="paragraph" w:customStyle="1" w:styleId="a7">
    <w:name w:val="結論"/>
    <w:basedOn w:val="a5"/>
    <w:rsid w:val="008B5E26"/>
    <w:pPr>
      <w:adjustRightInd/>
      <w:ind w:leftChars="200" w:left="200"/>
    </w:pPr>
  </w:style>
  <w:style w:type="paragraph" w:customStyle="1" w:styleId="a8">
    <w:name w:val="前言內文"/>
    <w:basedOn w:val="a"/>
    <w:rsid w:val="008B5E26"/>
    <w:pPr>
      <w:adjustRightInd w:val="0"/>
      <w:ind w:leftChars="0" w:left="0"/>
    </w:pPr>
  </w:style>
  <w:style w:type="paragraph" w:customStyle="1" w:styleId="142">
    <w:name w:val="表格內文(14行高)"/>
    <w:basedOn w:val="a9"/>
    <w:link w:val="143"/>
    <w:qFormat/>
    <w:rsid w:val="008B5E26"/>
    <w:pPr>
      <w:spacing w:line="280" w:lineRule="exact"/>
      <w:ind w:leftChars="0" w:left="0" w:firstLineChars="0" w:firstLine="0"/>
      <w:jc w:val="left"/>
    </w:pPr>
    <w:rPr>
      <w:sz w:val="24"/>
    </w:rPr>
  </w:style>
  <w:style w:type="paragraph" w:styleId="a9">
    <w:name w:val="table of figures"/>
    <w:basedOn w:val="a"/>
    <w:next w:val="a"/>
    <w:link w:val="aa"/>
    <w:semiHidden/>
    <w:rsid w:val="008B5E26"/>
    <w:pPr>
      <w:ind w:leftChars="400" w:left="960" w:hangingChars="200" w:hanging="480"/>
    </w:pPr>
  </w:style>
  <w:style w:type="character" w:customStyle="1" w:styleId="aa">
    <w:name w:val="圖表目錄 字元"/>
    <w:link w:val="a9"/>
    <w:semiHidden/>
    <w:rsid w:val="00BE2ADF"/>
    <w:rPr>
      <w:rFonts w:ascii="標楷體" w:eastAsia="標楷體"/>
      <w:snapToGrid/>
      <w:kern w:val="2"/>
      <w:sz w:val="28"/>
      <w:szCs w:val="28"/>
    </w:rPr>
  </w:style>
  <w:style w:type="paragraph" w:customStyle="1" w:styleId="ab">
    <w:name w:val="報告名稱"/>
    <w:basedOn w:val="a"/>
    <w:rsid w:val="008B5E26"/>
    <w:pPr>
      <w:adjustRightInd w:val="0"/>
      <w:ind w:leftChars="0" w:left="0" w:firstLineChars="0" w:firstLine="0"/>
    </w:pPr>
    <w:rPr>
      <w:b/>
      <w:sz w:val="36"/>
    </w:rPr>
  </w:style>
  <w:style w:type="paragraph" w:customStyle="1" w:styleId="144">
    <w:name w:val="第一層(14號字)"/>
    <w:basedOn w:val="16"/>
    <w:rsid w:val="008B5E26"/>
    <w:rPr>
      <w:sz w:val="28"/>
    </w:rPr>
  </w:style>
  <w:style w:type="paragraph" w:customStyle="1" w:styleId="ac">
    <w:name w:val="姓名及分機"/>
    <w:basedOn w:val="a"/>
    <w:link w:val="ad"/>
    <w:rsid w:val="008B5E26"/>
    <w:pPr>
      <w:ind w:leftChars="0" w:left="0" w:firstLineChars="0" w:firstLine="0"/>
      <w:jc w:val="right"/>
    </w:pPr>
    <w:rPr>
      <w:sz w:val="24"/>
    </w:rPr>
  </w:style>
  <w:style w:type="character" w:customStyle="1" w:styleId="ad">
    <w:name w:val="姓名及分機 字元"/>
    <w:link w:val="ac"/>
    <w:rsid w:val="00BE2ADF"/>
    <w:rPr>
      <w:rFonts w:ascii="標楷體" w:eastAsia="標楷體"/>
      <w:snapToGrid/>
      <w:kern w:val="2"/>
      <w:sz w:val="24"/>
      <w:szCs w:val="28"/>
    </w:rPr>
  </w:style>
  <w:style w:type="paragraph" w:customStyle="1" w:styleId="ae">
    <w:name w:val="前言(一)(二)(三)"/>
    <w:basedOn w:val="a"/>
    <w:rsid w:val="008B5E26"/>
    <w:pPr>
      <w:ind w:leftChars="0" w:left="100" w:hangingChars="100" w:hanging="100"/>
    </w:pPr>
  </w:style>
  <w:style w:type="paragraph" w:customStyle="1" w:styleId="1231">
    <w:name w:val="(1)(2)(3)"/>
    <w:basedOn w:val="a"/>
    <w:link w:val="1232"/>
    <w:rsid w:val="008B5E26"/>
    <w:pPr>
      <w:ind w:leftChars="400" w:left="500" w:hangingChars="100" w:hanging="100"/>
    </w:pPr>
  </w:style>
  <w:style w:type="character" w:customStyle="1" w:styleId="1232">
    <w:name w:val="(1)(2)(3) 字元"/>
    <w:link w:val="1231"/>
    <w:rsid w:val="00BE2ADF"/>
    <w:rPr>
      <w:rFonts w:ascii="標楷體" w:eastAsia="標楷體"/>
      <w:snapToGrid/>
      <w:kern w:val="2"/>
      <w:sz w:val="28"/>
      <w:szCs w:val="28"/>
    </w:rPr>
  </w:style>
  <w:style w:type="paragraph" w:customStyle="1" w:styleId="200">
    <w:name w:val="表格內文(20行高)"/>
    <w:basedOn w:val="142"/>
    <w:link w:val="201"/>
    <w:rsid w:val="008B5E26"/>
    <w:pPr>
      <w:spacing w:line="400" w:lineRule="exact"/>
    </w:pPr>
  </w:style>
  <w:style w:type="character" w:customStyle="1" w:styleId="201">
    <w:name w:val="表格內文(20行高) 字元"/>
    <w:link w:val="200"/>
    <w:rsid w:val="00BE2ADF"/>
    <w:rPr>
      <w:rFonts w:ascii="標楷體" w:eastAsia="標楷體"/>
      <w:snapToGrid/>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rsid w:val="008B5E26"/>
    <w:pPr>
      <w:adjustRightInd w:val="0"/>
      <w:ind w:leftChars="300" w:left="300"/>
    </w:pPr>
  </w:style>
  <w:style w:type="character" w:customStyle="1" w:styleId="23">
    <w:name w:val="(一)下內文縮2 字元"/>
    <w:link w:val="22"/>
    <w:rsid w:val="00BE2ADF"/>
    <w:rPr>
      <w:rFonts w:ascii="標楷體" w:eastAsia="標楷體"/>
      <w:snapToGrid/>
      <w:kern w:val="2"/>
      <w:sz w:val="28"/>
      <w:szCs w:val="28"/>
    </w:rPr>
  </w:style>
  <w:style w:type="paragraph" w:styleId="11">
    <w:name w:val="toc 1"/>
    <w:basedOn w:val="a"/>
    <w:next w:val="a"/>
    <w:autoRedefine/>
    <w:uiPriority w:val="39"/>
    <w:rsid w:val="00D643B9"/>
    <w:pPr>
      <w:tabs>
        <w:tab w:val="right" w:leader="hyphen" w:pos="8505"/>
      </w:tabs>
      <w:ind w:leftChars="0" w:left="487" w:rightChars="99" w:right="281" w:hangingChars="200" w:hanging="487"/>
    </w:pPr>
    <w:rPr>
      <w:b/>
      <w:sz w:val="24"/>
    </w:rPr>
  </w:style>
  <w:style w:type="paragraph" w:styleId="24">
    <w:name w:val="toc 2"/>
    <w:basedOn w:val="a"/>
    <w:next w:val="a"/>
    <w:autoRedefine/>
    <w:uiPriority w:val="39"/>
    <w:rsid w:val="00E92BAD"/>
    <w:pPr>
      <w:tabs>
        <w:tab w:val="right" w:leader="hyphen" w:pos="8490"/>
      </w:tabs>
      <w:ind w:leftChars="0" w:left="566" w:hangingChars="200" w:hanging="566"/>
    </w:pPr>
    <w:rPr>
      <w:sz w:val="24"/>
    </w:rPr>
  </w:style>
  <w:style w:type="paragraph" w:styleId="af0">
    <w:name w:val="header"/>
    <w:basedOn w:val="a"/>
    <w:link w:val="af1"/>
    <w:rsid w:val="00E92BAD"/>
    <w:pPr>
      <w:tabs>
        <w:tab w:val="center" w:pos="4153"/>
        <w:tab w:val="right" w:pos="8306"/>
      </w:tabs>
      <w:snapToGrid w:val="0"/>
      <w:spacing w:line="480" w:lineRule="exact"/>
    </w:pPr>
    <w:rPr>
      <w:rFonts w:ascii="Times New Roman"/>
      <w:sz w:val="20"/>
      <w:szCs w:val="20"/>
    </w:rPr>
  </w:style>
  <w:style w:type="character" w:customStyle="1" w:styleId="af1">
    <w:name w:val="頁首 字元"/>
    <w:link w:val="af0"/>
    <w:rsid w:val="00E92BAD"/>
    <w:rPr>
      <w:rFonts w:eastAsia="標楷體"/>
      <w:snapToGrid/>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rPr>
  </w:style>
  <w:style w:type="character" w:customStyle="1" w:styleId="af3">
    <w:name w:val="頁尾 字元"/>
    <w:link w:val="af2"/>
    <w:rsid w:val="00E92BAD"/>
    <w:rPr>
      <w:rFonts w:eastAsia="標楷體"/>
      <w:snapToGrid/>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rPr>
  </w:style>
  <w:style w:type="character" w:customStyle="1" w:styleId="af6">
    <w:name w:val="註腳文字 字元"/>
    <w:link w:val="af5"/>
    <w:rsid w:val="00E92BAD"/>
    <w:rPr>
      <w:rFonts w:ascii="標楷體" w:eastAsia="標楷體"/>
      <w:snapToGrid/>
      <w:kern w:val="2"/>
    </w:rPr>
  </w:style>
  <w:style w:type="character" w:styleId="af7">
    <w:name w:val="footnote reference"/>
    <w:aliases w:val="FR,Ref,de nota al pie,註腳內容,Error-Fußnotenzeichen5,Error-Fußnotenzeichen6,Error-Fußnotenzeichen3,4_G,FZ,Error-Fusnotßnotenzeichen5,Error-Fußnotenzeic"/>
    <w:qFormat/>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style>
  <w:style w:type="character" w:customStyle="1" w:styleId="afd">
    <w:name w:val="註解文字 字元"/>
    <w:link w:val="afc"/>
    <w:semiHidden/>
    <w:rsid w:val="00BE2ADF"/>
    <w:rPr>
      <w:rFonts w:ascii="標楷體" w:eastAsia="標楷體"/>
      <w:snapToGrid/>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kern w:val="2"/>
      <w:sz w:val="28"/>
      <w:szCs w:val="28"/>
    </w:rPr>
  </w:style>
  <w:style w:type="paragraph" w:styleId="aff0">
    <w:name w:val="Balloon Text"/>
    <w:basedOn w:val="a"/>
    <w:link w:val="aff1"/>
    <w:semiHidden/>
    <w:rsid w:val="00BE2ADF"/>
    <w:rPr>
      <w:rFonts w:ascii="Arial" w:eastAsia="新細明體" w:hAnsi="Arial"/>
      <w:sz w:val="18"/>
      <w:szCs w:val="18"/>
    </w:rPr>
  </w:style>
  <w:style w:type="character" w:customStyle="1" w:styleId="aff1">
    <w:name w:val="註解方塊文字 字元"/>
    <w:link w:val="aff0"/>
    <w:semiHidden/>
    <w:rsid w:val="00BE2ADF"/>
    <w:rPr>
      <w:rFonts w:ascii="Arial" w:hAnsi="Arial"/>
      <w:snapToGrid/>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rPr>
  </w:style>
  <w:style w:type="character" w:customStyle="1" w:styleId="aff5">
    <w:name w:val="結語 字元"/>
    <w:link w:val="aff4"/>
    <w:uiPriority w:val="99"/>
    <w:rsid w:val="00BE2ADF"/>
    <w:rPr>
      <w:rFonts w:ascii="標楷體" w:eastAsia="標楷體" w:hAnsi="標楷體"/>
      <w:snapToGrid/>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kern w:val="2"/>
      <w:sz w:val="28"/>
      <w:szCs w:val="28"/>
    </w:rPr>
  </w:style>
  <w:style w:type="character" w:styleId="aff8">
    <w:name w:val="Emphasis"/>
    <w:qFormat/>
    <w:rsid w:val="00B773CA"/>
    <w:rPr>
      <w:i/>
      <w:iCs/>
    </w:rPr>
  </w:style>
  <w:style w:type="paragraph" w:customStyle="1" w:styleId="aff9">
    <w:name w:val="附註"/>
    <w:basedOn w:val="142"/>
    <w:qFormat/>
    <w:rsid w:val="00F07F58"/>
    <w:pPr>
      <w:ind w:leftChars="5" w:left="138" w:hangingChars="51" w:hanging="124"/>
      <w:jc w:val="both"/>
    </w:pPr>
    <w:rPr>
      <w:snapToGrid/>
    </w:rPr>
  </w:style>
  <w:style w:type="paragraph" w:customStyle="1" w:styleId="affa">
    <w:name w:val="表格內文標題(加粗)"/>
    <w:basedOn w:val="142"/>
    <w:qFormat/>
    <w:rsid w:val="00F07F58"/>
    <w:rPr>
      <w:b/>
    </w:rPr>
  </w:style>
  <w:style w:type="paragraph" w:customStyle="1" w:styleId="-">
    <w:name w:val="表格內文-置左"/>
    <w:basedOn w:val="142"/>
    <w:qFormat/>
    <w:rsid w:val="00F07F58"/>
    <w:rPr>
      <w:rFonts w:hAnsi="標楷體"/>
    </w:rPr>
  </w:style>
  <w:style w:type="paragraph" w:customStyle="1" w:styleId="29">
    <w:name w:val="(一)下內文縮2(現行)"/>
    <w:basedOn w:val="22"/>
    <w:qFormat/>
    <w:rsid w:val="00880E76"/>
    <w:pPr>
      <w:ind w:left="850" w:firstLine="566"/>
    </w:pPr>
  </w:style>
  <w:style w:type="paragraph" w:customStyle="1" w:styleId="-0">
    <w:name w:val="表格內文-置中"/>
    <w:basedOn w:val="142"/>
    <w:qFormat/>
    <w:rsid w:val="00880E76"/>
    <w:pPr>
      <w:jc w:val="center"/>
    </w:pPr>
  </w:style>
  <w:style w:type="paragraph" w:customStyle="1" w:styleId="affb">
    <w:name w:val="表格說明"/>
    <w:basedOn w:val="142"/>
    <w:qFormat/>
    <w:rsid w:val="00880E76"/>
    <w:pPr>
      <w:ind w:leftChars="-3" w:left="1208" w:hangingChars="500" w:hanging="1216"/>
      <w:jc w:val="both"/>
    </w:pPr>
  </w:style>
  <w:style w:type="paragraph" w:customStyle="1" w:styleId="affc">
    <w:name w:val="一、"/>
    <w:basedOn w:val="14"/>
    <w:qFormat/>
    <w:rsid w:val="00880E76"/>
    <w:pPr>
      <w:ind w:left="567" w:hanging="567"/>
    </w:pPr>
    <w:rPr>
      <w:color w:val="000000"/>
    </w:rPr>
  </w:style>
  <w:style w:type="paragraph" w:customStyle="1" w:styleId="affd">
    <w:name w:val="內文結語"/>
    <w:basedOn w:val="a"/>
    <w:qFormat/>
    <w:rsid w:val="00880E76"/>
    <w:pPr>
      <w:ind w:left="566" w:firstLine="566"/>
    </w:pPr>
    <w:rPr>
      <w:lang w:bidi="hi-IN"/>
    </w:rPr>
  </w:style>
  <w:style w:type="character" w:customStyle="1" w:styleId="affe">
    <w:name w:val="(一)(二)(三) 字元"/>
    <w:rsid w:val="004E5846"/>
    <w:rPr>
      <w:rFonts w:ascii="標楷體" w:eastAsia="標楷體"/>
      <w:snapToGrid w:val="0"/>
      <w:kern w:val="2"/>
      <w:sz w:val="28"/>
      <w:szCs w:val="28"/>
    </w:rPr>
  </w:style>
  <w:style w:type="character" w:customStyle="1" w:styleId="afff">
    <w:name w:val="未解析的提及"/>
    <w:uiPriority w:val="99"/>
    <w:semiHidden/>
    <w:unhideWhenUsed/>
    <w:rsid w:val="00C45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665086968">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75D80-3A39-4D4B-BF20-23E4DE10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250</Words>
  <Characters>1431</Characters>
  <Application>Microsoft Office Word</Application>
  <DocSecurity>0</DocSecurity>
  <Lines>11</Lines>
  <Paragraphs>3</Paragraphs>
  <ScaleCrop>false</ScaleCrop>
  <Company>HOME</Company>
  <LinksUpToDate>false</LinksUpToDate>
  <CharactersWithSpaces>1678</CharactersWithSpaces>
  <SharedDoc>false</SharedDoc>
  <HLinks>
    <vt:vector size="18" baseType="variant">
      <vt:variant>
        <vt:i4>1966142</vt:i4>
      </vt:variant>
      <vt:variant>
        <vt:i4>14</vt:i4>
      </vt:variant>
      <vt:variant>
        <vt:i4>0</vt:i4>
      </vt:variant>
      <vt:variant>
        <vt:i4>5</vt:i4>
      </vt:variant>
      <vt:variant>
        <vt:lpwstr/>
      </vt:variant>
      <vt:variant>
        <vt:lpwstr>_Toc217892222</vt:lpwstr>
      </vt:variant>
      <vt:variant>
        <vt:i4>1966142</vt:i4>
      </vt:variant>
      <vt:variant>
        <vt:i4>8</vt:i4>
      </vt:variant>
      <vt:variant>
        <vt:i4>0</vt:i4>
      </vt:variant>
      <vt:variant>
        <vt:i4>5</vt:i4>
      </vt:variant>
      <vt:variant>
        <vt:lpwstr/>
      </vt:variant>
      <vt:variant>
        <vt:lpwstr>_Toc217892221</vt:lpwstr>
      </vt:variant>
      <vt:variant>
        <vt:i4>1966142</vt:i4>
      </vt:variant>
      <vt:variant>
        <vt:i4>2</vt:i4>
      </vt:variant>
      <vt:variant>
        <vt:i4>0</vt:i4>
      </vt:variant>
      <vt:variant>
        <vt:i4>5</vt:i4>
      </vt:variant>
      <vt:variant>
        <vt:lpwstr/>
      </vt:variant>
      <vt:variant>
        <vt:lpwstr>_Toc217892220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2025-12-30T01:19:00Z</cp:lastPrinted>
  <dcterms:created xsi:type="dcterms:W3CDTF">2025-12-30T02:39:00Z</dcterms:created>
  <dcterms:modified xsi:type="dcterms:W3CDTF">2025-12-30T02:39:00Z</dcterms:modified>
</cp:coreProperties>
</file>