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BAD" w:rsidRPr="005E5FCF" w:rsidRDefault="00E92BAD" w:rsidP="00E92BAD">
      <w:pPr>
        <w:pStyle w:val="ab"/>
        <w:rPr>
          <w:color w:val="000000"/>
        </w:rPr>
      </w:pPr>
      <w:bookmarkStart w:id="0" w:name="_GoBack"/>
      <w:bookmarkEnd w:id="0"/>
      <w:r w:rsidRPr="005E5FCF">
        <w:rPr>
          <w:color w:val="000000"/>
        </w:rPr>
        <w:t>金融監督管理委員會</w:t>
      </w:r>
      <w:r w:rsidRPr="005E5FCF">
        <w:rPr>
          <w:rFonts w:hint="eastAsia"/>
          <w:color w:val="000000"/>
        </w:rPr>
        <w:t>及所屬1</w:t>
      </w:r>
      <w:r w:rsidR="00560834">
        <w:rPr>
          <w:rFonts w:hint="eastAsia"/>
          <w:color w:val="000000"/>
        </w:rPr>
        <w:t>13</w:t>
      </w:r>
      <w:r w:rsidRPr="005E5FCF">
        <w:rPr>
          <w:rFonts w:hint="eastAsia"/>
          <w:color w:val="000000"/>
        </w:rPr>
        <w:t>年度單位</w:t>
      </w:r>
      <w:r w:rsidR="009F15D2" w:rsidRPr="005E5FCF">
        <w:rPr>
          <w:rFonts w:hint="eastAsia"/>
          <w:color w:val="000000"/>
        </w:rPr>
        <w:t>決</w:t>
      </w:r>
      <w:r w:rsidRPr="005E5FCF">
        <w:rPr>
          <w:rFonts w:hint="eastAsia"/>
          <w:color w:val="000000"/>
        </w:rPr>
        <w:t>算評估報告目錄</w:t>
      </w:r>
      <w:r w:rsidR="00390582">
        <w:rPr>
          <w:rFonts w:hint="eastAsia"/>
          <w:color w:val="000000"/>
        </w:rPr>
        <w:t xml:space="preserve">                                      </w:t>
      </w:r>
      <w:r w:rsidR="00390582" w:rsidRPr="00390582">
        <w:rPr>
          <w:rFonts w:hint="eastAsia"/>
          <w:color w:val="000000"/>
          <w:sz w:val="24"/>
        </w:rPr>
        <w:t>頁次</w:t>
      </w:r>
    </w:p>
    <w:p w:rsidR="003F119C" w:rsidRDefault="008C67F3" w:rsidP="000F6B58">
      <w:pPr>
        <w:pStyle w:val="24"/>
        <w:ind w:left="487" w:rightChars="149" w:right="422" w:hanging="487"/>
        <w:rPr>
          <w:rFonts w:ascii="Aptos" w:eastAsia="新細明體" w:hAnsi="Aptos"/>
          <w:noProof/>
          <w:snapToGrid/>
          <w:szCs w:val="24"/>
        </w:rPr>
      </w:pPr>
      <w:r w:rsidRPr="005E5FCF">
        <w:rPr>
          <w:color w:val="000000"/>
          <w:szCs w:val="24"/>
        </w:rPr>
        <w:fldChar w:fldCharType="begin"/>
      </w:r>
      <w:r w:rsidR="00E92BAD" w:rsidRPr="005E5FCF">
        <w:rPr>
          <w:color w:val="000000"/>
          <w:szCs w:val="24"/>
        </w:rPr>
        <w:instrText xml:space="preserve"> TOC \h \z \t "第二層(14號字),2,第一層(14號字),1" </w:instrText>
      </w:r>
      <w:r w:rsidRPr="005E5FCF">
        <w:rPr>
          <w:color w:val="000000"/>
          <w:szCs w:val="24"/>
        </w:rPr>
        <w:fldChar w:fldCharType="separate"/>
      </w:r>
      <w:hyperlink w:anchor="_Toc217892220" w:history="1">
        <w:r w:rsidR="003F119C" w:rsidRPr="00DC3AE8">
          <w:rPr>
            <w:rStyle w:val="af"/>
            <w:rFonts w:hint="eastAsia"/>
            <w:noProof/>
          </w:rPr>
          <w:t>一、近年金融消費評議中心受理之銀行業申訴及評議案件概呈增加，</w:t>
        </w:r>
        <w:r w:rsidR="003F119C" w:rsidRPr="00DC3AE8">
          <w:rPr>
            <w:rStyle w:val="af"/>
            <w:noProof/>
          </w:rPr>
          <w:t>113</w:t>
        </w:r>
        <w:r w:rsidR="003F119C" w:rsidRPr="00DC3AE8">
          <w:rPr>
            <w:rStyle w:val="af"/>
            <w:rFonts w:hint="eastAsia"/>
            <w:noProof/>
          </w:rPr>
          <w:t>年其占整體金融業之比率係</w:t>
        </w:r>
        <w:r w:rsidR="003F119C" w:rsidRPr="00DC3AE8">
          <w:rPr>
            <w:rStyle w:val="af"/>
            <w:noProof/>
          </w:rPr>
          <w:t>110</w:t>
        </w:r>
        <w:r w:rsidR="003F119C" w:rsidRPr="00DC3AE8">
          <w:rPr>
            <w:rStyle w:val="af"/>
            <w:rFonts w:hint="eastAsia"/>
            <w:noProof/>
          </w:rPr>
          <w:t>年以來最高，允宜督導業者落實相關措施並持續精進，俾保障消費者權益</w:t>
        </w:r>
        <w:r w:rsidR="003F119C">
          <w:rPr>
            <w:noProof/>
            <w:webHidden/>
          </w:rPr>
          <w:tab/>
        </w:r>
        <w:r w:rsidR="003F119C">
          <w:rPr>
            <w:noProof/>
            <w:webHidden/>
          </w:rPr>
          <w:fldChar w:fldCharType="begin"/>
        </w:r>
        <w:r w:rsidR="003F119C">
          <w:rPr>
            <w:noProof/>
            <w:webHidden/>
          </w:rPr>
          <w:instrText xml:space="preserve"> PAGEREF _Toc217892220 \h </w:instrText>
        </w:r>
        <w:r w:rsidR="003F119C">
          <w:rPr>
            <w:noProof/>
            <w:webHidden/>
          </w:rPr>
        </w:r>
        <w:r w:rsidR="003F119C">
          <w:rPr>
            <w:noProof/>
            <w:webHidden/>
          </w:rPr>
          <w:fldChar w:fldCharType="separate"/>
        </w:r>
        <w:r w:rsidR="00AD2C8B">
          <w:rPr>
            <w:noProof/>
            <w:webHidden/>
          </w:rPr>
          <w:t>1</w:t>
        </w:r>
        <w:r w:rsidR="003F119C">
          <w:rPr>
            <w:noProof/>
            <w:webHidden/>
          </w:rPr>
          <w:fldChar w:fldCharType="end"/>
        </w:r>
      </w:hyperlink>
    </w:p>
    <w:p w:rsidR="003F119C" w:rsidRDefault="003F119C" w:rsidP="000F6B58">
      <w:pPr>
        <w:pStyle w:val="24"/>
        <w:ind w:left="487" w:rightChars="149" w:right="422" w:hanging="487"/>
        <w:rPr>
          <w:rFonts w:ascii="Aptos" w:eastAsia="新細明體" w:hAnsi="Aptos"/>
          <w:noProof/>
          <w:snapToGrid/>
          <w:szCs w:val="24"/>
        </w:rPr>
      </w:pPr>
      <w:hyperlink w:anchor="_Toc217892221" w:history="1">
        <w:r w:rsidRPr="00DC3AE8">
          <w:rPr>
            <w:rStyle w:val="af"/>
            <w:rFonts w:hint="eastAsia"/>
            <w:noProof/>
          </w:rPr>
          <w:t>二、辦公室及會議室改善工程與外牆修繕工程</w:t>
        </w:r>
        <w:r w:rsidRPr="00DC3AE8">
          <w:rPr>
            <w:rStyle w:val="af"/>
            <w:noProof/>
          </w:rPr>
          <w:t>113</w:t>
        </w:r>
        <w:r w:rsidRPr="00DC3AE8">
          <w:rPr>
            <w:rStyle w:val="af"/>
            <w:rFonts w:hint="eastAsia"/>
            <w:noProof/>
          </w:rPr>
          <w:t>年度保留比率偏高，允宜審慎管控執行進度，俾工程如期如質完工，嗣後類此案件亦宜衡酌執行量能覈實編列預算</w:t>
        </w:r>
        <w:r>
          <w:rPr>
            <w:noProof/>
            <w:webHidden/>
          </w:rPr>
          <w:tab/>
        </w:r>
        <w:r>
          <w:rPr>
            <w:noProof/>
            <w:webHidden/>
          </w:rPr>
          <w:fldChar w:fldCharType="begin"/>
        </w:r>
        <w:r>
          <w:rPr>
            <w:noProof/>
            <w:webHidden/>
          </w:rPr>
          <w:instrText xml:space="preserve"> PAGEREF _Toc217892221 \h </w:instrText>
        </w:r>
        <w:r>
          <w:rPr>
            <w:noProof/>
            <w:webHidden/>
          </w:rPr>
        </w:r>
        <w:r>
          <w:rPr>
            <w:noProof/>
            <w:webHidden/>
          </w:rPr>
          <w:fldChar w:fldCharType="separate"/>
        </w:r>
        <w:r w:rsidR="00AD2C8B">
          <w:rPr>
            <w:noProof/>
            <w:webHidden/>
          </w:rPr>
          <w:t>3</w:t>
        </w:r>
        <w:r>
          <w:rPr>
            <w:noProof/>
            <w:webHidden/>
          </w:rPr>
          <w:fldChar w:fldCharType="end"/>
        </w:r>
      </w:hyperlink>
    </w:p>
    <w:p w:rsidR="003F119C" w:rsidRDefault="003F119C" w:rsidP="000F6B58">
      <w:pPr>
        <w:pStyle w:val="24"/>
        <w:ind w:left="487" w:rightChars="149" w:right="422" w:hanging="487"/>
        <w:rPr>
          <w:rFonts w:ascii="Aptos" w:eastAsia="新細明體" w:hAnsi="Aptos"/>
          <w:noProof/>
          <w:snapToGrid/>
          <w:szCs w:val="24"/>
        </w:rPr>
      </w:pPr>
      <w:hyperlink w:anchor="_Toc217892222" w:history="1">
        <w:r w:rsidRPr="00DC3AE8">
          <w:rPr>
            <w:rStyle w:val="af"/>
            <w:rFonts w:hint="eastAsia"/>
            <w:noProof/>
          </w:rPr>
          <w:t>三、民眾投保住宅及汽</w:t>
        </w:r>
        <w:r w:rsidRPr="00DC3AE8">
          <w:rPr>
            <w:rStyle w:val="af"/>
            <w:noProof/>
          </w:rPr>
          <w:t>(</w:t>
        </w:r>
        <w:r w:rsidRPr="00DC3AE8">
          <w:rPr>
            <w:rStyle w:val="af"/>
            <w:rFonts w:hint="eastAsia"/>
            <w:noProof/>
          </w:rPr>
          <w:t>機</w:t>
        </w:r>
        <w:r w:rsidRPr="00DC3AE8">
          <w:rPr>
            <w:rStyle w:val="af"/>
            <w:noProof/>
          </w:rPr>
          <w:t>)</w:t>
        </w:r>
        <w:r w:rsidRPr="00DC3AE8">
          <w:rPr>
            <w:rStyle w:val="af"/>
            <w:rFonts w:hint="eastAsia"/>
            <w:noProof/>
          </w:rPr>
          <w:t>車颱風、洪水險之比率偏低，鑒於全球暖化趨勢加劇，極端氣候致災事件頻仍，允宜</w:t>
        </w:r>
        <w:r w:rsidRPr="00DC3AE8">
          <w:rPr>
            <w:rStyle w:val="af"/>
            <w:rFonts w:hint="eastAsia"/>
            <w:noProof/>
          </w:rPr>
          <w:t>研</w:t>
        </w:r>
        <w:r w:rsidRPr="00DC3AE8">
          <w:rPr>
            <w:rStyle w:val="af"/>
            <w:rFonts w:hint="eastAsia"/>
            <w:noProof/>
          </w:rPr>
          <w:t>謀善策並強化宣導，俾提升對人民財產之保障，及減少政府財政負擔</w:t>
        </w:r>
        <w:r>
          <w:rPr>
            <w:noProof/>
            <w:webHidden/>
          </w:rPr>
          <w:tab/>
        </w:r>
        <w:r>
          <w:rPr>
            <w:noProof/>
            <w:webHidden/>
          </w:rPr>
          <w:fldChar w:fldCharType="begin"/>
        </w:r>
        <w:r>
          <w:rPr>
            <w:noProof/>
            <w:webHidden/>
          </w:rPr>
          <w:instrText xml:space="preserve"> PAGEREF _Toc217892222 \h </w:instrText>
        </w:r>
        <w:r>
          <w:rPr>
            <w:noProof/>
            <w:webHidden/>
          </w:rPr>
        </w:r>
        <w:r>
          <w:rPr>
            <w:noProof/>
            <w:webHidden/>
          </w:rPr>
          <w:fldChar w:fldCharType="separate"/>
        </w:r>
        <w:r w:rsidR="00AD2C8B">
          <w:rPr>
            <w:noProof/>
            <w:webHidden/>
          </w:rPr>
          <w:t>5</w:t>
        </w:r>
        <w:r>
          <w:rPr>
            <w:noProof/>
            <w:webHidden/>
          </w:rPr>
          <w:fldChar w:fldCharType="end"/>
        </w:r>
      </w:hyperlink>
    </w:p>
    <w:p w:rsidR="00E92BAD" w:rsidRPr="005E5FCF" w:rsidRDefault="008C67F3" w:rsidP="00750D96">
      <w:pPr>
        <w:pStyle w:val="24"/>
        <w:tabs>
          <w:tab w:val="clear" w:pos="8490"/>
          <w:tab w:val="right" w:leader="hyphen" w:pos="8504"/>
        </w:tabs>
        <w:ind w:left="487" w:rightChars="160" w:right="454" w:hanging="487"/>
        <w:rPr>
          <w:color w:val="000000"/>
        </w:rPr>
      </w:pPr>
      <w:r w:rsidRPr="005E5FCF">
        <w:rPr>
          <w:color w:val="000000"/>
          <w:szCs w:val="24"/>
        </w:rPr>
        <w:fldChar w:fldCharType="end"/>
      </w:r>
    </w:p>
    <w:p w:rsidR="00E92BAD" w:rsidRPr="005E5FCF" w:rsidRDefault="00E92BAD" w:rsidP="00E92BAD">
      <w:pPr>
        <w:pStyle w:val="ab"/>
        <w:tabs>
          <w:tab w:val="right" w:leader="hyphen" w:pos="8490"/>
        </w:tabs>
        <w:ind w:left="567" w:firstLine="567"/>
        <w:rPr>
          <w:rFonts w:hAnsi="標楷體"/>
          <w:color w:val="000000"/>
        </w:rPr>
        <w:sectPr w:rsidR="00E92BAD" w:rsidRPr="005E5FCF" w:rsidSect="006A4F6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E92BAD" w:rsidRPr="005E5FCF" w:rsidRDefault="00E92BAD" w:rsidP="00E92BAD">
      <w:pPr>
        <w:pStyle w:val="ab"/>
        <w:rPr>
          <w:color w:val="000000"/>
          <w:w w:val="98"/>
        </w:rPr>
      </w:pPr>
      <w:r w:rsidRPr="005E5FCF">
        <w:rPr>
          <w:color w:val="000000"/>
          <w:w w:val="98"/>
        </w:rPr>
        <w:lastRenderedPageBreak/>
        <w:t>金融監督管理委員會</w:t>
      </w:r>
      <w:r w:rsidRPr="005E5FCF">
        <w:rPr>
          <w:rFonts w:hint="eastAsia"/>
          <w:color w:val="000000"/>
          <w:w w:val="98"/>
        </w:rPr>
        <w:t>及所屬1</w:t>
      </w:r>
      <w:r w:rsidR="00A31C30">
        <w:rPr>
          <w:rFonts w:hint="eastAsia"/>
          <w:color w:val="000000"/>
          <w:w w:val="98"/>
        </w:rPr>
        <w:t>1</w:t>
      </w:r>
      <w:r w:rsidR="006E2935">
        <w:rPr>
          <w:rFonts w:hint="eastAsia"/>
          <w:color w:val="000000"/>
          <w:w w:val="98"/>
        </w:rPr>
        <w:t>3</w:t>
      </w:r>
      <w:r w:rsidRPr="005E5FCF">
        <w:rPr>
          <w:rFonts w:hint="eastAsia"/>
          <w:color w:val="000000"/>
          <w:w w:val="98"/>
        </w:rPr>
        <w:t>年度單位</w:t>
      </w:r>
      <w:r w:rsidR="009F15D2" w:rsidRPr="005E5FCF">
        <w:rPr>
          <w:rFonts w:hint="eastAsia"/>
          <w:color w:val="000000"/>
          <w:w w:val="98"/>
        </w:rPr>
        <w:t>決</w:t>
      </w:r>
      <w:r w:rsidRPr="005E5FCF">
        <w:rPr>
          <w:rFonts w:hint="eastAsia"/>
          <w:color w:val="000000"/>
          <w:w w:val="98"/>
        </w:rPr>
        <w:t>算評估報告</w:t>
      </w:r>
    </w:p>
    <w:p w:rsidR="00C87DCA" w:rsidRPr="00DD5769" w:rsidRDefault="00A31C30" w:rsidP="00C87DCA">
      <w:pPr>
        <w:pStyle w:val="14"/>
        <w:ind w:left="567" w:hanging="567"/>
        <w:rPr>
          <w:rFonts w:hint="eastAsia"/>
        </w:rPr>
      </w:pPr>
      <w:bookmarkStart w:id="1" w:name="_Toc85212331"/>
      <w:bookmarkStart w:id="2" w:name="_Toc399520026"/>
      <w:bookmarkStart w:id="3" w:name="_Toc431400690"/>
      <w:bookmarkStart w:id="4" w:name="_Toc217892220"/>
      <w:r>
        <w:rPr>
          <w:rFonts w:hint="eastAsia"/>
        </w:rPr>
        <w:t>一</w:t>
      </w:r>
      <w:r w:rsidRPr="00DD5769">
        <w:rPr>
          <w:rFonts w:hint="eastAsia"/>
        </w:rPr>
        <w:t>、</w:t>
      </w:r>
      <w:bookmarkEnd w:id="1"/>
      <w:r w:rsidR="00C87DCA" w:rsidRPr="00C87DCA">
        <w:rPr>
          <w:rFonts w:hint="eastAsia"/>
        </w:rPr>
        <w:t>近年金融消費評議中心受理之銀行業申訴及評議案件概呈增加，</w:t>
      </w:r>
      <w:r w:rsidR="00F0296D" w:rsidRPr="00C87DCA">
        <w:rPr>
          <w:rFonts w:hint="eastAsia"/>
        </w:rPr>
        <w:t>113年</w:t>
      </w:r>
      <w:r w:rsidR="00C87DCA" w:rsidRPr="00C87DCA">
        <w:rPr>
          <w:rFonts w:hint="eastAsia"/>
        </w:rPr>
        <w:t>其占整體金融業之比</w:t>
      </w:r>
      <w:r w:rsidR="00C87DCA" w:rsidRPr="009628F3">
        <w:rPr>
          <w:rFonts w:hint="eastAsia"/>
        </w:rPr>
        <w:t>率</w:t>
      </w:r>
      <w:r w:rsidR="009628F3" w:rsidRPr="009628F3">
        <w:rPr>
          <w:rFonts w:hint="eastAsia"/>
        </w:rPr>
        <w:t>係110年以來最高</w:t>
      </w:r>
      <w:r w:rsidR="00560834" w:rsidRPr="009628F3">
        <w:rPr>
          <w:rFonts w:hint="eastAsia"/>
        </w:rPr>
        <w:t>，</w:t>
      </w:r>
      <w:r w:rsidR="00560834" w:rsidRPr="00D64EE0">
        <w:rPr>
          <w:rFonts w:hint="eastAsia"/>
        </w:rPr>
        <w:t>允宜</w:t>
      </w:r>
      <w:r w:rsidR="00306DB9">
        <w:rPr>
          <w:rFonts w:hint="eastAsia"/>
        </w:rPr>
        <w:t>督導</w:t>
      </w:r>
      <w:r w:rsidR="00560834" w:rsidRPr="00D64EE0">
        <w:rPr>
          <w:rFonts w:hint="eastAsia"/>
        </w:rPr>
        <w:t>業者</w:t>
      </w:r>
      <w:r w:rsidR="00306DB9">
        <w:rPr>
          <w:rFonts w:hint="eastAsia"/>
        </w:rPr>
        <w:t>落實相關措施並</w:t>
      </w:r>
      <w:r w:rsidR="00BE7CDF">
        <w:rPr>
          <w:rFonts w:hint="eastAsia"/>
        </w:rPr>
        <w:t>持續精進</w:t>
      </w:r>
      <w:r w:rsidR="00AF5BE7">
        <w:rPr>
          <w:rFonts w:hint="eastAsia"/>
        </w:rPr>
        <w:t>，俾保障</w:t>
      </w:r>
      <w:r w:rsidR="00827303">
        <w:rPr>
          <w:rFonts w:hint="eastAsia"/>
        </w:rPr>
        <w:t>消費者</w:t>
      </w:r>
      <w:r w:rsidR="00AF5BE7">
        <w:rPr>
          <w:rFonts w:hint="eastAsia"/>
        </w:rPr>
        <w:t>權益</w:t>
      </w:r>
      <w:bookmarkEnd w:id="4"/>
      <w:r w:rsidR="00AF5BE7" w:rsidRPr="00DD5769">
        <w:rPr>
          <w:rFonts w:hint="eastAsia"/>
        </w:rPr>
        <w:t xml:space="preserve"> </w:t>
      </w:r>
    </w:p>
    <w:p w:rsidR="00D33D78" w:rsidRDefault="00D33D78" w:rsidP="00140075">
      <w:pPr>
        <w:ind w:left="566" w:firstLine="566"/>
      </w:pPr>
      <w:r w:rsidRPr="00827E96">
        <w:rPr>
          <w:rFonts w:hint="eastAsia"/>
        </w:rPr>
        <w:t>銀行局1</w:t>
      </w:r>
      <w:r w:rsidRPr="00827E96">
        <w:t>1</w:t>
      </w:r>
      <w:r w:rsidR="0017576D">
        <w:rPr>
          <w:rFonts w:hint="eastAsia"/>
        </w:rPr>
        <w:t>3</w:t>
      </w:r>
      <w:r w:rsidRPr="00827E96">
        <w:rPr>
          <w:rFonts w:hint="eastAsia"/>
        </w:rPr>
        <w:t>年度「銀行監理」預算數</w:t>
      </w:r>
      <w:r w:rsidR="007210F1">
        <w:rPr>
          <w:rFonts w:hint="eastAsia"/>
        </w:rPr>
        <w:t>756</w:t>
      </w:r>
      <w:r w:rsidRPr="00827E96">
        <w:rPr>
          <w:rFonts w:hint="eastAsia"/>
        </w:rPr>
        <w:t>萬</w:t>
      </w:r>
      <w:r w:rsidR="007210F1">
        <w:rPr>
          <w:rFonts w:hint="eastAsia"/>
        </w:rPr>
        <w:t>2</w:t>
      </w:r>
      <w:r w:rsidRPr="00827E96">
        <w:rPr>
          <w:rFonts w:hint="eastAsia"/>
        </w:rPr>
        <w:t>千元</w:t>
      </w:r>
      <w:r w:rsidR="00140075" w:rsidRPr="00827E96">
        <w:rPr>
          <w:rFonts w:hint="eastAsia"/>
        </w:rPr>
        <w:t>，</w:t>
      </w:r>
      <w:r w:rsidRPr="00827E96">
        <w:rPr>
          <w:rFonts w:hint="eastAsia"/>
        </w:rPr>
        <w:t>決算數為</w:t>
      </w:r>
      <w:r w:rsidR="007210F1">
        <w:rPr>
          <w:rFonts w:hint="eastAsia"/>
        </w:rPr>
        <w:t>742</w:t>
      </w:r>
      <w:r w:rsidRPr="00827E96">
        <w:rPr>
          <w:rFonts w:hint="eastAsia"/>
        </w:rPr>
        <w:t>萬元</w:t>
      </w:r>
      <w:r w:rsidR="002C428B" w:rsidRPr="00827E96">
        <w:rPr>
          <w:rFonts w:hint="eastAsia"/>
        </w:rPr>
        <w:t>(執行率</w:t>
      </w:r>
      <w:r w:rsidR="000033D9">
        <w:rPr>
          <w:rFonts w:hint="eastAsia"/>
        </w:rPr>
        <w:t>9</w:t>
      </w:r>
      <w:r w:rsidR="007210F1">
        <w:rPr>
          <w:rFonts w:hint="eastAsia"/>
        </w:rPr>
        <w:t>8.1</w:t>
      </w:r>
      <w:r w:rsidR="002E2614">
        <w:rPr>
          <w:rFonts w:hint="eastAsia"/>
        </w:rPr>
        <w:t>2</w:t>
      </w:r>
      <w:r w:rsidR="002C428B" w:rsidRPr="00827E96">
        <w:rPr>
          <w:rFonts w:hint="eastAsia"/>
        </w:rPr>
        <w:t>%)</w:t>
      </w:r>
      <w:r w:rsidRPr="00827E96">
        <w:rPr>
          <w:rFonts w:hint="eastAsia"/>
        </w:rPr>
        <w:t>，</w:t>
      </w:r>
      <w:r w:rsidR="000E2A57" w:rsidRPr="00827E96">
        <w:rPr>
          <w:rFonts w:hint="eastAsia"/>
        </w:rPr>
        <w:t>主要係為健全銀行業務之管理，強化主管機關功能，維護市場紀律及對銀行之監督管理及其法令制度之研究、擬訂、修正等經費</w:t>
      </w:r>
      <w:r w:rsidRPr="00827E96">
        <w:rPr>
          <w:rFonts w:hint="eastAsia"/>
        </w:rPr>
        <w:t>。經查：</w:t>
      </w:r>
    </w:p>
    <w:p w:rsidR="00F92877" w:rsidRPr="00560834" w:rsidRDefault="00F92877" w:rsidP="00F92877">
      <w:pPr>
        <w:pStyle w:val="a4"/>
        <w:ind w:left="849" w:hanging="283"/>
        <w:rPr>
          <w:b/>
          <w:bCs/>
        </w:rPr>
      </w:pPr>
      <w:r w:rsidRPr="00560834">
        <w:rPr>
          <w:rFonts w:hint="eastAsia"/>
          <w:b/>
          <w:bCs/>
        </w:rPr>
        <w:t>(一)</w:t>
      </w:r>
      <w:r>
        <w:rPr>
          <w:rFonts w:hint="eastAsia"/>
          <w:b/>
          <w:bCs/>
        </w:rPr>
        <w:t>近</w:t>
      </w:r>
      <w:r w:rsidRPr="00560834">
        <w:rPr>
          <w:rFonts w:hint="eastAsia"/>
          <w:b/>
          <w:bCs/>
        </w:rPr>
        <w:t>年金融消費評議中心所受理與銀行業相關之申訴</w:t>
      </w:r>
      <w:r>
        <w:rPr>
          <w:rFonts w:hint="eastAsia"/>
          <w:b/>
          <w:bCs/>
        </w:rPr>
        <w:t>及</w:t>
      </w:r>
      <w:r w:rsidRPr="00560834">
        <w:rPr>
          <w:rFonts w:hint="eastAsia"/>
          <w:b/>
          <w:bCs/>
        </w:rPr>
        <w:t>評議案件概呈增加，</w:t>
      </w:r>
      <w:r w:rsidR="00F0296D" w:rsidRPr="00C32058">
        <w:rPr>
          <w:rFonts w:hint="eastAsia"/>
          <w:b/>
          <w:bCs/>
        </w:rPr>
        <w:t>113年</w:t>
      </w:r>
      <w:r w:rsidRPr="00560834">
        <w:rPr>
          <w:rFonts w:hint="eastAsia"/>
          <w:b/>
          <w:bCs/>
        </w:rPr>
        <w:t>其占整體金融業</w:t>
      </w:r>
      <w:r w:rsidRPr="00C32058">
        <w:rPr>
          <w:rFonts w:hint="eastAsia"/>
          <w:b/>
          <w:bCs/>
        </w:rPr>
        <w:t>之比率分別</w:t>
      </w:r>
      <w:r>
        <w:rPr>
          <w:rFonts w:hint="eastAsia"/>
          <w:b/>
          <w:bCs/>
        </w:rPr>
        <w:t>增加至</w:t>
      </w:r>
      <w:r w:rsidRPr="00C32058">
        <w:rPr>
          <w:rFonts w:hint="eastAsia"/>
          <w:b/>
          <w:bCs/>
        </w:rPr>
        <w:t>20.84%及1</w:t>
      </w:r>
      <w:r w:rsidRPr="00C32058">
        <w:rPr>
          <w:b/>
          <w:bCs/>
        </w:rPr>
        <w:t>6.01</w:t>
      </w:r>
      <w:r w:rsidRPr="00C32058">
        <w:rPr>
          <w:rFonts w:hint="eastAsia"/>
          <w:b/>
          <w:bCs/>
        </w:rPr>
        <w:t>%，係</w:t>
      </w:r>
      <w:r w:rsidR="00CF61A1">
        <w:rPr>
          <w:rFonts w:hint="eastAsia"/>
          <w:b/>
          <w:bCs/>
        </w:rPr>
        <w:t>110</w:t>
      </w:r>
      <w:r w:rsidRPr="00C32058">
        <w:rPr>
          <w:rFonts w:hint="eastAsia"/>
          <w:b/>
          <w:bCs/>
        </w:rPr>
        <w:t>年</w:t>
      </w:r>
      <w:r w:rsidR="009628F3">
        <w:rPr>
          <w:rFonts w:hint="eastAsia"/>
          <w:b/>
          <w:bCs/>
        </w:rPr>
        <w:t>以</w:t>
      </w:r>
      <w:r w:rsidRPr="00C32058">
        <w:rPr>
          <w:rFonts w:hint="eastAsia"/>
          <w:b/>
          <w:bCs/>
        </w:rPr>
        <w:t>來最高</w:t>
      </w:r>
    </w:p>
    <w:p w:rsidR="00F92877" w:rsidRDefault="00F92877" w:rsidP="00F92877">
      <w:pPr>
        <w:pStyle w:val="22"/>
        <w:ind w:left="850" w:firstLine="566"/>
      </w:pPr>
      <w:r w:rsidRPr="00334F28">
        <w:rPr>
          <w:rFonts w:hint="eastAsia"/>
        </w:rPr>
        <w:t>檢視近年(108至113年</w:t>
      </w:r>
      <w:r>
        <w:rPr>
          <w:rFonts w:hint="eastAsia"/>
        </w:rPr>
        <w:t>，以下同</w:t>
      </w:r>
      <w:r w:rsidRPr="00334F28">
        <w:rPr>
          <w:rFonts w:hint="eastAsia"/>
        </w:rPr>
        <w:t>)財團法人金融消費評議中心(以下簡稱金融消費評議中心)所受理之銀行業申訴案件，109年較108年增加537件，110至111年間</w:t>
      </w:r>
      <w:r w:rsidR="00F0296D">
        <w:rPr>
          <w:rFonts w:hint="eastAsia"/>
        </w:rPr>
        <w:t>雖</w:t>
      </w:r>
      <w:r w:rsidRPr="00334F28">
        <w:rPr>
          <w:rFonts w:hint="eastAsia"/>
        </w:rPr>
        <w:t>下降，惟112</w:t>
      </w:r>
      <w:r>
        <w:rPr>
          <w:rFonts w:hint="eastAsia"/>
        </w:rPr>
        <w:t>年再</w:t>
      </w:r>
      <w:r w:rsidRPr="00334F28">
        <w:rPr>
          <w:rFonts w:hint="eastAsia"/>
        </w:rPr>
        <w:t>反轉上升，</w:t>
      </w:r>
      <w:r w:rsidR="00F0296D" w:rsidRPr="00334F28">
        <w:rPr>
          <w:rFonts w:hint="eastAsia"/>
        </w:rPr>
        <w:t>113年續增至2,</w:t>
      </w:r>
      <w:r w:rsidR="00F0296D" w:rsidRPr="00334F28">
        <w:t>960件</w:t>
      </w:r>
      <w:r w:rsidR="00F0296D" w:rsidRPr="00334F28">
        <w:rPr>
          <w:rFonts w:hint="eastAsia"/>
        </w:rPr>
        <w:t>，</w:t>
      </w:r>
      <w:r w:rsidRPr="00334F28">
        <w:rPr>
          <w:rFonts w:hint="eastAsia"/>
        </w:rPr>
        <w:t>較111年申訴案件數增加1</w:t>
      </w:r>
      <w:r w:rsidRPr="00334F28">
        <w:t>,</w:t>
      </w:r>
      <w:r w:rsidRPr="00334F28">
        <w:rPr>
          <w:rFonts w:hint="eastAsia"/>
        </w:rPr>
        <w:t>4</w:t>
      </w:r>
      <w:r w:rsidR="00F0296D">
        <w:rPr>
          <w:rFonts w:hint="eastAsia"/>
        </w:rPr>
        <w:t>62</w:t>
      </w:r>
      <w:r w:rsidRPr="00334F28">
        <w:rPr>
          <w:rFonts w:hint="eastAsia"/>
        </w:rPr>
        <w:t>件，增幅達</w:t>
      </w:r>
      <w:r w:rsidR="00F0296D">
        <w:rPr>
          <w:rFonts w:hint="eastAsia"/>
        </w:rPr>
        <w:t>97.6</w:t>
      </w:r>
      <w:r w:rsidRPr="00334F28">
        <w:rPr>
          <w:rFonts w:hint="eastAsia"/>
        </w:rPr>
        <w:t>%</w:t>
      </w:r>
      <w:r w:rsidRPr="00334F28">
        <w:t>；</w:t>
      </w:r>
      <w:r w:rsidRPr="00334F28">
        <w:rPr>
          <w:rFonts w:hint="eastAsia"/>
        </w:rPr>
        <w:t>復就該中心於上開期間所受理消費者不接受申訴處理結果或業者逾申訴處理期限仍未處理而提起評議之案件</w:t>
      </w:r>
      <w:r>
        <w:rPr>
          <w:rStyle w:val="af7"/>
        </w:rPr>
        <w:footnoteReference w:id="2"/>
      </w:r>
      <w:r w:rsidRPr="00334F28">
        <w:rPr>
          <w:rFonts w:hint="eastAsia"/>
        </w:rPr>
        <w:t>分析，亦概呈增加趨勢，僅110年減少</w:t>
      </w:r>
      <w:r>
        <w:rPr>
          <w:rFonts w:hint="eastAsia"/>
        </w:rPr>
        <w:t>，餘各年度評議案件數皆較前</w:t>
      </w:r>
      <w:r w:rsidRPr="00334F28">
        <w:rPr>
          <w:rFonts w:hint="eastAsia"/>
        </w:rPr>
        <w:t>一年度增加</w:t>
      </w:r>
      <w:r w:rsidR="00F0296D">
        <w:rPr>
          <w:rFonts w:hint="eastAsia"/>
        </w:rPr>
        <w:t>。</w:t>
      </w:r>
      <w:r w:rsidRPr="00334F28">
        <w:rPr>
          <w:rFonts w:hint="eastAsia"/>
        </w:rPr>
        <w:t>113年該中心所受理與銀行業相關之申訴及評議案件數占整體金融業之比</w:t>
      </w:r>
      <w:r>
        <w:rPr>
          <w:rFonts w:hint="eastAsia"/>
        </w:rPr>
        <w:t>率</w:t>
      </w:r>
      <w:r w:rsidRPr="00334F28">
        <w:rPr>
          <w:rFonts w:hint="eastAsia"/>
        </w:rPr>
        <w:t>分別</w:t>
      </w:r>
      <w:r w:rsidR="009628F3">
        <w:rPr>
          <w:rFonts w:hint="eastAsia"/>
        </w:rPr>
        <w:t>為</w:t>
      </w:r>
      <w:r w:rsidRPr="00334F28">
        <w:rPr>
          <w:rFonts w:hint="eastAsia"/>
        </w:rPr>
        <w:t>20.84%及1</w:t>
      </w:r>
      <w:r w:rsidRPr="00334F28">
        <w:t>6.01</w:t>
      </w:r>
      <w:r w:rsidRPr="00334F28">
        <w:rPr>
          <w:rFonts w:hint="eastAsia"/>
        </w:rPr>
        <w:t>%，係</w:t>
      </w:r>
      <w:r w:rsidR="00CF61A1">
        <w:rPr>
          <w:rFonts w:hint="eastAsia"/>
        </w:rPr>
        <w:t>110</w:t>
      </w:r>
      <w:r>
        <w:rPr>
          <w:rFonts w:hint="eastAsia"/>
        </w:rPr>
        <w:t>年</w:t>
      </w:r>
      <w:r w:rsidR="009628F3">
        <w:rPr>
          <w:rFonts w:hint="eastAsia"/>
        </w:rPr>
        <w:t>以</w:t>
      </w:r>
      <w:r>
        <w:rPr>
          <w:rFonts w:hint="eastAsia"/>
        </w:rPr>
        <w:t>來</w:t>
      </w:r>
      <w:r w:rsidRPr="00334F28">
        <w:rPr>
          <w:rFonts w:hint="eastAsia"/>
        </w:rPr>
        <w:t>最高</w:t>
      </w:r>
      <w:r w:rsidR="006C4C80">
        <w:rPr>
          <w:rFonts w:hint="eastAsia"/>
        </w:rPr>
        <w:t>(詳表1)</w:t>
      </w:r>
      <w:r w:rsidRPr="00334F28">
        <w:t>。</w:t>
      </w:r>
    </w:p>
    <w:p w:rsidR="001F7141" w:rsidRPr="00334F28" w:rsidRDefault="001F7141" w:rsidP="00F92877">
      <w:pPr>
        <w:pStyle w:val="22"/>
        <w:ind w:left="850" w:firstLine="566"/>
        <w:rPr>
          <w:rFonts w:hint="eastAsia"/>
        </w:rPr>
      </w:pPr>
    </w:p>
    <w:p w:rsidR="00560834" w:rsidRDefault="00560834" w:rsidP="00560834">
      <w:pPr>
        <w:pStyle w:val="22"/>
        <w:spacing w:beforeLines="20" w:before="100" w:line="360" w:lineRule="exact"/>
        <w:ind w:leftChars="-50" w:left="652" w:rightChars="-100" w:right="-283" w:hangingChars="280" w:hanging="794"/>
        <w:rPr>
          <w:sz w:val="24"/>
          <w:szCs w:val="24"/>
        </w:rPr>
      </w:pPr>
      <w:r w:rsidRPr="002A5CD3">
        <w:rPr>
          <w:rFonts w:hint="eastAsia"/>
          <w:b/>
        </w:rPr>
        <w:lastRenderedPageBreak/>
        <w:t>表1</w:t>
      </w:r>
      <w:r>
        <w:rPr>
          <w:rFonts w:hint="eastAsia"/>
          <w:b/>
        </w:rPr>
        <w:t xml:space="preserve">  </w:t>
      </w:r>
      <w:r w:rsidR="00F0296D">
        <w:rPr>
          <w:rFonts w:hint="eastAsia"/>
          <w:b/>
        </w:rPr>
        <w:t>108至113年</w:t>
      </w:r>
      <w:r w:rsidRPr="006B72B9">
        <w:rPr>
          <w:rFonts w:hint="eastAsia"/>
          <w:b/>
        </w:rPr>
        <w:t>金融消費評議中心</w:t>
      </w:r>
      <w:r>
        <w:rPr>
          <w:rFonts w:hint="eastAsia"/>
          <w:b/>
        </w:rPr>
        <w:t>所受理銀行業</w:t>
      </w:r>
      <w:r w:rsidRPr="00A9217D">
        <w:rPr>
          <w:rFonts w:hint="eastAsia"/>
          <w:b/>
        </w:rPr>
        <w:t>之申訴</w:t>
      </w:r>
      <w:r>
        <w:rPr>
          <w:rFonts w:hint="eastAsia"/>
          <w:b/>
        </w:rPr>
        <w:t>、</w:t>
      </w:r>
      <w:r w:rsidRPr="00A9217D">
        <w:rPr>
          <w:rFonts w:hint="eastAsia"/>
          <w:b/>
        </w:rPr>
        <w:t>評議案件概況</w:t>
      </w:r>
      <w:r>
        <w:rPr>
          <w:rFonts w:hint="eastAsia"/>
          <w:b/>
        </w:rPr>
        <w:t xml:space="preserve">表                                      </w:t>
      </w:r>
      <w:r w:rsidR="00F0296D">
        <w:rPr>
          <w:rFonts w:hint="eastAsia"/>
          <w:b/>
        </w:rPr>
        <w:t xml:space="preserve">  </w:t>
      </w:r>
      <w:r>
        <w:rPr>
          <w:rFonts w:hint="eastAsia"/>
          <w:b/>
        </w:rPr>
        <w:t xml:space="preserve"> </w:t>
      </w:r>
      <w:r>
        <w:rPr>
          <w:b/>
        </w:rPr>
        <w:t xml:space="preserve">  </w:t>
      </w:r>
      <w:r>
        <w:rPr>
          <w:rFonts w:hint="eastAsia"/>
          <w:b/>
        </w:rPr>
        <w:t xml:space="preserve"> </w:t>
      </w:r>
      <w:r>
        <w:rPr>
          <w:rFonts w:hint="eastAsia"/>
          <w:sz w:val="24"/>
          <w:szCs w:val="24"/>
        </w:rPr>
        <w:t>單</w:t>
      </w:r>
      <w:r w:rsidRPr="00E977AC">
        <w:rPr>
          <w:rFonts w:hint="eastAsia"/>
          <w:sz w:val="24"/>
          <w:szCs w:val="24"/>
        </w:rPr>
        <w:t>位：</w:t>
      </w:r>
      <w:r>
        <w:rPr>
          <w:rFonts w:hint="eastAsia"/>
          <w:sz w:val="24"/>
          <w:szCs w:val="24"/>
        </w:rPr>
        <w:t>件；%</w:t>
      </w:r>
    </w:p>
    <w:tbl>
      <w:tblPr>
        <w:tblW w:w="8931"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993"/>
        <w:gridCol w:w="1204"/>
        <w:gridCol w:w="1205"/>
        <w:gridCol w:w="1205"/>
        <w:gridCol w:w="1205"/>
        <w:gridCol w:w="1205"/>
        <w:gridCol w:w="1205"/>
      </w:tblGrid>
      <w:tr w:rsidR="00F4222A" w:rsidRPr="00A17118" w:rsidTr="00DE7AAF">
        <w:trPr>
          <w:cantSplit/>
          <w:trHeight w:val="524"/>
        </w:trPr>
        <w:tc>
          <w:tcPr>
            <w:tcW w:w="1702" w:type="dxa"/>
            <w:gridSpan w:val="2"/>
            <w:tcBorders>
              <w:top w:val="single" w:sz="12" w:space="0" w:color="auto"/>
              <w:left w:val="single" w:sz="12" w:space="0" w:color="auto"/>
              <w:bottom w:val="single" w:sz="6" w:space="0" w:color="auto"/>
              <w:right w:val="single" w:sz="6" w:space="0" w:color="auto"/>
              <w:tl2br w:val="single" w:sz="4" w:space="0" w:color="auto"/>
            </w:tcBorders>
          </w:tcPr>
          <w:p w:rsidR="00F4222A" w:rsidRPr="007E1A7F" w:rsidRDefault="00F4222A" w:rsidP="00A6311A">
            <w:pPr>
              <w:pStyle w:val="142"/>
              <w:rPr>
                <w:b/>
              </w:rPr>
            </w:pPr>
            <w:r w:rsidRPr="007E1A7F">
              <w:rPr>
                <w:rFonts w:hint="eastAsia"/>
                <w:b/>
              </w:rPr>
              <w:t xml:space="preserve">        年度</w:t>
            </w:r>
          </w:p>
          <w:p w:rsidR="00F4222A" w:rsidRPr="007E1A7F" w:rsidRDefault="00F4222A" w:rsidP="00A6311A">
            <w:pPr>
              <w:pStyle w:val="142"/>
              <w:rPr>
                <w:b/>
              </w:rPr>
            </w:pPr>
            <w:r w:rsidRPr="007E1A7F">
              <w:rPr>
                <w:rFonts w:hint="eastAsia"/>
                <w:b/>
              </w:rPr>
              <w:t>案件</w:t>
            </w:r>
          </w:p>
        </w:tc>
        <w:tc>
          <w:tcPr>
            <w:tcW w:w="1204" w:type="dxa"/>
            <w:tcBorders>
              <w:top w:val="single" w:sz="12" w:space="0" w:color="auto"/>
              <w:left w:val="single" w:sz="6" w:space="0" w:color="auto"/>
              <w:bottom w:val="single" w:sz="6" w:space="0" w:color="auto"/>
              <w:right w:val="single" w:sz="6" w:space="0" w:color="auto"/>
            </w:tcBorders>
            <w:vAlign w:val="center"/>
          </w:tcPr>
          <w:p w:rsidR="00F4222A" w:rsidRPr="007E1A7F" w:rsidRDefault="00F4222A" w:rsidP="00A6311A">
            <w:pPr>
              <w:pStyle w:val="142"/>
              <w:jc w:val="center"/>
              <w:rPr>
                <w:b/>
              </w:rPr>
            </w:pPr>
            <w:r w:rsidRPr="007E1A7F">
              <w:rPr>
                <w:rFonts w:hint="eastAsia"/>
                <w:b/>
              </w:rPr>
              <w:t>108</w:t>
            </w:r>
            <w:r w:rsidRPr="007E1A7F">
              <w:rPr>
                <w:b/>
              </w:rPr>
              <w:t xml:space="preserve"> </w:t>
            </w:r>
          </w:p>
        </w:tc>
        <w:tc>
          <w:tcPr>
            <w:tcW w:w="1205" w:type="dxa"/>
            <w:tcBorders>
              <w:top w:val="single" w:sz="12" w:space="0" w:color="auto"/>
              <w:left w:val="single" w:sz="6" w:space="0" w:color="auto"/>
              <w:bottom w:val="single" w:sz="6" w:space="0" w:color="auto"/>
              <w:right w:val="single" w:sz="6" w:space="0" w:color="auto"/>
            </w:tcBorders>
            <w:vAlign w:val="center"/>
          </w:tcPr>
          <w:p w:rsidR="00F4222A" w:rsidRPr="007E1A7F" w:rsidRDefault="00F4222A" w:rsidP="00A6311A">
            <w:pPr>
              <w:pStyle w:val="142"/>
              <w:jc w:val="center"/>
              <w:rPr>
                <w:b/>
              </w:rPr>
            </w:pPr>
            <w:r w:rsidRPr="007E1A7F">
              <w:rPr>
                <w:rFonts w:hint="eastAsia"/>
                <w:b/>
              </w:rPr>
              <w:t>109</w:t>
            </w:r>
            <w:r w:rsidRPr="007E1A7F">
              <w:rPr>
                <w:b/>
              </w:rPr>
              <w:t xml:space="preserve"> </w:t>
            </w:r>
          </w:p>
        </w:tc>
        <w:tc>
          <w:tcPr>
            <w:tcW w:w="1205" w:type="dxa"/>
            <w:tcBorders>
              <w:top w:val="single" w:sz="12" w:space="0" w:color="auto"/>
              <w:left w:val="single" w:sz="6" w:space="0" w:color="auto"/>
              <w:bottom w:val="single" w:sz="6" w:space="0" w:color="auto"/>
              <w:right w:val="single" w:sz="6" w:space="0" w:color="auto"/>
            </w:tcBorders>
            <w:vAlign w:val="center"/>
          </w:tcPr>
          <w:p w:rsidR="00F4222A" w:rsidRPr="007E1A7F" w:rsidRDefault="00F4222A" w:rsidP="00A6311A">
            <w:pPr>
              <w:pStyle w:val="142"/>
              <w:jc w:val="center"/>
              <w:rPr>
                <w:b/>
              </w:rPr>
            </w:pPr>
            <w:r w:rsidRPr="007E1A7F">
              <w:rPr>
                <w:rFonts w:hint="eastAsia"/>
                <w:b/>
              </w:rPr>
              <w:t>110</w:t>
            </w:r>
            <w:r w:rsidRPr="007E1A7F">
              <w:rPr>
                <w:b/>
              </w:rPr>
              <w:t xml:space="preserve"> </w:t>
            </w:r>
          </w:p>
        </w:tc>
        <w:tc>
          <w:tcPr>
            <w:tcW w:w="1205" w:type="dxa"/>
            <w:tcBorders>
              <w:top w:val="single" w:sz="12" w:space="0" w:color="auto"/>
              <w:left w:val="single" w:sz="6" w:space="0" w:color="auto"/>
              <w:bottom w:val="single" w:sz="6" w:space="0" w:color="auto"/>
              <w:right w:val="single" w:sz="6" w:space="0" w:color="auto"/>
            </w:tcBorders>
            <w:vAlign w:val="center"/>
          </w:tcPr>
          <w:p w:rsidR="00F4222A" w:rsidRPr="007E1A7F" w:rsidRDefault="00F4222A" w:rsidP="00A6311A">
            <w:pPr>
              <w:pStyle w:val="142"/>
              <w:jc w:val="center"/>
              <w:rPr>
                <w:b/>
              </w:rPr>
            </w:pPr>
            <w:r w:rsidRPr="007E1A7F">
              <w:rPr>
                <w:rFonts w:hint="eastAsia"/>
                <w:b/>
              </w:rPr>
              <w:t>111</w:t>
            </w:r>
            <w:r w:rsidRPr="007E1A7F">
              <w:rPr>
                <w:b/>
              </w:rPr>
              <w:t xml:space="preserve"> </w:t>
            </w:r>
          </w:p>
        </w:tc>
        <w:tc>
          <w:tcPr>
            <w:tcW w:w="1205" w:type="dxa"/>
            <w:tcBorders>
              <w:top w:val="single" w:sz="12" w:space="0" w:color="auto"/>
              <w:left w:val="single" w:sz="6" w:space="0" w:color="auto"/>
              <w:bottom w:val="single" w:sz="6" w:space="0" w:color="auto"/>
              <w:right w:val="single" w:sz="6" w:space="0" w:color="auto"/>
            </w:tcBorders>
            <w:vAlign w:val="center"/>
          </w:tcPr>
          <w:p w:rsidR="00F4222A" w:rsidRPr="007E1A7F" w:rsidRDefault="00F4222A" w:rsidP="00A6311A">
            <w:pPr>
              <w:pStyle w:val="142"/>
              <w:jc w:val="center"/>
              <w:rPr>
                <w:b/>
              </w:rPr>
            </w:pPr>
            <w:r w:rsidRPr="007E1A7F">
              <w:rPr>
                <w:rFonts w:hint="eastAsia"/>
                <w:b/>
              </w:rPr>
              <w:t>112</w:t>
            </w:r>
            <w:r w:rsidRPr="007E1A7F">
              <w:rPr>
                <w:b/>
              </w:rPr>
              <w:t xml:space="preserve"> </w:t>
            </w:r>
          </w:p>
        </w:tc>
        <w:tc>
          <w:tcPr>
            <w:tcW w:w="1205" w:type="dxa"/>
            <w:tcBorders>
              <w:top w:val="single" w:sz="12" w:space="0" w:color="auto"/>
              <w:left w:val="single" w:sz="6" w:space="0" w:color="auto"/>
              <w:bottom w:val="single" w:sz="6" w:space="0" w:color="auto"/>
              <w:right w:val="single" w:sz="12" w:space="0" w:color="auto"/>
            </w:tcBorders>
            <w:vAlign w:val="center"/>
          </w:tcPr>
          <w:p w:rsidR="00F4222A" w:rsidRPr="002B3D75" w:rsidRDefault="00F4222A" w:rsidP="00F4222A">
            <w:pPr>
              <w:pStyle w:val="142"/>
              <w:jc w:val="center"/>
              <w:rPr>
                <w:b/>
              </w:rPr>
            </w:pPr>
            <w:r w:rsidRPr="002B3D75">
              <w:rPr>
                <w:rFonts w:hint="eastAsia"/>
                <w:b/>
              </w:rPr>
              <w:t>113</w:t>
            </w:r>
            <w:r w:rsidRPr="002B3D75">
              <w:rPr>
                <w:b/>
              </w:rPr>
              <w:t xml:space="preserve"> </w:t>
            </w:r>
          </w:p>
        </w:tc>
      </w:tr>
      <w:tr w:rsidR="00F4222A" w:rsidRPr="00A17118" w:rsidTr="00F9123F">
        <w:trPr>
          <w:cantSplit/>
          <w:trHeight w:val="340"/>
        </w:trPr>
        <w:tc>
          <w:tcPr>
            <w:tcW w:w="709" w:type="dxa"/>
            <w:vMerge w:val="restart"/>
            <w:tcBorders>
              <w:top w:val="single" w:sz="6" w:space="0" w:color="auto"/>
              <w:left w:val="single" w:sz="12" w:space="0" w:color="auto"/>
              <w:bottom w:val="single" w:sz="6" w:space="0" w:color="auto"/>
              <w:right w:val="single" w:sz="6" w:space="0" w:color="auto"/>
            </w:tcBorders>
            <w:vAlign w:val="center"/>
          </w:tcPr>
          <w:p w:rsidR="00F4222A" w:rsidRPr="00A17118" w:rsidRDefault="00F4222A" w:rsidP="00A6311A">
            <w:pPr>
              <w:pStyle w:val="142"/>
            </w:pPr>
            <w:r>
              <w:rPr>
                <w:rFonts w:hint="eastAsia"/>
              </w:rPr>
              <w:t>申訴</w:t>
            </w:r>
          </w:p>
        </w:tc>
        <w:tc>
          <w:tcPr>
            <w:tcW w:w="993" w:type="dxa"/>
            <w:tcBorders>
              <w:top w:val="single" w:sz="6" w:space="0" w:color="auto"/>
              <w:left w:val="single" w:sz="6" w:space="0" w:color="auto"/>
              <w:bottom w:val="single" w:sz="6" w:space="0" w:color="auto"/>
              <w:right w:val="single" w:sz="6" w:space="0" w:color="auto"/>
            </w:tcBorders>
            <w:vAlign w:val="center"/>
          </w:tcPr>
          <w:p w:rsidR="00F4222A" w:rsidRPr="00A17118" w:rsidRDefault="00F4222A" w:rsidP="00135196">
            <w:pPr>
              <w:pStyle w:val="142"/>
              <w:jc w:val="center"/>
            </w:pPr>
            <w:r>
              <w:rPr>
                <w:rFonts w:hint="eastAsia"/>
              </w:rPr>
              <w:t>案件數</w:t>
            </w:r>
          </w:p>
        </w:tc>
        <w:tc>
          <w:tcPr>
            <w:tcW w:w="1204"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1,512</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2</w:t>
            </w:r>
            <w:r w:rsidRPr="00F4222A">
              <w:t>,049</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1</w:t>
            </w:r>
            <w:r w:rsidRPr="00F4222A">
              <w:t>,</w:t>
            </w:r>
            <w:r w:rsidRPr="00F4222A">
              <w:rPr>
                <w:rFonts w:hint="eastAsia"/>
              </w:rPr>
              <w:t>527</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1</w:t>
            </w:r>
            <w:r w:rsidRPr="00F4222A">
              <w:t>,498</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2,</w:t>
            </w:r>
            <w:r w:rsidRPr="00F4222A">
              <w:t>929</w:t>
            </w:r>
          </w:p>
        </w:tc>
        <w:tc>
          <w:tcPr>
            <w:tcW w:w="1205" w:type="dxa"/>
            <w:tcBorders>
              <w:top w:val="single" w:sz="6" w:space="0" w:color="auto"/>
              <w:left w:val="single" w:sz="6" w:space="0" w:color="auto"/>
              <w:bottom w:val="single" w:sz="6" w:space="0" w:color="auto"/>
              <w:right w:val="single" w:sz="12" w:space="0" w:color="auto"/>
            </w:tcBorders>
            <w:vAlign w:val="center"/>
          </w:tcPr>
          <w:p w:rsidR="00F4222A" w:rsidRPr="00F4222A" w:rsidRDefault="0076537F" w:rsidP="00F4222A">
            <w:pPr>
              <w:pStyle w:val="142"/>
              <w:jc w:val="right"/>
              <w:rPr>
                <w:rFonts w:hint="eastAsia"/>
              </w:rPr>
            </w:pPr>
            <w:r>
              <w:rPr>
                <w:rFonts w:hint="eastAsia"/>
              </w:rPr>
              <w:t>2,960</w:t>
            </w:r>
          </w:p>
        </w:tc>
      </w:tr>
      <w:tr w:rsidR="00F4222A" w:rsidRPr="00A17118" w:rsidTr="00F9123F">
        <w:trPr>
          <w:cantSplit/>
          <w:trHeight w:val="340"/>
        </w:trPr>
        <w:tc>
          <w:tcPr>
            <w:tcW w:w="709" w:type="dxa"/>
            <w:vMerge/>
            <w:tcBorders>
              <w:top w:val="single" w:sz="6" w:space="0" w:color="auto"/>
              <w:left w:val="single" w:sz="12" w:space="0" w:color="auto"/>
              <w:bottom w:val="single" w:sz="6" w:space="0" w:color="auto"/>
              <w:right w:val="single" w:sz="6" w:space="0" w:color="auto"/>
            </w:tcBorders>
            <w:vAlign w:val="center"/>
          </w:tcPr>
          <w:p w:rsidR="00F4222A" w:rsidRPr="00A17118" w:rsidRDefault="00F4222A" w:rsidP="00A6311A">
            <w:pPr>
              <w:pStyle w:val="142"/>
            </w:pPr>
          </w:p>
        </w:tc>
        <w:tc>
          <w:tcPr>
            <w:tcW w:w="993" w:type="dxa"/>
            <w:tcBorders>
              <w:top w:val="single" w:sz="6" w:space="0" w:color="auto"/>
              <w:left w:val="single" w:sz="6" w:space="0" w:color="auto"/>
              <w:bottom w:val="single" w:sz="6" w:space="0" w:color="auto"/>
              <w:right w:val="single" w:sz="6" w:space="0" w:color="auto"/>
            </w:tcBorders>
            <w:vAlign w:val="center"/>
          </w:tcPr>
          <w:p w:rsidR="00F4222A" w:rsidRPr="00A17118" w:rsidRDefault="00F4222A" w:rsidP="00135196">
            <w:pPr>
              <w:pStyle w:val="142"/>
              <w:ind w:rightChars="-11" w:right="-31"/>
              <w:jc w:val="center"/>
            </w:pPr>
            <w:r>
              <w:rPr>
                <w:rFonts w:hint="eastAsia"/>
              </w:rPr>
              <w:t>占整體金融業比率</w:t>
            </w:r>
          </w:p>
        </w:tc>
        <w:tc>
          <w:tcPr>
            <w:tcW w:w="1204"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1</w:t>
            </w:r>
            <w:r w:rsidRPr="00F4222A">
              <w:t>8.36</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2</w:t>
            </w:r>
            <w:r w:rsidRPr="00F4222A">
              <w:t>1.15</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17.24</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2</w:t>
            </w:r>
            <w:r w:rsidRPr="00F4222A">
              <w:t>.86</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1</w:t>
            </w:r>
            <w:r w:rsidRPr="00F4222A">
              <w:t>3.46</w:t>
            </w:r>
          </w:p>
        </w:tc>
        <w:tc>
          <w:tcPr>
            <w:tcW w:w="1205" w:type="dxa"/>
            <w:tcBorders>
              <w:top w:val="single" w:sz="6" w:space="0" w:color="auto"/>
              <w:left w:val="single" w:sz="6" w:space="0" w:color="auto"/>
              <w:bottom w:val="single" w:sz="6" w:space="0" w:color="auto"/>
              <w:right w:val="single" w:sz="12" w:space="0" w:color="auto"/>
            </w:tcBorders>
            <w:vAlign w:val="center"/>
          </w:tcPr>
          <w:p w:rsidR="00F4222A" w:rsidRPr="00F4222A" w:rsidRDefault="0076537F" w:rsidP="00F4222A">
            <w:pPr>
              <w:pStyle w:val="142"/>
              <w:jc w:val="right"/>
              <w:rPr>
                <w:rFonts w:hint="eastAsia"/>
              </w:rPr>
            </w:pPr>
            <w:r>
              <w:rPr>
                <w:rFonts w:hint="eastAsia"/>
              </w:rPr>
              <w:t>20.84</w:t>
            </w:r>
          </w:p>
        </w:tc>
      </w:tr>
      <w:tr w:rsidR="00F4222A" w:rsidRPr="00A17118" w:rsidTr="00F9123F">
        <w:trPr>
          <w:cantSplit/>
          <w:trHeight w:val="340"/>
        </w:trPr>
        <w:tc>
          <w:tcPr>
            <w:tcW w:w="709" w:type="dxa"/>
            <w:vMerge w:val="restart"/>
            <w:tcBorders>
              <w:top w:val="single" w:sz="6" w:space="0" w:color="auto"/>
              <w:left w:val="single" w:sz="12" w:space="0" w:color="auto"/>
              <w:bottom w:val="single" w:sz="6" w:space="0" w:color="auto"/>
              <w:right w:val="single" w:sz="6" w:space="0" w:color="auto"/>
            </w:tcBorders>
            <w:vAlign w:val="center"/>
          </w:tcPr>
          <w:p w:rsidR="00F4222A" w:rsidRPr="00A17118" w:rsidRDefault="00F4222A" w:rsidP="00A6311A">
            <w:pPr>
              <w:pStyle w:val="142"/>
            </w:pPr>
            <w:r>
              <w:rPr>
                <w:rFonts w:hint="eastAsia"/>
              </w:rPr>
              <w:t>評議</w:t>
            </w:r>
          </w:p>
        </w:tc>
        <w:tc>
          <w:tcPr>
            <w:tcW w:w="993" w:type="dxa"/>
            <w:tcBorders>
              <w:top w:val="single" w:sz="6" w:space="0" w:color="auto"/>
              <w:left w:val="single" w:sz="6" w:space="0" w:color="auto"/>
              <w:bottom w:val="single" w:sz="6" w:space="0" w:color="auto"/>
              <w:right w:val="single" w:sz="6" w:space="0" w:color="auto"/>
            </w:tcBorders>
            <w:vAlign w:val="center"/>
          </w:tcPr>
          <w:p w:rsidR="00F4222A" w:rsidRPr="00A17118" w:rsidRDefault="00F4222A" w:rsidP="00135196">
            <w:pPr>
              <w:pStyle w:val="142"/>
              <w:jc w:val="center"/>
            </w:pPr>
            <w:r>
              <w:rPr>
                <w:rFonts w:hint="eastAsia"/>
              </w:rPr>
              <w:t>案件數</w:t>
            </w:r>
          </w:p>
        </w:tc>
        <w:tc>
          <w:tcPr>
            <w:tcW w:w="1204"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3</w:t>
            </w:r>
            <w:r w:rsidRPr="00F4222A">
              <w:t>15</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4</w:t>
            </w:r>
            <w:r w:rsidRPr="00F4222A">
              <w:t>02</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334</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4</w:t>
            </w:r>
            <w:r w:rsidRPr="00F4222A">
              <w:t>06</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6</w:t>
            </w:r>
            <w:r w:rsidRPr="00F4222A">
              <w:t>65</w:t>
            </w:r>
          </w:p>
        </w:tc>
        <w:tc>
          <w:tcPr>
            <w:tcW w:w="1205" w:type="dxa"/>
            <w:tcBorders>
              <w:top w:val="single" w:sz="6" w:space="0" w:color="auto"/>
              <w:left w:val="single" w:sz="6" w:space="0" w:color="auto"/>
              <w:bottom w:val="single" w:sz="6" w:space="0" w:color="auto"/>
              <w:right w:val="single" w:sz="12" w:space="0" w:color="auto"/>
            </w:tcBorders>
            <w:vAlign w:val="center"/>
          </w:tcPr>
          <w:p w:rsidR="00F4222A" w:rsidRPr="00F4222A" w:rsidRDefault="0076537F" w:rsidP="00F4222A">
            <w:pPr>
              <w:pStyle w:val="142"/>
              <w:jc w:val="right"/>
              <w:rPr>
                <w:rFonts w:hint="eastAsia"/>
              </w:rPr>
            </w:pPr>
            <w:r>
              <w:rPr>
                <w:rFonts w:hint="eastAsia"/>
              </w:rPr>
              <w:t>873</w:t>
            </w:r>
          </w:p>
        </w:tc>
      </w:tr>
      <w:tr w:rsidR="00F4222A" w:rsidRPr="00A17118" w:rsidTr="003056A2">
        <w:trPr>
          <w:cantSplit/>
          <w:trHeight w:val="20"/>
        </w:trPr>
        <w:tc>
          <w:tcPr>
            <w:tcW w:w="709" w:type="dxa"/>
            <w:vMerge/>
            <w:tcBorders>
              <w:top w:val="single" w:sz="6" w:space="0" w:color="auto"/>
              <w:left w:val="single" w:sz="12" w:space="0" w:color="auto"/>
              <w:bottom w:val="single" w:sz="12" w:space="0" w:color="auto"/>
              <w:right w:val="single" w:sz="6" w:space="0" w:color="auto"/>
            </w:tcBorders>
            <w:vAlign w:val="center"/>
          </w:tcPr>
          <w:p w:rsidR="00F4222A" w:rsidRPr="00A17118" w:rsidRDefault="00F4222A" w:rsidP="00A6311A">
            <w:pPr>
              <w:pStyle w:val="142"/>
            </w:pPr>
          </w:p>
        </w:tc>
        <w:tc>
          <w:tcPr>
            <w:tcW w:w="993" w:type="dxa"/>
            <w:tcBorders>
              <w:top w:val="single" w:sz="6" w:space="0" w:color="auto"/>
              <w:left w:val="single" w:sz="6" w:space="0" w:color="auto"/>
              <w:bottom w:val="single" w:sz="12" w:space="0" w:color="auto"/>
              <w:right w:val="single" w:sz="6" w:space="0" w:color="auto"/>
            </w:tcBorders>
            <w:vAlign w:val="center"/>
          </w:tcPr>
          <w:p w:rsidR="00F4222A" w:rsidRPr="00A17118" w:rsidRDefault="00F4222A" w:rsidP="00135196">
            <w:pPr>
              <w:pStyle w:val="142"/>
              <w:ind w:rightChars="-11" w:right="-31"/>
              <w:jc w:val="center"/>
            </w:pPr>
            <w:r>
              <w:rPr>
                <w:rFonts w:hint="eastAsia"/>
              </w:rPr>
              <w:t>占整體金融業比率</w:t>
            </w:r>
          </w:p>
        </w:tc>
        <w:tc>
          <w:tcPr>
            <w:tcW w:w="1204" w:type="dxa"/>
            <w:tcBorders>
              <w:top w:val="single" w:sz="6" w:space="0" w:color="auto"/>
              <w:left w:val="single" w:sz="6" w:space="0" w:color="auto"/>
              <w:bottom w:val="single" w:sz="12" w:space="0" w:color="auto"/>
              <w:right w:val="single" w:sz="6" w:space="0" w:color="auto"/>
            </w:tcBorders>
            <w:vAlign w:val="center"/>
          </w:tcPr>
          <w:p w:rsidR="00F4222A" w:rsidRPr="00F4222A" w:rsidRDefault="00F4222A" w:rsidP="00F4222A">
            <w:pPr>
              <w:pStyle w:val="142"/>
              <w:jc w:val="right"/>
            </w:pPr>
            <w:r w:rsidRPr="00F4222A">
              <w:rPr>
                <w:rFonts w:hint="eastAsia"/>
              </w:rPr>
              <w:t>1</w:t>
            </w:r>
            <w:r w:rsidRPr="00F4222A">
              <w:t>3.5</w:t>
            </w:r>
          </w:p>
        </w:tc>
        <w:tc>
          <w:tcPr>
            <w:tcW w:w="1205" w:type="dxa"/>
            <w:tcBorders>
              <w:top w:val="single" w:sz="6" w:space="0" w:color="auto"/>
              <w:left w:val="single" w:sz="6" w:space="0" w:color="auto"/>
              <w:bottom w:val="single" w:sz="12" w:space="0" w:color="auto"/>
              <w:right w:val="single" w:sz="6" w:space="0" w:color="auto"/>
            </w:tcBorders>
            <w:vAlign w:val="center"/>
          </w:tcPr>
          <w:p w:rsidR="00F4222A" w:rsidRPr="00F4222A" w:rsidRDefault="00F4222A" w:rsidP="00F4222A">
            <w:pPr>
              <w:pStyle w:val="142"/>
              <w:jc w:val="right"/>
            </w:pPr>
            <w:r w:rsidRPr="00F4222A">
              <w:rPr>
                <w:rFonts w:hint="eastAsia"/>
              </w:rPr>
              <w:t>1</w:t>
            </w:r>
            <w:r w:rsidRPr="00F4222A">
              <w:t>2.93</w:t>
            </w:r>
          </w:p>
        </w:tc>
        <w:tc>
          <w:tcPr>
            <w:tcW w:w="1205" w:type="dxa"/>
            <w:tcBorders>
              <w:top w:val="single" w:sz="6" w:space="0" w:color="auto"/>
              <w:left w:val="single" w:sz="6" w:space="0" w:color="auto"/>
              <w:bottom w:val="single" w:sz="12" w:space="0" w:color="auto"/>
              <w:right w:val="single" w:sz="6" w:space="0" w:color="auto"/>
            </w:tcBorders>
            <w:vAlign w:val="center"/>
          </w:tcPr>
          <w:p w:rsidR="00F4222A" w:rsidRPr="00F4222A" w:rsidRDefault="00F4222A" w:rsidP="00F4222A">
            <w:pPr>
              <w:pStyle w:val="142"/>
              <w:jc w:val="right"/>
            </w:pPr>
            <w:r w:rsidRPr="00F4222A">
              <w:rPr>
                <w:rFonts w:hint="eastAsia"/>
              </w:rPr>
              <w:t>11.81</w:t>
            </w:r>
          </w:p>
        </w:tc>
        <w:tc>
          <w:tcPr>
            <w:tcW w:w="1205" w:type="dxa"/>
            <w:tcBorders>
              <w:top w:val="single" w:sz="6" w:space="0" w:color="auto"/>
              <w:left w:val="single" w:sz="6" w:space="0" w:color="auto"/>
              <w:bottom w:val="single" w:sz="12" w:space="0" w:color="auto"/>
              <w:right w:val="single" w:sz="6" w:space="0" w:color="auto"/>
            </w:tcBorders>
            <w:vAlign w:val="center"/>
          </w:tcPr>
          <w:p w:rsidR="00F4222A" w:rsidRPr="00F4222A" w:rsidRDefault="00F4222A" w:rsidP="00F4222A">
            <w:pPr>
              <w:pStyle w:val="142"/>
              <w:jc w:val="right"/>
            </w:pPr>
            <w:r w:rsidRPr="00F4222A">
              <w:rPr>
                <w:rFonts w:hint="eastAsia"/>
              </w:rPr>
              <w:t>4</w:t>
            </w:r>
            <w:r w:rsidRPr="00F4222A">
              <w:t>.55</w:t>
            </w:r>
          </w:p>
        </w:tc>
        <w:tc>
          <w:tcPr>
            <w:tcW w:w="1205" w:type="dxa"/>
            <w:tcBorders>
              <w:top w:val="single" w:sz="6" w:space="0" w:color="auto"/>
              <w:left w:val="single" w:sz="6" w:space="0" w:color="auto"/>
              <w:bottom w:val="single" w:sz="12" w:space="0" w:color="auto"/>
              <w:right w:val="single" w:sz="6" w:space="0" w:color="auto"/>
            </w:tcBorders>
            <w:vAlign w:val="center"/>
          </w:tcPr>
          <w:p w:rsidR="00F4222A" w:rsidRPr="00F4222A" w:rsidRDefault="00F4222A" w:rsidP="00F4222A">
            <w:pPr>
              <w:pStyle w:val="142"/>
              <w:jc w:val="right"/>
            </w:pPr>
            <w:r w:rsidRPr="00F4222A">
              <w:rPr>
                <w:rFonts w:hint="eastAsia"/>
              </w:rPr>
              <w:t>9</w:t>
            </w:r>
            <w:r w:rsidRPr="00F4222A">
              <w:t>.17</w:t>
            </w:r>
          </w:p>
        </w:tc>
        <w:tc>
          <w:tcPr>
            <w:tcW w:w="1205" w:type="dxa"/>
            <w:tcBorders>
              <w:top w:val="single" w:sz="6" w:space="0" w:color="auto"/>
              <w:left w:val="single" w:sz="6" w:space="0" w:color="auto"/>
              <w:bottom w:val="single" w:sz="12" w:space="0" w:color="auto"/>
              <w:right w:val="single" w:sz="12" w:space="0" w:color="auto"/>
            </w:tcBorders>
            <w:vAlign w:val="center"/>
          </w:tcPr>
          <w:p w:rsidR="00F4222A" w:rsidRPr="00F4222A" w:rsidRDefault="0076537F" w:rsidP="00F4222A">
            <w:pPr>
              <w:pStyle w:val="142"/>
              <w:jc w:val="right"/>
              <w:rPr>
                <w:rFonts w:hint="eastAsia"/>
              </w:rPr>
            </w:pPr>
            <w:r>
              <w:rPr>
                <w:rFonts w:hint="eastAsia"/>
              </w:rPr>
              <w:t>16.01</w:t>
            </w:r>
          </w:p>
        </w:tc>
      </w:tr>
    </w:tbl>
    <w:p w:rsidR="00560834" w:rsidRDefault="00560834" w:rsidP="001E3912">
      <w:pPr>
        <w:pStyle w:val="142"/>
        <w:ind w:leftChars="-50" w:left="1074" w:rightChars="-100" w:right="-283" w:hangingChars="500" w:hanging="1216"/>
        <w:jc w:val="both"/>
        <w:rPr>
          <w:rFonts w:hAnsi="標楷體"/>
          <w:szCs w:val="24"/>
        </w:rPr>
      </w:pPr>
      <w:r>
        <w:rPr>
          <w:rFonts w:hAnsi="標楷體" w:hint="eastAsia"/>
          <w:szCs w:val="24"/>
        </w:rPr>
        <w:t>說    明：</w:t>
      </w:r>
      <w:r>
        <w:rPr>
          <w:rFonts w:hint="eastAsia"/>
        </w:rPr>
        <w:t>整體</w:t>
      </w:r>
      <w:r>
        <w:rPr>
          <w:rFonts w:hAnsi="標楷體" w:hint="eastAsia"/>
          <w:szCs w:val="24"/>
        </w:rPr>
        <w:t>金融業案件係指金融消費評議中心所列有關銀行業、證券期貨業、人壽保險業、產物保險業、保險輔助人及電子支付業等各業別之申訴或評議案件合計數。</w:t>
      </w:r>
    </w:p>
    <w:p w:rsidR="00560834" w:rsidRPr="00A17118" w:rsidRDefault="00560834" w:rsidP="00560834">
      <w:pPr>
        <w:pStyle w:val="142"/>
        <w:ind w:leftChars="-50" w:left="1196" w:rightChars="-50" w:right="-142" w:hangingChars="550" w:hanging="1338"/>
        <w:jc w:val="both"/>
        <w:rPr>
          <w:rFonts w:hAnsi="標楷體"/>
          <w:szCs w:val="24"/>
        </w:rPr>
      </w:pPr>
      <w:r w:rsidRPr="00A17118">
        <w:rPr>
          <w:rFonts w:hAnsi="標楷體" w:hint="eastAsia"/>
          <w:szCs w:val="24"/>
        </w:rPr>
        <w:t>資料來源：</w:t>
      </w:r>
      <w:r w:rsidRPr="00446054">
        <w:rPr>
          <w:rFonts w:hAnsi="標楷體" w:hint="eastAsia"/>
          <w:szCs w:val="24"/>
        </w:rPr>
        <w:t>金融消費評議中心</w:t>
      </w:r>
      <w:r>
        <w:rPr>
          <w:rFonts w:hAnsi="標楷體" w:hint="eastAsia"/>
          <w:szCs w:val="24"/>
        </w:rPr>
        <w:t>網站，本中心彙製</w:t>
      </w:r>
      <w:r w:rsidRPr="00A17118">
        <w:rPr>
          <w:rFonts w:hAnsi="標楷體" w:hint="eastAsia"/>
          <w:szCs w:val="24"/>
        </w:rPr>
        <w:t>。</w:t>
      </w:r>
    </w:p>
    <w:p w:rsidR="00560834" w:rsidRDefault="00560834" w:rsidP="00560834">
      <w:pPr>
        <w:pStyle w:val="a4"/>
        <w:ind w:left="849" w:hanging="283"/>
        <w:rPr>
          <w:b/>
        </w:rPr>
      </w:pPr>
      <w:r w:rsidRPr="0053298C">
        <w:rPr>
          <w:rFonts w:hint="eastAsia"/>
          <w:b/>
          <w:color w:val="000000"/>
        </w:rPr>
        <w:t>(二)</w:t>
      </w:r>
      <w:r w:rsidR="00983069">
        <w:rPr>
          <w:rFonts w:hint="eastAsia"/>
          <w:b/>
          <w:color w:val="000000"/>
        </w:rPr>
        <w:t>近年</w:t>
      </w:r>
      <w:r w:rsidR="00983069" w:rsidRPr="00983069">
        <w:rPr>
          <w:rFonts w:hint="eastAsia"/>
          <w:b/>
          <w:color w:val="000000"/>
        </w:rPr>
        <w:t>信用卡消費款代償、結清或爭議款</w:t>
      </w:r>
      <w:r w:rsidR="00F0296D">
        <w:rPr>
          <w:rFonts w:hint="eastAsia"/>
          <w:b/>
          <w:color w:val="000000"/>
        </w:rPr>
        <w:t>案件</w:t>
      </w:r>
      <w:r w:rsidR="00983069" w:rsidRPr="00983069">
        <w:rPr>
          <w:rFonts w:hint="eastAsia"/>
          <w:b/>
          <w:color w:val="000000"/>
        </w:rPr>
        <w:t>之</w:t>
      </w:r>
      <w:r w:rsidR="00983069" w:rsidRPr="00983069">
        <w:rPr>
          <w:rFonts w:hint="eastAsia"/>
          <w:b/>
        </w:rPr>
        <w:t>增幅超逾</w:t>
      </w:r>
      <w:r w:rsidR="00F0296D">
        <w:rPr>
          <w:rFonts w:hint="eastAsia"/>
          <w:b/>
        </w:rPr>
        <w:t>六</w:t>
      </w:r>
      <w:r w:rsidR="00983069" w:rsidRPr="00983069">
        <w:rPr>
          <w:rFonts w:hint="eastAsia"/>
          <w:b/>
        </w:rPr>
        <w:t>倍</w:t>
      </w:r>
      <w:r w:rsidR="00983069" w:rsidRPr="00983069">
        <w:rPr>
          <w:rFonts w:hint="eastAsia"/>
          <w:b/>
          <w:color w:val="000000"/>
        </w:rPr>
        <w:t>，</w:t>
      </w:r>
      <w:r w:rsidRPr="00C4413A">
        <w:rPr>
          <w:rFonts w:hint="eastAsia"/>
          <w:b/>
        </w:rPr>
        <w:t>允宜持續督</w:t>
      </w:r>
      <w:r w:rsidR="00827303">
        <w:rPr>
          <w:rFonts w:hint="eastAsia"/>
          <w:b/>
        </w:rPr>
        <w:t>導</w:t>
      </w:r>
      <w:r w:rsidRPr="00827303">
        <w:rPr>
          <w:rFonts w:hint="eastAsia"/>
          <w:b/>
          <w:color w:val="000000"/>
        </w:rPr>
        <w:t>業者</w:t>
      </w:r>
      <w:r w:rsidR="00827303" w:rsidRPr="00827303">
        <w:rPr>
          <w:rFonts w:hint="eastAsia"/>
          <w:b/>
          <w:color w:val="000000"/>
        </w:rPr>
        <w:t>落實相關措施，俾有效保障消費者權益</w:t>
      </w:r>
    </w:p>
    <w:p w:rsidR="00330FAB" w:rsidRDefault="003056A2" w:rsidP="00983069">
      <w:pPr>
        <w:pStyle w:val="22"/>
        <w:ind w:left="850" w:firstLine="566"/>
      </w:pPr>
      <w:r>
        <w:rPr>
          <w:rFonts w:hint="eastAsia"/>
        </w:rPr>
        <w:t>復檢視近年銀行業</w:t>
      </w:r>
      <w:r w:rsidR="00237CD3">
        <w:rPr>
          <w:rFonts w:hint="eastAsia"/>
        </w:rPr>
        <w:t>申訴暨評議案件之爭議</w:t>
      </w:r>
      <w:r w:rsidR="00560834" w:rsidRPr="00964800">
        <w:rPr>
          <w:rFonts w:hint="eastAsia"/>
        </w:rPr>
        <w:t>類型，成長幅度最高者為信用卡消費款代償、結清或爭議款</w:t>
      </w:r>
      <w:r w:rsidR="00F0296D">
        <w:rPr>
          <w:rFonts w:hint="eastAsia"/>
        </w:rPr>
        <w:t>等案件</w:t>
      </w:r>
      <w:r w:rsidR="00560834" w:rsidRPr="00964800">
        <w:rPr>
          <w:rFonts w:hint="eastAsia"/>
        </w:rPr>
        <w:t>，11</w:t>
      </w:r>
      <w:r w:rsidR="00EE4F75">
        <w:rPr>
          <w:rFonts w:hint="eastAsia"/>
        </w:rPr>
        <w:t>3</w:t>
      </w:r>
      <w:r w:rsidR="00560834" w:rsidRPr="00964800">
        <w:rPr>
          <w:rFonts w:hint="eastAsia"/>
        </w:rPr>
        <w:t>年申訴暨評議案件</w:t>
      </w:r>
      <w:r w:rsidR="002E3586">
        <w:rPr>
          <w:rFonts w:hint="eastAsia"/>
        </w:rPr>
        <w:t>合計</w:t>
      </w:r>
      <w:r w:rsidR="00CC04E0">
        <w:rPr>
          <w:rFonts w:hint="eastAsia"/>
        </w:rPr>
        <w:t>數</w:t>
      </w:r>
      <w:r w:rsidR="002E3586">
        <w:rPr>
          <w:rFonts w:hint="eastAsia"/>
        </w:rPr>
        <w:t>為</w:t>
      </w:r>
      <w:r w:rsidR="00EE4F75">
        <w:rPr>
          <w:rFonts w:hint="eastAsia"/>
        </w:rPr>
        <w:t>1,322件，</w:t>
      </w:r>
      <w:r w:rsidR="00CC04E0">
        <w:rPr>
          <w:rFonts w:hint="eastAsia"/>
        </w:rPr>
        <w:t>係</w:t>
      </w:r>
      <w:r w:rsidR="00EE4F75" w:rsidRPr="00964800">
        <w:rPr>
          <w:rFonts w:hint="eastAsia"/>
        </w:rPr>
        <w:t>同期間銀行業最常見之爭議類型，占比達</w:t>
      </w:r>
      <w:r w:rsidR="00EE4F75">
        <w:rPr>
          <w:rFonts w:hint="eastAsia"/>
        </w:rPr>
        <w:t>34.49</w:t>
      </w:r>
      <w:r w:rsidR="00EE4F75" w:rsidRPr="00964800">
        <w:rPr>
          <w:rFonts w:hint="eastAsia"/>
        </w:rPr>
        <w:t>%</w:t>
      </w:r>
      <w:r w:rsidR="00EE4F75">
        <w:rPr>
          <w:rFonts w:hint="eastAsia"/>
        </w:rPr>
        <w:t>，若</w:t>
      </w:r>
      <w:r w:rsidR="00560834" w:rsidRPr="00964800">
        <w:rPr>
          <w:rFonts w:hint="eastAsia"/>
        </w:rPr>
        <w:t>與108年</w:t>
      </w:r>
      <w:r w:rsidR="009752AD">
        <w:rPr>
          <w:rFonts w:hint="eastAsia"/>
        </w:rPr>
        <w:t>件數</w:t>
      </w:r>
      <w:r w:rsidR="00560834" w:rsidRPr="00964800">
        <w:rPr>
          <w:rFonts w:hint="eastAsia"/>
        </w:rPr>
        <w:t>相</w:t>
      </w:r>
      <w:r w:rsidR="009752AD">
        <w:rPr>
          <w:rFonts w:hint="eastAsia"/>
        </w:rPr>
        <w:t>較</w:t>
      </w:r>
      <w:r w:rsidR="00560834" w:rsidRPr="00964800">
        <w:rPr>
          <w:rFonts w:hint="eastAsia"/>
        </w:rPr>
        <w:t>，</w:t>
      </w:r>
      <w:r w:rsidR="00EE4F75">
        <w:rPr>
          <w:rFonts w:hint="eastAsia"/>
        </w:rPr>
        <w:t>增幅超逾</w:t>
      </w:r>
      <w:r w:rsidR="009752AD">
        <w:rPr>
          <w:rFonts w:hint="eastAsia"/>
        </w:rPr>
        <w:t>六</w:t>
      </w:r>
      <w:r w:rsidR="00560834" w:rsidRPr="00964800">
        <w:rPr>
          <w:rFonts w:hint="eastAsia"/>
        </w:rPr>
        <w:t>倍(詳表2)</w:t>
      </w:r>
      <w:r w:rsidR="00FE5CD4">
        <w:rPr>
          <w:rFonts w:hint="eastAsia"/>
        </w:rPr>
        <w:t>。</w:t>
      </w:r>
      <w:r w:rsidR="00560834" w:rsidRPr="00964800">
        <w:rPr>
          <w:rFonts w:hint="eastAsia"/>
        </w:rPr>
        <w:t>詢據</w:t>
      </w:r>
      <w:r w:rsidR="00983069">
        <w:rPr>
          <w:rFonts w:hint="eastAsia"/>
        </w:rPr>
        <w:t>金管會</w:t>
      </w:r>
      <w:r w:rsidR="002E3586">
        <w:rPr>
          <w:rFonts w:hint="eastAsia"/>
        </w:rPr>
        <w:t>略以</w:t>
      </w:r>
      <w:r w:rsidR="00560834" w:rsidRPr="00964800">
        <w:rPr>
          <w:rFonts w:hint="eastAsia"/>
        </w:rPr>
        <w:t>，</w:t>
      </w:r>
      <w:r w:rsidR="002E3586">
        <w:rPr>
          <w:rFonts w:hint="eastAsia"/>
        </w:rPr>
        <w:t>據</w:t>
      </w:r>
      <w:r w:rsidR="00CC04E0">
        <w:rPr>
          <w:rFonts w:hint="eastAsia"/>
        </w:rPr>
        <w:t>金融消費評議</w:t>
      </w:r>
      <w:r w:rsidR="00CC04E0" w:rsidRPr="00964800">
        <w:rPr>
          <w:rFonts w:hint="eastAsia"/>
        </w:rPr>
        <w:t>中心</w:t>
      </w:r>
      <w:r w:rsidR="002E3586">
        <w:rPr>
          <w:rFonts w:hint="eastAsia"/>
        </w:rPr>
        <w:t>113年統計結果</w:t>
      </w:r>
      <w:r w:rsidR="00CC04E0">
        <w:rPr>
          <w:rFonts w:hint="eastAsia"/>
        </w:rPr>
        <w:t>指出</w:t>
      </w:r>
      <w:r w:rsidR="002E3586">
        <w:rPr>
          <w:rFonts w:hint="eastAsia"/>
        </w:rPr>
        <w:t>，</w:t>
      </w:r>
      <w:r w:rsidR="00560834" w:rsidRPr="00964800">
        <w:rPr>
          <w:rFonts w:hint="eastAsia"/>
        </w:rPr>
        <w:t>是類爭議案件</w:t>
      </w:r>
      <w:r w:rsidR="00983069">
        <w:rPr>
          <w:rFonts w:hint="eastAsia"/>
        </w:rPr>
        <w:t>中</w:t>
      </w:r>
      <w:r w:rsidR="002E3586">
        <w:rPr>
          <w:rFonts w:hint="eastAsia"/>
        </w:rPr>
        <w:t>，</w:t>
      </w:r>
      <w:r w:rsidR="00560834" w:rsidRPr="00964800">
        <w:rPr>
          <w:rFonts w:hint="eastAsia"/>
        </w:rPr>
        <w:t>申請人主張</w:t>
      </w:r>
      <w:r w:rsidR="0078378F">
        <w:rPr>
          <w:rFonts w:hint="eastAsia"/>
        </w:rPr>
        <w:t>係因</w:t>
      </w:r>
      <w:r w:rsidR="00EE4F75">
        <w:rPr>
          <w:rFonts w:hint="eastAsia"/>
        </w:rPr>
        <w:t>信用卡遭</w:t>
      </w:r>
      <w:r w:rsidR="0078378F">
        <w:rPr>
          <w:rFonts w:hint="eastAsia"/>
        </w:rPr>
        <w:t>盜刷之件數超逾九成</w:t>
      </w:r>
      <w:r w:rsidR="00694B5D">
        <w:rPr>
          <w:rFonts w:hint="eastAsia"/>
        </w:rPr>
        <w:t>，該會</w:t>
      </w:r>
      <w:r w:rsidR="002E3586">
        <w:rPr>
          <w:rFonts w:hint="eastAsia"/>
        </w:rPr>
        <w:t>已</w:t>
      </w:r>
      <w:r w:rsidR="00983069" w:rsidRPr="00964800">
        <w:rPr>
          <w:rFonts w:hint="eastAsia"/>
        </w:rPr>
        <w:t>透過</w:t>
      </w:r>
      <w:r w:rsidR="00983069">
        <w:rPr>
          <w:rFonts w:hint="eastAsia"/>
        </w:rPr>
        <w:t>新聞稿、微電影</w:t>
      </w:r>
      <w:r w:rsidR="006E6F34">
        <w:rPr>
          <w:rFonts w:hint="eastAsia"/>
        </w:rPr>
        <w:t>、金融知識教育等方式適時向</w:t>
      </w:r>
      <w:r w:rsidR="00983069" w:rsidRPr="00964800">
        <w:rPr>
          <w:rFonts w:hint="eastAsia"/>
        </w:rPr>
        <w:t>民眾</w:t>
      </w:r>
      <w:r w:rsidR="006E6F34">
        <w:rPr>
          <w:rFonts w:hint="eastAsia"/>
        </w:rPr>
        <w:t>宣導</w:t>
      </w:r>
      <w:r w:rsidR="00983069">
        <w:rPr>
          <w:rFonts w:hint="eastAsia"/>
        </w:rPr>
        <w:t>，</w:t>
      </w:r>
      <w:r w:rsidR="002E3586">
        <w:rPr>
          <w:rFonts w:hint="eastAsia"/>
        </w:rPr>
        <w:t>亦</w:t>
      </w:r>
      <w:r w:rsidR="00983069">
        <w:rPr>
          <w:rFonts w:hint="eastAsia"/>
        </w:rPr>
        <w:t>請銀行公會邀集業者研議相關防詐措施，並</w:t>
      </w:r>
      <w:r w:rsidR="00983069" w:rsidRPr="00964800">
        <w:rPr>
          <w:rFonts w:hint="eastAsia"/>
        </w:rPr>
        <w:t>將</w:t>
      </w:r>
      <w:r w:rsidR="00983069">
        <w:rPr>
          <w:rFonts w:hint="eastAsia"/>
        </w:rPr>
        <w:t>金融消費評議</w:t>
      </w:r>
      <w:r w:rsidR="00983069" w:rsidRPr="00964800">
        <w:rPr>
          <w:rFonts w:hint="eastAsia"/>
        </w:rPr>
        <w:t>中心所受理銀行業</w:t>
      </w:r>
      <w:r w:rsidR="006E6F34">
        <w:rPr>
          <w:rFonts w:hint="eastAsia"/>
        </w:rPr>
        <w:t>之</w:t>
      </w:r>
      <w:r w:rsidR="00983069" w:rsidRPr="00964800">
        <w:rPr>
          <w:rFonts w:hint="eastAsia"/>
        </w:rPr>
        <w:t>金融消費爭議情形納入公平待客原則評核範圍，</w:t>
      </w:r>
      <w:r w:rsidR="00221207">
        <w:rPr>
          <w:rFonts w:hint="eastAsia"/>
        </w:rPr>
        <w:t>該會表示</w:t>
      </w:r>
      <w:r w:rsidR="00983069" w:rsidRPr="00964800">
        <w:rPr>
          <w:rFonts w:hint="eastAsia"/>
        </w:rPr>
        <w:t>將敦促業者持續精進，以提升金融服務業對金融消費者之服務品質。</w:t>
      </w:r>
    </w:p>
    <w:p w:rsidR="00560834" w:rsidRDefault="00560834" w:rsidP="0046396F">
      <w:pPr>
        <w:pStyle w:val="22"/>
        <w:ind w:leftChars="-50" w:left="708" w:rightChars="-100" w:right="-283" w:hangingChars="300" w:hanging="850"/>
        <w:rPr>
          <w:sz w:val="24"/>
          <w:szCs w:val="24"/>
        </w:rPr>
      </w:pPr>
      <w:r w:rsidRPr="002A5CD3">
        <w:rPr>
          <w:rFonts w:hint="eastAsia"/>
          <w:b/>
        </w:rPr>
        <w:t>表</w:t>
      </w:r>
      <w:r>
        <w:rPr>
          <w:rFonts w:hint="eastAsia"/>
          <w:b/>
        </w:rPr>
        <w:t xml:space="preserve">2  </w:t>
      </w:r>
      <w:r w:rsidR="009752AD">
        <w:rPr>
          <w:rFonts w:hint="eastAsia"/>
          <w:b/>
        </w:rPr>
        <w:t>108至113年</w:t>
      </w:r>
      <w:r w:rsidRPr="006B72B9">
        <w:rPr>
          <w:rFonts w:hint="eastAsia"/>
          <w:b/>
        </w:rPr>
        <w:t>金融消費評議中心</w:t>
      </w:r>
      <w:r>
        <w:rPr>
          <w:rFonts w:hint="eastAsia"/>
          <w:b/>
        </w:rPr>
        <w:t>所受理與</w:t>
      </w:r>
      <w:r w:rsidRPr="007A4E1E">
        <w:rPr>
          <w:rFonts w:hint="eastAsia"/>
          <w:b/>
        </w:rPr>
        <w:t>信用卡消費款代償、結清或爭議款</w:t>
      </w:r>
      <w:r>
        <w:rPr>
          <w:rFonts w:hint="eastAsia"/>
          <w:b/>
        </w:rPr>
        <w:t>相關之</w:t>
      </w:r>
      <w:r w:rsidRPr="00A9217D">
        <w:rPr>
          <w:rFonts w:hint="eastAsia"/>
          <w:b/>
        </w:rPr>
        <w:t>申訴</w:t>
      </w:r>
      <w:r>
        <w:rPr>
          <w:rFonts w:hint="eastAsia"/>
          <w:b/>
        </w:rPr>
        <w:t>暨</w:t>
      </w:r>
      <w:r w:rsidRPr="00A9217D">
        <w:rPr>
          <w:rFonts w:hint="eastAsia"/>
          <w:b/>
        </w:rPr>
        <w:t>評議案件</w:t>
      </w:r>
      <w:r>
        <w:rPr>
          <w:rFonts w:hint="eastAsia"/>
          <w:b/>
        </w:rPr>
        <w:t xml:space="preserve">分析表        </w:t>
      </w:r>
      <w:r>
        <w:rPr>
          <w:rFonts w:hint="eastAsia"/>
          <w:sz w:val="24"/>
          <w:szCs w:val="24"/>
        </w:rPr>
        <w:t>單</w:t>
      </w:r>
      <w:r w:rsidRPr="00E977AC">
        <w:rPr>
          <w:rFonts w:hint="eastAsia"/>
          <w:sz w:val="24"/>
          <w:szCs w:val="24"/>
        </w:rPr>
        <w:t>位：</w:t>
      </w:r>
      <w:r>
        <w:rPr>
          <w:rFonts w:hint="eastAsia"/>
          <w:sz w:val="24"/>
          <w:szCs w:val="24"/>
        </w:rPr>
        <w:t>件；%</w:t>
      </w:r>
    </w:p>
    <w:tbl>
      <w:tblPr>
        <w:tblW w:w="8931"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1039"/>
        <w:gridCol w:w="1040"/>
        <w:gridCol w:w="1039"/>
        <w:gridCol w:w="1040"/>
        <w:gridCol w:w="1039"/>
        <w:gridCol w:w="1040"/>
      </w:tblGrid>
      <w:tr w:rsidR="00017CBE" w:rsidRPr="00A17118" w:rsidTr="00DC4F6C">
        <w:trPr>
          <w:cantSplit/>
          <w:trHeight w:val="524"/>
          <w:tblHeader/>
        </w:trPr>
        <w:tc>
          <w:tcPr>
            <w:tcW w:w="2694" w:type="dxa"/>
            <w:gridSpan w:val="2"/>
            <w:tcBorders>
              <w:top w:val="single" w:sz="12" w:space="0" w:color="auto"/>
              <w:left w:val="single" w:sz="12" w:space="0" w:color="auto"/>
              <w:bottom w:val="single" w:sz="6" w:space="0" w:color="auto"/>
              <w:right w:val="single" w:sz="6" w:space="0" w:color="auto"/>
              <w:tl2br w:val="single" w:sz="4" w:space="0" w:color="auto"/>
            </w:tcBorders>
          </w:tcPr>
          <w:p w:rsidR="00017CBE" w:rsidRPr="003A5DCA" w:rsidRDefault="00017CBE" w:rsidP="00017CBE">
            <w:pPr>
              <w:pStyle w:val="142"/>
              <w:rPr>
                <w:b/>
              </w:rPr>
            </w:pPr>
            <w:r w:rsidRPr="003A5DCA">
              <w:rPr>
                <w:rFonts w:hint="eastAsia"/>
                <w:b/>
              </w:rPr>
              <w:t xml:space="preserve">        </w:t>
            </w:r>
            <w:r>
              <w:rPr>
                <w:rFonts w:hint="eastAsia"/>
                <w:b/>
              </w:rPr>
              <w:t xml:space="preserve">     </w:t>
            </w:r>
            <w:r w:rsidR="00DC4F6C">
              <w:rPr>
                <w:rFonts w:hint="eastAsia"/>
                <w:b/>
              </w:rPr>
              <w:t xml:space="preserve">   </w:t>
            </w:r>
            <w:r w:rsidRPr="003A5DCA">
              <w:rPr>
                <w:rFonts w:hint="eastAsia"/>
                <w:b/>
              </w:rPr>
              <w:t>年度</w:t>
            </w:r>
          </w:p>
          <w:p w:rsidR="00017CBE" w:rsidRPr="003A5DCA" w:rsidRDefault="00017CBE" w:rsidP="00017CBE">
            <w:pPr>
              <w:pStyle w:val="142"/>
              <w:rPr>
                <w:b/>
              </w:rPr>
            </w:pPr>
            <w:r w:rsidRPr="003A5DCA">
              <w:rPr>
                <w:rFonts w:hint="eastAsia"/>
                <w:b/>
              </w:rPr>
              <w:t>案件</w:t>
            </w:r>
          </w:p>
        </w:tc>
        <w:tc>
          <w:tcPr>
            <w:tcW w:w="1039" w:type="dxa"/>
            <w:tcBorders>
              <w:top w:val="single" w:sz="12" w:space="0" w:color="auto"/>
              <w:left w:val="single" w:sz="6" w:space="0" w:color="auto"/>
              <w:bottom w:val="single" w:sz="6" w:space="0" w:color="auto"/>
              <w:right w:val="single" w:sz="6" w:space="0" w:color="auto"/>
            </w:tcBorders>
            <w:vAlign w:val="center"/>
          </w:tcPr>
          <w:p w:rsidR="00017CBE" w:rsidRPr="003A5DCA" w:rsidRDefault="00017CBE" w:rsidP="00017CBE">
            <w:pPr>
              <w:pStyle w:val="142"/>
              <w:jc w:val="center"/>
              <w:rPr>
                <w:b/>
              </w:rPr>
            </w:pPr>
            <w:r w:rsidRPr="007E1A7F">
              <w:rPr>
                <w:rFonts w:hint="eastAsia"/>
                <w:b/>
              </w:rPr>
              <w:t>108</w:t>
            </w:r>
            <w:r w:rsidRPr="007E1A7F">
              <w:rPr>
                <w:b/>
              </w:rPr>
              <w:t xml:space="preserve"> </w:t>
            </w:r>
          </w:p>
        </w:tc>
        <w:tc>
          <w:tcPr>
            <w:tcW w:w="1040" w:type="dxa"/>
            <w:tcBorders>
              <w:top w:val="single" w:sz="12" w:space="0" w:color="auto"/>
              <w:left w:val="single" w:sz="6" w:space="0" w:color="auto"/>
              <w:bottom w:val="single" w:sz="6" w:space="0" w:color="auto"/>
              <w:right w:val="single" w:sz="6" w:space="0" w:color="auto"/>
            </w:tcBorders>
            <w:vAlign w:val="center"/>
          </w:tcPr>
          <w:p w:rsidR="00017CBE" w:rsidRPr="003A5DCA" w:rsidRDefault="00017CBE" w:rsidP="00017CBE">
            <w:pPr>
              <w:pStyle w:val="142"/>
              <w:jc w:val="center"/>
              <w:rPr>
                <w:b/>
              </w:rPr>
            </w:pPr>
            <w:r w:rsidRPr="007E1A7F">
              <w:rPr>
                <w:rFonts w:hint="eastAsia"/>
                <w:b/>
              </w:rPr>
              <w:t>109</w:t>
            </w:r>
            <w:r w:rsidRPr="007E1A7F">
              <w:rPr>
                <w:b/>
              </w:rPr>
              <w:t xml:space="preserve"> </w:t>
            </w:r>
          </w:p>
        </w:tc>
        <w:tc>
          <w:tcPr>
            <w:tcW w:w="1039" w:type="dxa"/>
            <w:tcBorders>
              <w:top w:val="single" w:sz="12" w:space="0" w:color="auto"/>
              <w:left w:val="single" w:sz="6" w:space="0" w:color="auto"/>
              <w:bottom w:val="single" w:sz="6" w:space="0" w:color="auto"/>
              <w:right w:val="single" w:sz="6" w:space="0" w:color="auto"/>
            </w:tcBorders>
            <w:vAlign w:val="center"/>
          </w:tcPr>
          <w:p w:rsidR="00017CBE" w:rsidRPr="003A5DCA" w:rsidRDefault="00017CBE" w:rsidP="00017CBE">
            <w:pPr>
              <w:pStyle w:val="142"/>
              <w:jc w:val="center"/>
              <w:rPr>
                <w:b/>
              </w:rPr>
            </w:pPr>
            <w:r w:rsidRPr="007E1A7F">
              <w:rPr>
                <w:rFonts w:hint="eastAsia"/>
                <w:b/>
              </w:rPr>
              <w:t>110</w:t>
            </w:r>
            <w:r w:rsidRPr="007E1A7F">
              <w:rPr>
                <w:b/>
              </w:rPr>
              <w:t xml:space="preserve"> </w:t>
            </w:r>
          </w:p>
        </w:tc>
        <w:tc>
          <w:tcPr>
            <w:tcW w:w="1040" w:type="dxa"/>
            <w:tcBorders>
              <w:top w:val="single" w:sz="12" w:space="0" w:color="auto"/>
              <w:left w:val="single" w:sz="6" w:space="0" w:color="auto"/>
              <w:bottom w:val="single" w:sz="6" w:space="0" w:color="auto"/>
              <w:right w:val="single" w:sz="6" w:space="0" w:color="auto"/>
            </w:tcBorders>
            <w:vAlign w:val="center"/>
          </w:tcPr>
          <w:p w:rsidR="00017CBE" w:rsidRPr="003A5DCA" w:rsidRDefault="00017CBE" w:rsidP="00017CBE">
            <w:pPr>
              <w:pStyle w:val="142"/>
              <w:jc w:val="center"/>
              <w:rPr>
                <w:b/>
              </w:rPr>
            </w:pPr>
            <w:r w:rsidRPr="007E1A7F">
              <w:rPr>
                <w:rFonts w:hint="eastAsia"/>
                <w:b/>
              </w:rPr>
              <w:t>111</w:t>
            </w:r>
            <w:r w:rsidRPr="007E1A7F">
              <w:rPr>
                <w:b/>
              </w:rPr>
              <w:t xml:space="preserve"> </w:t>
            </w:r>
          </w:p>
        </w:tc>
        <w:tc>
          <w:tcPr>
            <w:tcW w:w="1039" w:type="dxa"/>
            <w:tcBorders>
              <w:top w:val="single" w:sz="12" w:space="0" w:color="auto"/>
              <w:left w:val="single" w:sz="6" w:space="0" w:color="auto"/>
              <w:bottom w:val="single" w:sz="6" w:space="0" w:color="auto"/>
              <w:right w:val="single" w:sz="6" w:space="0" w:color="auto"/>
            </w:tcBorders>
            <w:vAlign w:val="center"/>
          </w:tcPr>
          <w:p w:rsidR="00017CBE" w:rsidRPr="003A5DCA" w:rsidRDefault="00017CBE" w:rsidP="00017CBE">
            <w:pPr>
              <w:pStyle w:val="142"/>
              <w:jc w:val="center"/>
              <w:rPr>
                <w:b/>
              </w:rPr>
            </w:pPr>
            <w:r w:rsidRPr="007E1A7F">
              <w:rPr>
                <w:rFonts w:hint="eastAsia"/>
                <w:b/>
              </w:rPr>
              <w:t>112</w:t>
            </w:r>
            <w:r w:rsidRPr="007E1A7F">
              <w:rPr>
                <w:b/>
              </w:rPr>
              <w:t xml:space="preserve"> </w:t>
            </w:r>
          </w:p>
        </w:tc>
        <w:tc>
          <w:tcPr>
            <w:tcW w:w="1040" w:type="dxa"/>
            <w:tcBorders>
              <w:top w:val="single" w:sz="12" w:space="0" w:color="auto"/>
              <w:left w:val="single" w:sz="6" w:space="0" w:color="auto"/>
              <w:bottom w:val="single" w:sz="6" w:space="0" w:color="auto"/>
              <w:right w:val="single" w:sz="12" w:space="0" w:color="auto"/>
            </w:tcBorders>
            <w:vAlign w:val="center"/>
          </w:tcPr>
          <w:p w:rsidR="00017CBE" w:rsidRPr="003A5DCA" w:rsidRDefault="00017CBE" w:rsidP="00017CBE">
            <w:pPr>
              <w:pStyle w:val="142"/>
              <w:jc w:val="center"/>
              <w:rPr>
                <w:b/>
              </w:rPr>
            </w:pPr>
            <w:r w:rsidRPr="002B3D75">
              <w:rPr>
                <w:rFonts w:hint="eastAsia"/>
                <w:b/>
              </w:rPr>
              <w:t>113</w:t>
            </w:r>
            <w:r w:rsidRPr="002B3D75">
              <w:rPr>
                <w:b/>
              </w:rPr>
              <w:t xml:space="preserve"> </w:t>
            </w:r>
          </w:p>
        </w:tc>
      </w:tr>
      <w:tr w:rsidR="00560834" w:rsidRPr="00A17118" w:rsidTr="00B65253">
        <w:trPr>
          <w:cantSplit/>
          <w:trHeight w:val="340"/>
        </w:trPr>
        <w:tc>
          <w:tcPr>
            <w:tcW w:w="851" w:type="dxa"/>
            <w:vMerge w:val="restart"/>
            <w:tcBorders>
              <w:top w:val="single" w:sz="6" w:space="0" w:color="auto"/>
              <w:left w:val="single" w:sz="12" w:space="0" w:color="auto"/>
              <w:bottom w:val="single" w:sz="6" w:space="0" w:color="auto"/>
              <w:right w:val="single" w:sz="6" w:space="0" w:color="auto"/>
            </w:tcBorders>
            <w:vAlign w:val="center"/>
          </w:tcPr>
          <w:p w:rsidR="00560834" w:rsidRPr="00A17118" w:rsidRDefault="00560834" w:rsidP="00135196">
            <w:pPr>
              <w:pStyle w:val="142"/>
              <w:jc w:val="center"/>
            </w:pPr>
            <w:r>
              <w:rPr>
                <w:rFonts w:hint="eastAsia"/>
              </w:rPr>
              <w:t>申訴暨評議</w:t>
            </w:r>
          </w:p>
        </w:tc>
        <w:tc>
          <w:tcPr>
            <w:tcW w:w="1843" w:type="dxa"/>
            <w:tcBorders>
              <w:top w:val="single" w:sz="6" w:space="0" w:color="auto"/>
              <w:left w:val="single" w:sz="6" w:space="0" w:color="auto"/>
              <w:bottom w:val="single" w:sz="6" w:space="0" w:color="auto"/>
              <w:right w:val="single" w:sz="6" w:space="0" w:color="auto"/>
            </w:tcBorders>
            <w:vAlign w:val="center"/>
          </w:tcPr>
          <w:p w:rsidR="00560834" w:rsidRPr="00A17118" w:rsidRDefault="00560834" w:rsidP="00135196">
            <w:pPr>
              <w:pStyle w:val="142"/>
              <w:jc w:val="center"/>
            </w:pPr>
            <w:r>
              <w:rPr>
                <w:rFonts w:hint="eastAsia"/>
              </w:rPr>
              <w:t>案件合計數</w:t>
            </w:r>
          </w:p>
        </w:tc>
        <w:tc>
          <w:tcPr>
            <w:tcW w:w="1039" w:type="dxa"/>
            <w:tcBorders>
              <w:top w:val="single" w:sz="6" w:space="0" w:color="auto"/>
              <w:left w:val="single" w:sz="6" w:space="0" w:color="auto"/>
              <w:bottom w:val="single" w:sz="6" w:space="0" w:color="auto"/>
              <w:right w:val="single" w:sz="6" w:space="0" w:color="auto"/>
            </w:tcBorders>
            <w:vAlign w:val="center"/>
          </w:tcPr>
          <w:p w:rsidR="00560834" w:rsidRPr="00A831DB" w:rsidRDefault="00560834" w:rsidP="00A6311A">
            <w:pPr>
              <w:pStyle w:val="142"/>
              <w:jc w:val="right"/>
            </w:pPr>
            <w:r w:rsidRPr="00A831DB">
              <w:t>174</w:t>
            </w:r>
          </w:p>
        </w:tc>
        <w:tc>
          <w:tcPr>
            <w:tcW w:w="1040" w:type="dxa"/>
            <w:tcBorders>
              <w:top w:val="single" w:sz="6" w:space="0" w:color="auto"/>
              <w:left w:val="single" w:sz="6" w:space="0" w:color="auto"/>
              <w:bottom w:val="single" w:sz="6" w:space="0" w:color="auto"/>
              <w:right w:val="single" w:sz="6" w:space="0" w:color="auto"/>
            </w:tcBorders>
            <w:vAlign w:val="center"/>
          </w:tcPr>
          <w:p w:rsidR="00560834" w:rsidRPr="00A831DB" w:rsidRDefault="00560834" w:rsidP="00A6311A">
            <w:pPr>
              <w:pStyle w:val="142"/>
              <w:jc w:val="right"/>
            </w:pPr>
            <w:r w:rsidRPr="00A831DB">
              <w:t>165</w:t>
            </w:r>
          </w:p>
        </w:tc>
        <w:tc>
          <w:tcPr>
            <w:tcW w:w="1039" w:type="dxa"/>
            <w:tcBorders>
              <w:top w:val="single" w:sz="6" w:space="0" w:color="auto"/>
              <w:left w:val="single" w:sz="6" w:space="0" w:color="auto"/>
              <w:bottom w:val="single" w:sz="6" w:space="0" w:color="auto"/>
              <w:right w:val="single" w:sz="6" w:space="0" w:color="auto"/>
            </w:tcBorders>
            <w:vAlign w:val="center"/>
          </w:tcPr>
          <w:p w:rsidR="00560834" w:rsidRPr="00A831DB" w:rsidRDefault="00560834" w:rsidP="00A6311A">
            <w:pPr>
              <w:pStyle w:val="142"/>
              <w:jc w:val="right"/>
            </w:pPr>
            <w:r w:rsidRPr="00A831DB">
              <w:t>128</w:t>
            </w:r>
          </w:p>
        </w:tc>
        <w:tc>
          <w:tcPr>
            <w:tcW w:w="1040" w:type="dxa"/>
            <w:tcBorders>
              <w:top w:val="single" w:sz="6" w:space="0" w:color="auto"/>
              <w:left w:val="single" w:sz="6" w:space="0" w:color="auto"/>
              <w:bottom w:val="single" w:sz="6" w:space="0" w:color="auto"/>
              <w:right w:val="single" w:sz="6" w:space="0" w:color="auto"/>
            </w:tcBorders>
            <w:vAlign w:val="center"/>
          </w:tcPr>
          <w:p w:rsidR="00560834" w:rsidRPr="00A831DB" w:rsidRDefault="00560834" w:rsidP="00A6311A">
            <w:pPr>
              <w:pStyle w:val="142"/>
              <w:jc w:val="right"/>
            </w:pPr>
            <w:r w:rsidRPr="00A831DB">
              <w:t>207</w:t>
            </w:r>
          </w:p>
        </w:tc>
        <w:tc>
          <w:tcPr>
            <w:tcW w:w="1039" w:type="dxa"/>
            <w:tcBorders>
              <w:top w:val="single" w:sz="6" w:space="0" w:color="auto"/>
              <w:left w:val="single" w:sz="6" w:space="0" w:color="auto"/>
              <w:bottom w:val="single" w:sz="6" w:space="0" w:color="auto"/>
              <w:right w:val="single" w:sz="6" w:space="0" w:color="auto"/>
            </w:tcBorders>
            <w:vAlign w:val="center"/>
          </w:tcPr>
          <w:p w:rsidR="00560834" w:rsidRDefault="00560834" w:rsidP="00A6311A">
            <w:pPr>
              <w:pStyle w:val="142"/>
              <w:jc w:val="right"/>
            </w:pPr>
            <w:r w:rsidRPr="00A831DB">
              <w:t>887</w:t>
            </w:r>
          </w:p>
        </w:tc>
        <w:tc>
          <w:tcPr>
            <w:tcW w:w="1040" w:type="dxa"/>
            <w:tcBorders>
              <w:top w:val="single" w:sz="6" w:space="0" w:color="auto"/>
              <w:left w:val="single" w:sz="6" w:space="0" w:color="auto"/>
              <w:bottom w:val="single" w:sz="6" w:space="0" w:color="auto"/>
              <w:right w:val="single" w:sz="12" w:space="0" w:color="auto"/>
            </w:tcBorders>
            <w:vAlign w:val="center"/>
          </w:tcPr>
          <w:p w:rsidR="00560834" w:rsidRPr="00D64EE0" w:rsidRDefault="00DB67BD" w:rsidP="00A6311A">
            <w:pPr>
              <w:pStyle w:val="142"/>
              <w:jc w:val="right"/>
            </w:pPr>
            <w:r>
              <w:rPr>
                <w:rFonts w:hint="eastAsia"/>
              </w:rPr>
              <w:t>1,322</w:t>
            </w:r>
          </w:p>
        </w:tc>
      </w:tr>
      <w:tr w:rsidR="00560834" w:rsidRPr="00A17118" w:rsidTr="00B65253">
        <w:trPr>
          <w:cantSplit/>
          <w:trHeight w:val="340"/>
        </w:trPr>
        <w:tc>
          <w:tcPr>
            <w:tcW w:w="851" w:type="dxa"/>
            <w:vMerge/>
            <w:tcBorders>
              <w:top w:val="single" w:sz="6" w:space="0" w:color="auto"/>
              <w:left w:val="single" w:sz="12" w:space="0" w:color="auto"/>
              <w:bottom w:val="single" w:sz="12" w:space="0" w:color="auto"/>
              <w:right w:val="single" w:sz="6" w:space="0" w:color="auto"/>
            </w:tcBorders>
            <w:vAlign w:val="center"/>
          </w:tcPr>
          <w:p w:rsidR="00560834" w:rsidRPr="00A17118" w:rsidRDefault="00560834" w:rsidP="00A6311A">
            <w:pPr>
              <w:pStyle w:val="142"/>
            </w:pPr>
          </w:p>
        </w:tc>
        <w:tc>
          <w:tcPr>
            <w:tcW w:w="1843" w:type="dxa"/>
            <w:tcBorders>
              <w:top w:val="single" w:sz="6" w:space="0" w:color="auto"/>
              <w:left w:val="single" w:sz="6" w:space="0" w:color="auto"/>
              <w:bottom w:val="single" w:sz="12" w:space="0" w:color="auto"/>
              <w:right w:val="single" w:sz="6" w:space="0" w:color="auto"/>
            </w:tcBorders>
            <w:vAlign w:val="center"/>
          </w:tcPr>
          <w:p w:rsidR="00560834" w:rsidRPr="00A17118" w:rsidRDefault="00560834" w:rsidP="00135196">
            <w:pPr>
              <w:pStyle w:val="142"/>
              <w:jc w:val="center"/>
            </w:pPr>
            <w:r>
              <w:rPr>
                <w:rFonts w:hint="eastAsia"/>
              </w:rPr>
              <w:t>占銀行業比率</w:t>
            </w:r>
          </w:p>
        </w:tc>
        <w:tc>
          <w:tcPr>
            <w:tcW w:w="1039" w:type="dxa"/>
            <w:tcBorders>
              <w:top w:val="single" w:sz="6" w:space="0" w:color="auto"/>
              <w:left w:val="single" w:sz="6" w:space="0" w:color="auto"/>
              <w:bottom w:val="single" w:sz="12" w:space="0" w:color="auto"/>
              <w:right w:val="single" w:sz="6" w:space="0" w:color="auto"/>
            </w:tcBorders>
            <w:vAlign w:val="center"/>
          </w:tcPr>
          <w:p w:rsidR="00560834" w:rsidRPr="009170A6" w:rsidRDefault="00560834" w:rsidP="00A6311A">
            <w:pPr>
              <w:pStyle w:val="142"/>
              <w:jc w:val="right"/>
            </w:pPr>
            <w:r w:rsidRPr="009170A6">
              <w:t>9.52</w:t>
            </w:r>
          </w:p>
        </w:tc>
        <w:tc>
          <w:tcPr>
            <w:tcW w:w="1040" w:type="dxa"/>
            <w:tcBorders>
              <w:top w:val="single" w:sz="6" w:space="0" w:color="auto"/>
              <w:left w:val="single" w:sz="6" w:space="0" w:color="auto"/>
              <w:bottom w:val="single" w:sz="12" w:space="0" w:color="auto"/>
              <w:right w:val="single" w:sz="6" w:space="0" w:color="auto"/>
            </w:tcBorders>
            <w:vAlign w:val="center"/>
          </w:tcPr>
          <w:p w:rsidR="00560834" w:rsidRPr="009170A6" w:rsidRDefault="00560834" w:rsidP="00A6311A">
            <w:pPr>
              <w:pStyle w:val="142"/>
              <w:jc w:val="right"/>
            </w:pPr>
            <w:r w:rsidRPr="009170A6">
              <w:t>6.73</w:t>
            </w:r>
          </w:p>
        </w:tc>
        <w:tc>
          <w:tcPr>
            <w:tcW w:w="1039" w:type="dxa"/>
            <w:tcBorders>
              <w:top w:val="single" w:sz="6" w:space="0" w:color="auto"/>
              <w:left w:val="single" w:sz="6" w:space="0" w:color="auto"/>
              <w:bottom w:val="single" w:sz="12" w:space="0" w:color="auto"/>
              <w:right w:val="single" w:sz="6" w:space="0" w:color="auto"/>
            </w:tcBorders>
            <w:vAlign w:val="center"/>
          </w:tcPr>
          <w:p w:rsidR="00560834" w:rsidRPr="009170A6" w:rsidRDefault="00560834" w:rsidP="00A6311A">
            <w:pPr>
              <w:pStyle w:val="142"/>
              <w:jc w:val="right"/>
            </w:pPr>
            <w:r w:rsidRPr="009170A6">
              <w:t>6.88</w:t>
            </w:r>
          </w:p>
        </w:tc>
        <w:tc>
          <w:tcPr>
            <w:tcW w:w="1040" w:type="dxa"/>
            <w:tcBorders>
              <w:top w:val="single" w:sz="6" w:space="0" w:color="auto"/>
              <w:left w:val="single" w:sz="6" w:space="0" w:color="auto"/>
              <w:bottom w:val="single" w:sz="12" w:space="0" w:color="auto"/>
              <w:right w:val="single" w:sz="6" w:space="0" w:color="auto"/>
            </w:tcBorders>
            <w:vAlign w:val="center"/>
          </w:tcPr>
          <w:p w:rsidR="00560834" w:rsidRPr="009170A6" w:rsidRDefault="00560834" w:rsidP="00A6311A">
            <w:pPr>
              <w:pStyle w:val="142"/>
              <w:jc w:val="right"/>
            </w:pPr>
            <w:r w:rsidRPr="009170A6">
              <w:t>10.87</w:t>
            </w:r>
          </w:p>
        </w:tc>
        <w:tc>
          <w:tcPr>
            <w:tcW w:w="1039" w:type="dxa"/>
            <w:tcBorders>
              <w:top w:val="single" w:sz="6" w:space="0" w:color="auto"/>
              <w:left w:val="single" w:sz="6" w:space="0" w:color="auto"/>
              <w:bottom w:val="single" w:sz="12" w:space="0" w:color="auto"/>
              <w:right w:val="single" w:sz="6" w:space="0" w:color="auto"/>
            </w:tcBorders>
            <w:vAlign w:val="center"/>
          </w:tcPr>
          <w:p w:rsidR="00560834" w:rsidRPr="009170A6" w:rsidRDefault="00560834" w:rsidP="00A6311A">
            <w:pPr>
              <w:pStyle w:val="142"/>
              <w:jc w:val="right"/>
            </w:pPr>
            <w:r w:rsidRPr="009170A6">
              <w:t>24.68</w:t>
            </w:r>
          </w:p>
        </w:tc>
        <w:tc>
          <w:tcPr>
            <w:tcW w:w="1040" w:type="dxa"/>
            <w:tcBorders>
              <w:top w:val="single" w:sz="6" w:space="0" w:color="auto"/>
              <w:left w:val="single" w:sz="6" w:space="0" w:color="auto"/>
              <w:bottom w:val="single" w:sz="12" w:space="0" w:color="auto"/>
              <w:right w:val="single" w:sz="12" w:space="0" w:color="auto"/>
            </w:tcBorders>
            <w:vAlign w:val="center"/>
          </w:tcPr>
          <w:p w:rsidR="00560834" w:rsidRPr="00D64EE0" w:rsidRDefault="00DB67BD" w:rsidP="00A6311A">
            <w:pPr>
              <w:pStyle w:val="142"/>
              <w:jc w:val="right"/>
              <w:rPr>
                <w:rFonts w:hint="eastAsia"/>
              </w:rPr>
            </w:pPr>
            <w:r>
              <w:rPr>
                <w:rFonts w:hint="eastAsia"/>
              </w:rPr>
              <w:t>34.49</w:t>
            </w:r>
          </w:p>
        </w:tc>
      </w:tr>
    </w:tbl>
    <w:p w:rsidR="00560834" w:rsidRPr="0053298C" w:rsidRDefault="00560834" w:rsidP="00560834">
      <w:pPr>
        <w:pStyle w:val="142"/>
        <w:ind w:leftChars="-50" w:left="1196" w:rightChars="-50" w:right="-142" w:hangingChars="550" w:hanging="1338"/>
        <w:jc w:val="both"/>
      </w:pPr>
      <w:r w:rsidRPr="00A17118">
        <w:rPr>
          <w:rFonts w:hAnsi="標楷體" w:hint="eastAsia"/>
          <w:szCs w:val="24"/>
        </w:rPr>
        <w:t>資料來源：</w:t>
      </w:r>
      <w:r w:rsidRPr="00446054">
        <w:rPr>
          <w:rFonts w:hAnsi="標楷體" w:hint="eastAsia"/>
          <w:szCs w:val="24"/>
        </w:rPr>
        <w:t>金融消費評議中心</w:t>
      </w:r>
      <w:r>
        <w:rPr>
          <w:rFonts w:hAnsi="標楷體" w:hint="eastAsia"/>
          <w:szCs w:val="24"/>
        </w:rPr>
        <w:t>網站，本中心彙製</w:t>
      </w:r>
      <w:r w:rsidRPr="00A17118">
        <w:rPr>
          <w:rFonts w:hAnsi="標楷體" w:hint="eastAsia"/>
          <w:szCs w:val="24"/>
        </w:rPr>
        <w:t>。</w:t>
      </w:r>
    </w:p>
    <w:p w:rsidR="00560834" w:rsidRPr="00827E96" w:rsidRDefault="00560834" w:rsidP="00560834">
      <w:pPr>
        <w:ind w:left="566" w:firstLine="566"/>
        <w:rPr>
          <w:rFonts w:hint="eastAsia"/>
        </w:rPr>
      </w:pPr>
      <w:r>
        <w:t>綜上，</w:t>
      </w:r>
      <w:r>
        <w:rPr>
          <w:rFonts w:hint="eastAsia"/>
        </w:rPr>
        <w:t>近年金融消費評議中心所受理與銀行業相關之申訴、</w:t>
      </w:r>
      <w:r w:rsidRPr="000F1331">
        <w:rPr>
          <w:rFonts w:hint="eastAsia"/>
        </w:rPr>
        <w:t>評議案件</w:t>
      </w:r>
      <w:r>
        <w:rPr>
          <w:rFonts w:hint="eastAsia"/>
        </w:rPr>
        <w:t>皆</w:t>
      </w:r>
      <w:r w:rsidRPr="000F1331">
        <w:rPr>
          <w:rFonts w:hint="eastAsia"/>
        </w:rPr>
        <w:t>概呈增加</w:t>
      </w:r>
      <w:r>
        <w:rPr>
          <w:rFonts w:hint="eastAsia"/>
        </w:rPr>
        <w:t>，</w:t>
      </w:r>
      <w:r w:rsidR="00390582" w:rsidRPr="009B4E7E">
        <w:rPr>
          <w:rFonts w:hint="eastAsia"/>
        </w:rPr>
        <w:t>113年度</w:t>
      </w:r>
      <w:r w:rsidR="009B4E7E" w:rsidRPr="009B4E7E">
        <w:rPr>
          <w:rFonts w:hint="eastAsia"/>
        </w:rPr>
        <w:t>占整體金融業之比率分別為20.84%及1</w:t>
      </w:r>
      <w:r w:rsidR="009B4E7E" w:rsidRPr="009B4E7E">
        <w:t>6.01</w:t>
      </w:r>
      <w:r w:rsidR="009B4E7E" w:rsidRPr="009B4E7E">
        <w:rPr>
          <w:rFonts w:hint="eastAsia"/>
        </w:rPr>
        <w:t>%，係1</w:t>
      </w:r>
      <w:r w:rsidR="001723C0">
        <w:rPr>
          <w:rFonts w:hint="eastAsia"/>
        </w:rPr>
        <w:t>10</w:t>
      </w:r>
      <w:r w:rsidR="009B4E7E" w:rsidRPr="009B4E7E">
        <w:rPr>
          <w:rFonts w:hint="eastAsia"/>
        </w:rPr>
        <w:t>年以來最高，</w:t>
      </w:r>
      <w:r w:rsidRPr="009B4E7E">
        <w:rPr>
          <w:rFonts w:hint="eastAsia"/>
        </w:rPr>
        <w:t>允宜持續加</w:t>
      </w:r>
      <w:r>
        <w:rPr>
          <w:rFonts w:hint="eastAsia"/>
        </w:rPr>
        <w:t>強宣導以強化民眾防詐意識，並敦促業者落實</w:t>
      </w:r>
      <w:r w:rsidR="00827303">
        <w:rPr>
          <w:rFonts w:hint="eastAsia"/>
        </w:rPr>
        <w:t>相關</w:t>
      </w:r>
      <w:r>
        <w:rPr>
          <w:rFonts w:hint="eastAsia"/>
        </w:rPr>
        <w:t>措施</w:t>
      </w:r>
      <w:r w:rsidRPr="00C10CAD">
        <w:rPr>
          <w:rFonts w:hint="eastAsia"/>
        </w:rPr>
        <w:t>，俾有效保障消費者權益</w:t>
      </w:r>
      <w:r>
        <w:rPr>
          <w:rFonts w:hint="eastAsia"/>
        </w:rPr>
        <w:t>。</w:t>
      </w:r>
    </w:p>
    <w:p w:rsidR="001F4E68" w:rsidRPr="00681309" w:rsidRDefault="001F4E68" w:rsidP="00D11728">
      <w:pPr>
        <w:ind w:left="566" w:firstLine="566"/>
      </w:pPr>
    </w:p>
    <w:p w:rsidR="003D5F0E" w:rsidRDefault="003D5F0E" w:rsidP="00390582">
      <w:pPr>
        <w:pStyle w:val="14"/>
        <w:ind w:left="425" w:hangingChars="150" w:hanging="425"/>
      </w:pPr>
      <w:bookmarkStart w:id="5" w:name="_Toc109829310"/>
      <w:bookmarkStart w:id="6" w:name="_Toc148544602"/>
      <w:bookmarkStart w:id="7" w:name="_Toc82103069"/>
      <w:bookmarkStart w:id="8" w:name="_Toc217892221"/>
      <w:bookmarkEnd w:id="2"/>
      <w:bookmarkEnd w:id="3"/>
      <w:r>
        <w:rPr>
          <w:rFonts w:hint="eastAsia"/>
        </w:rPr>
        <w:t>二、</w:t>
      </w:r>
      <w:bookmarkEnd w:id="5"/>
      <w:bookmarkEnd w:id="6"/>
      <w:r w:rsidR="00937FC2" w:rsidRPr="00937FC2">
        <w:rPr>
          <w:rFonts w:hint="eastAsia"/>
        </w:rPr>
        <w:t>辦公室及會議室改善工程與外牆修繕工程</w:t>
      </w:r>
      <w:r w:rsidR="007B083E" w:rsidRPr="00937FC2">
        <w:rPr>
          <w:rFonts w:hint="eastAsia"/>
        </w:rPr>
        <w:t>113年度</w:t>
      </w:r>
      <w:r w:rsidR="00937FC2" w:rsidRPr="00937FC2">
        <w:rPr>
          <w:rFonts w:hint="eastAsia"/>
        </w:rPr>
        <w:t>保留比率偏高，允宜審慎</w:t>
      </w:r>
      <w:r w:rsidR="007B083E" w:rsidRPr="00937FC2">
        <w:rPr>
          <w:rFonts w:hint="eastAsia"/>
        </w:rPr>
        <w:t>管</w:t>
      </w:r>
      <w:r w:rsidR="00937FC2" w:rsidRPr="00937FC2">
        <w:rPr>
          <w:rFonts w:hint="eastAsia"/>
        </w:rPr>
        <w:t>控</w:t>
      </w:r>
      <w:r w:rsidR="00937FC2">
        <w:rPr>
          <w:rFonts w:hint="eastAsia"/>
        </w:rPr>
        <w:t>執行</w:t>
      </w:r>
      <w:r w:rsidR="00937FC2" w:rsidRPr="00937FC2">
        <w:rPr>
          <w:rFonts w:hint="eastAsia"/>
        </w:rPr>
        <w:t>進度，</w:t>
      </w:r>
      <w:r w:rsidR="00390582">
        <w:rPr>
          <w:rFonts w:hint="eastAsia"/>
        </w:rPr>
        <w:t>俾</w:t>
      </w:r>
      <w:r w:rsidR="00937FC2">
        <w:rPr>
          <w:rFonts w:hint="eastAsia"/>
        </w:rPr>
        <w:t>工程</w:t>
      </w:r>
      <w:r w:rsidR="00937FC2" w:rsidRPr="00937FC2">
        <w:rPr>
          <w:rFonts w:hint="eastAsia"/>
        </w:rPr>
        <w:t>如期</w:t>
      </w:r>
      <w:r w:rsidR="00390582">
        <w:rPr>
          <w:rFonts w:hint="eastAsia"/>
        </w:rPr>
        <w:t>如質</w:t>
      </w:r>
      <w:r w:rsidR="00937FC2" w:rsidRPr="00937FC2">
        <w:rPr>
          <w:rFonts w:hint="eastAsia"/>
        </w:rPr>
        <w:t>完工</w:t>
      </w:r>
      <w:r w:rsidR="00937FC2">
        <w:rPr>
          <w:rFonts w:hint="eastAsia"/>
        </w:rPr>
        <w:t>，</w:t>
      </w:r>
      <w:r w:rsidR="00F4686D">
        <w:rPr>
          <w:rFonts w:hint="eastAsia"/>
        </w:rPr>
        <w:t>嗣後類此案件</w:t>
      </w:r>
      <w:r w:rsidR="009C5CBA">
        <w:rPr>
          <w:rFonts w:hint="eastAsia"/>
        </w:rPr>
        <w:t>亦</w:t>
      </w:r>
      <w:r w:rsidR="00937FC2">
        <w:rPr>
          <w:rFonts w:hint="eastAsia"/>
        </w:rPr>
        <w:t>宜衡酌執行量能</w:t>
      </w:r>
      <w:r w:rsidR="009C5CBA">
        <w:rPr>
          <w:rFonts w:hint="eastAsia"/>
        </w:rPr>
        <w:t>覈</w:t>
      </w:r>
      <w:r w:rsidR="00937FC2">
        <w:rPr>
          <w:rFonts w:hint="eastAsia"/>
        </w:rPr>
        <w:t>實編列預算</w:t>
      </w:r>
      <w:bookmarkEnd w:id="8"/>
    </w:p>
    <w:p w:rsidR="003D5F0E" w:rsidRPr="00912D99" w:rsidRDefault="00963789" w:rsidP="00427ABC">
      <w:pPr>
        <w:ind w:left="566" w:firstLine="566"/>
      </w:pPr>
      <w:bookmarkStart w:id="9" w:name="OLE_LINK1"/>
      <w:bookmarkStart w:id="10" w:name="OLE_LINK2"/>
      <w:r w:rsidRPr="006D7ACE">
        <w:rPr>
          <w:rFonts w:hint="eastAsia"/>
        </w:rPr>
        <w:t>證券期貨局1</w:t>
      </w:r>
      <w:r>
        <w:t>1</w:t>
      </w:r>
      <w:r w:rsidR="00427ABC">
        <w:rPr>
          <w:rFonts w:hint="eastAsia"/>
        </w:rPr>
        <w:t>3</w:t>
      </w:r>
      <w:r w:rsidRPr="006D7ACE">
        <w:rPr>
          <w:rFonts w:hint="eastAsia"/>
        </w:rPr>
        <w:t>年度「</w:t>
      </w:r>
      <w:r w:rsidR="00427ABC">
        <w:rPr>
          <w:rFonts w:hint="eastAsia"/>
        </w:rPr>
        <w:t>一般行政</w:t>
      </w:r>
      <w:r w:rsidR="00DC0A9D">
        <w:rPr>
          <w:rFonts w:hint="eastAsia"/>
        </w:rPr>
        <w:t>-</w:t>
      </w:r>
      <w:r w:rsidR="00662074">
        <w:rPr>
          <w:rFonts w:hint="eastAsia"/>
        </w:rPr>
        <w:t>基本行政工作維持」</w:t>
      </w:r>
      <w:r w:rsidR="00427ABC">
        <w:rPr>
          <w:rFonts w:hint="eastAsia"/>
        </w:rPr>
        <w:t>預算數3,772萬9千元，實現數2,366萬4千元，占預算數62.72%，另有1,402萬</w:t>
      </w:r>
      <w:r w:rsidR="00F862A0">
        <w:rPr>
          <w:rFonts w:hint="eastAsia"/>
        </w:rPr>
        <w:t>則</w:t>
      </w:r>
      <w:r w:rsidR="00427ABC">
        <w:rPr>
          <w:rFonts w:hint="eastAsia"/>
        </w:rPr>
        <w:t>保留至114年度執行，保留比率達37.16%，主要係「證券期貨大樓辦公室及會議室改善工程」</w:t>
      </w:r>
      <w:r w:rsidR="00277ED0">
        <w:rPr>
          <w:rFonts w:hint="eastAsia"/>
        </w:rPr>
        <w:t>(下稱辦公室及會議室改善工程)及「證券期貨大樓外牆修繕工程」(下稱外牆修繕工程)</w:t>
      </w:r>
      <w:r w:rsidR="00533E74">
        <w:rPr>
          <w:rFonts w:hint="eastAsia"/>
        </w:rPr>
        <w:t>實際執行進度與預期存有落差所致</w:t>
      </w:r>
      <w:r w:rsidRPr="006D7ACE">
        <w:rPr>
          <w:rFonts w:hint="eastAsia"/>
        </w:rPr>
        <w:t>。</w:t>
      </w:r>
      <w:r w:rsidR="00533E74">
        <w:rPr>
          <w:rFonts w:hint="eastAsia"/>
        </w:rPr>
        <w:t>茲</w:t>
      </w:r>
      <w:r w:rsidR="00BB5EC5">
        <w:rPr>
          <w:rFonts w:hint="eastAsia"/>
        </w:rPr>
        <w:t>說明</w:t>
      </w:r>
      <w:r w:rsidR="00533E74">
        <w:rPr>
          <w:rFonts w:hint="eastAsia"/>
        </w:rPr>
        <w:t>如下</w:t>
      </w:r>
      <w:r>
        <w:rPr>
          <w:rFonts w:hint="eastAsia"/>
        </w:rPr>
        <w:t>：</w:t>
      </w:r>
      <w:bookmarkEnd w:id="9"/>
      <w:bookmarkEnd w:id="10"/>
    </w:p>
    <w:p w:rsidR="003D5F0E" w:rsidRPr="009D0FD9" w:rsidRDefault="003D5F0E" w:rsidP="003D5F0E">
      <w:pPr>
        <w:pStyle w:val="a4"/>
        <w:ind w:left="849" w:hanging="283"/>
        <w:rPr>
          <w:b/>
        </w:rPr>
      </w:pPr>
      <w:r w:rsidRPr="009D0FD9">
        <w:rPr>
          <w:rFonts w:hint="eastAsia"/>
          <w:b/>
        </w:rPr>
        <w:t>(一)</w:t>
      </w:r>
      <w:r w:rsidR="009D0FD9" w:rsidRPr="009D0FD9">
        <w:rPr>
          <w:rFonts w:hint="eastAsia"/>
          <w:b/>
        </w:rPr>
        <w:t>113年度</w:t>
      </w:r>
      <w:r w:rsidR="00140FDB" w:rsidRPr="009D0FD9">
        <w:rPr>
          <w:rFonts w:hint="eastAsia"/>
          <w:b/>
        </w:rPr>
        <w:t>辦公室及會議室改善工程與外牆修繕工程</w:t>
      </w:r>
      <w:r w:rsidR="00451993">
        <w:rPr>
          <w:rFonts w:hint="eastAsia"/>
          <w:b/>
        </w:rPr>
        <w:t>之</w:t>
      </w:r>
      <w:r w:rsidR="009D0FD9" w:rsidRPr="009D0FD9">
        <w:rPr>
          <w:rFonts w:hint="eastAsia"/>
          <w:b/>
        </w:rPr>
        <w:t>實現數</w:t>
      </w:r>
      <w:r w:rsidR="00451993">
        <w:rPr>
          <w:rFonts w:hint="eastAsia"/>
          <w:b/>
        </w:rPr>
        <w:t>皆</w:t>
      </w:r>
      <w:r w:rsidR="009D0FD9" w:rsidRPr="009D0FD9">
        <w:rPr>
          <w:rFonts w:hint="eastAsia"/>
          <w:b/>
        </w:rPr>
        <w:t>未達該年度預算之二成，</w:t>
      </w:r>
      <w:r w:rsidR="007655B1" w:rsidRPr="007655B1">
        <w:rPr>
          <w:rFonts w:hint="eastAsia"/>
          <w:b/>
        </w:rPr>
        <w:t>保留</w:t>
      </w:r>
      <w:r w:rsidR="003D1455">
        <w:rPr>
          <w:rFonts w:hint="eastAsia"/>
          <w:b/>
        </w:rPr>
        <w:t>比率</w:t>
      </w:r>
      <w:r w:rsidR="007655B1" w:rsidRPr="007655B1">
        <w:rPr>
          <w:rFonts w:hint="eastAsia"/>
          <w:b/>
        </w:rPr>
        <w:t>偏高</w:t>
      </w:r>
    </w:p>
    <w:p w:rsidR="00662074" w:rsidRPr="00A2634D" w:rsidRDefault="00662074" w:rsidP="00140FDB">
      <w:pPr>
        <w:pStyle w:val="22"/>
        <w:ind w:left="850" w:firstLine="566"/>
        <w:rPr>
          <w:rFonts w:hint="eastAsia"/>
        </w:rPr>
      </w:pPr>
      <w:r>
        <w:rPr>
          <w:rFonts w:hint="eastAsia"/>
        </w:rPr>
        <w:t>參據</w:t>
      </w:r>
      <w:r w:rsidRPr="006D7ACE">
        <w:rPr>
          <w:rFonts w:hint="eastAsia"/>
        </w:rPr>
        <w:t>證券期貨局</w:t>
      </w:r>
      <w:r>
        <w:rPr>
          <w:rFonts w:hint="eastAsia"/>
        </w:rPr>
        <w:t>113年度預算書，為辦理辦公室及會議室改善工程，</w:t>
      </w:r>
      <w:r w:rsidR="007F15F8">
        <w:rPr>
          <w:rFonts w:hint="eastAsia"/>
        </w:rPr>
        <w:t>該局</w:t>
      </w:r>
      <w:r>
        <w:rPr>
          <w:rFonts w:hint="eastAsia"/>
        </w:rPr>
        <w:t>規劃</w:t>
      </w:r>
      <w:r w:rsidR="007F15F8">
        <w:rPr>
          <w:rFonts w:hint="eastAsia"/>
        </w:rPr>
        <w:t>自113年度起，</w:t>
      </w:r>
      <w:r>
        <w:rPr>
          <w:rFonts w:hint="eastAsia"/>
        </w:rPr>
        <w:t>分2年度於</w:t>
      </w:r>
      <w:r w:rsidRPr="006D7ACE">
        <w:rPr>
          <w:rFonts w:hint="eastAsia"/>
        </w:rPr>
        <w:t>「</w:t>
      </w:r>
      <w:r>
        <w:rPr>
          <w:rFonts w:hint="eastAsia"/>
        </w:rPr>
        <w:t>一般行政</w:t>
      </w:r>
      <w:r w:rsidR="00390582">
        <w:rPr>
          <w:rFonts w:hint="eastAsia"/>
        </w:rPr>
        <w:t>-</w:t>
      </w:r>
      <w:r>
        <w:rPr>
          <w:rFonts w:hint="eastAsia"/>
        </w:rPr>
        <w:t>基本行政工作維持」編列</w:t>
      </w:r>
      <w:r w:rsidR="007F15F8">
        <w:rPr>
          <w:rFonts w:hint="eastAsia"/>
        </w:rPr>
        <w:t>預算，預估總經費共1,153萬7千元(113年度499萬5千元，114年度654萬2千元)</w:t>
      </w:r>
      <w:r w:rsidR="00BD68E9">
        <w:rPr>
          <w:rFonts w:hint="eastAsia"/>
        </w:rPr>
        <w:t>；</w:t>
      </w:r>
      <w:r w:rsidR="00390582">
        <w:rPr>
          <w:rFonts w:hint="eastAsia"/>
        </w:rPr>
        <w:t>另</w:t>
      </w:r>
      <w:r w:rsidR="00BD68E9">
        <w:rPr>
          <w:rFonts w:hint="eastAsia"/>
        </w:rPr>
        <w:t>據該局說明，</w:t>
      </w:r>
      <w:r w:rsidR="00D755DA">
        <w:rPr>
          <w:rFonts w:hint="eastAsia"/>
        </w:rPr>
        <w:t>證券期貨大樓因屋齡老舊，而有外牆磚面脫落，牆內滲水、龜裂及油漆剝落等危安問題，為維護公共安全，</w:t>
      </w:r>
      <w:r w:rsidR="00E74ECA">
        <w:rPr>
          <w:rFonts w:hint="eastAsia"/>
        </w:rPr>
        <w:t>爰</w:t>
      </w:r>
      <w:r w:rsidR="007118D3">
        <w:rPr>
          <w:rFonts w:hint="eastAsia"/>
        </w:rPr>
        <w:t>先後於</w:t>
      </w:r>
      <w:r w:rsidR="00E74ECA">
        <w:rPr>
          <w:rFonts w:hint="eastAsia"/>
        </w:rPr>
        <w:t>113及114年度編列763萬5千元及1,</w:t>
      </w:r>
      <w:r w:rsidR="005144D2">
        <w:rPr>
          <w:rFonts w:hint="eastAsia"/>
        </w:rPr>
        <w:t>440</w:t>
      </w:r>
      <w:r w:rsidR="007118D3">
        <w:rPr>
          <w:rFonts w:hint="eastAsia"/>
        </w:rPr>
        <w:t>萬元</w:t>
      </w:r>
      <w:r w:rsidR="00182F9A">
        <w:rPr>
          <w:rStyle w:val="af7"/>
        </w:rPr>
        <w:footnoteReference w:id="3"/>
      </w:r>
      <w:r w:rsidR="007118D3">
        <w:rPr>
          <w:rFonts w:hint="eastAsia"/>
        </w:rPr>
        <w:t>，</w:t>
      </w:r>
      <w:r w:rsidR="00080B78">
        <w:rPr>
          <w:rFonts w:hint="eastAsia"/>
        </w:rPr>
        <w:t>以</w:t>
      </w:r>
      <w:r w:rsidR="007118D3">
        <w:rPr>
          <w:rFonts w:hint="eastAsia"/>
        </w:rPr>
        <w:t>分別辦理第1期及第2期外牆修繕工程</w:t>
      </w:r>
      <w:r w:rsidR="00140FDB">
        <w:rPr>
          <w:rFonts w:hint="eastAsia"/>
        </w:rPr>
        <w:t>。</w:t>
      </w:r>
      <w:r w:rsidR="008978A0">
        <w:rPr>
          <w:rFonts w:hint="eastAsia"/>
        </w:rPr>
        <w:t>檢視</w:t>
      </w:r>
      <w:r w:rsidR="00133936">
        <w:rPr>
          <w:rFonts w:hint="eastAsia"/>
        </w:rPr>
        <w:t>113年度</w:t>
      </w:r>
      <w:r w:rsidR="009F228B" w:rsidRPr="00AD20B6">
        <w:rPr>
          <w:rFonts w:hint="eastAsia"/>
        </w:rPr>
        <w:t>辦公室及會議室改善工程</w:t>
      </w:r>
      <w:r w:rsidR="009F228B">
        <w:rPr>
          <w:rFonts w:hint="eastAsia"/>
        </w:rPr>
        <w:t>與</w:t>
      </w:r>
      <w:r w:rsidR="009F228B" w:rsidRPr="00AD20B6">
        <w:rPr>
          <w:rFonts w:hint="eastAsia"/>
        </w:rPr>
        <w:t>外牆修繕工程</w:t>
      </w:r>
      <w:r w:rsidR="00390582">
        <w:rPr>
          <w:rFonts w:hint="eastAsia"/>
        </w:rPr>
        <w:t>之執行，</w:t>
      </w:r>
      <w:r w:rsidR="00140FDB">
        <w:rPr>
          <w:rFonts w:hint="eastAsia"/>
        </w:rPr>
        <w:t>實現數</w:t>
      </w:r>
      <w:r w:rsidR="009F228B">
        <w:rPr>
          <w:rFonts w:hint="eastAsia"/>
        </w:rPr>
        <w:t>僅</w:t>
      </w:r>
      <w:r w:rsidR="00140FDB">
        <w:rPr>
          <w:rFonts w:hint="eastAsia"/>
        </w:rPr>
        <w:t>分別為63萬</w:t>
      </w:r>
      <w:r w:rsidR="00390582">
        <w:rPr>
          <w:rFonts w:hint="eastAsia"/>
        </w:rPr>
        <w:t>元</w:t>
      </w:r>
      <w:r w:rsidR="00140FDB">
        <w:rPr>
          <w:rFonts w:hint="eastAsia"/>
        </w:rPr>
        <w:t>及31萬2千</w:t>
      </w:r>
      <w:r w:rsidR="00746A4C">
        <w:rPr>
          <w:rFonts w:hint="eastAsia"/>
        </w:rPr>
        <w:t>元</w:t>
      </w:r>
      <w:r w:rsidR="00140FDB">
        <w:rPr>
          <w:rFonts w:hint="eastAsia"/>
        </w:rPr>
        <w:t>，占各該工程年度預算數之</w:t>
      </w:r>
      <w:r w:rsidR="009F228B">
        <w:rPr>
          <w:rFonts w:hint="eastAsia"/>
        </w:rPr>
        <w:t>比率皆</w:t>
      </w:r>
      <w:r w:rsidR="00140FDB">
        <w:rPr>
          <w:rFonts w:hint="eastAsia"/>
        </w:rPr>
        <w:t>未達二成</w:t>
      </w:r>
      <w:r w:rsidR="00A6608D">
        <w:rPr>
          <w:rFonts w:hint="eastAsia"/>
        </w:rPr>
        <w:t>，並</w:t>
      </w:r>
      <w:r w:rsidR="009F228B">
        <w:rPr>
          <w:rFonts w:hint="eastAsia"/>
        </w:rPr>
        <w:t>分別</w:t>
      </w:r>
      <w:r w:rsidR="00A6608D">
        <w:rPr>
          <w:rFonts w:hint="eastAsia"/>
        </w:rPr>
        <w:t>辦理</w:t>
      </w:r>
      <w:r w:rsidR="00140FDB">
        <w:rPr>
          <w:rFonts w:hint="eastAsia"/>
        </w:rPr>
        <w:t>保留</w:t>
      </w:r>
      <w:r w:rsidR="009F228B">
        <w:rPr>
          <w:rFonts w:hint="eastAsia"/>
        </w:rPr>
        <w:t>599</w:t>
      </w:r>
      <w:r w:rsidR="00140FDB">
        <w:rPr>
          <w:rFonts w:hint="eastAsia"/>
        </w:rPr>
        <w:t>萬</w:t>
      </w:r>
      <w:r w:rsidR="009F228B">
        <w:rPr>
          <w:rFonts w:hint="eastAsia"/>
        </w:rPr>
        <w:t>4</w:t>
      </w:r>
      <w:r w:rsidR="00140FDB">
        <w:rPr>
          <w:rFonts w:hint="eastAsia"/>
        </w:rPr>
        <w:t>千元</w:t>
      </w:r>
      <w:r w:rsidR="00A6608D">
        <w:rPr>
          <w:rFonts w:hint="eastAsia"/>
        </w:rPr>
        <w:t>及</w:t>
      </w:r>
      <w:r w:rsidR="009F228B">
        <w:rPr>
          <w:rFonts w:hint="eastAsia"/>
        </w:rPr>
        <w:t>802萬5千元</w:t>
      </w:r>
      <w:r w:rsidR="00140FDB">
        <w:rPr>
          <w:rFonts w:hint="eastAsia"/>
        </w:rPr>
        <w:t>至114年度繼續執行</w:t>
      </w:r>
      <w:r w:rsidR="009F228B">
        <w:rPr>
          <w:rFonts w:hint="eastAsia"/>
        </w:rPr>
        <w:t>，保留</w:t>
      </w:r>
      <w:r w:rsidR="00216B8B">
        <w:rPr>
          <w:rFonts w:hint="eastAsia"/>
        </w:rPr>
        <w:t>比率</w:t>
      </w:r>
      <w:r w:rsidR="009F228B">
        <w:rPr>
          <w:rFonts w:hint="eastAsia"/>
        </w:rPr>
        <w:t>偏高</w:t>
      </w:r>
      <w:r w:rsidR="009D0FD9">
        <w:rPr>
          <w:rFonts w:hint="eastAsia"/>
        </w:rPr>
        <w:t>(詳表1)</w:t>
      </w:r>
      <w:r w:rsidR="00140FDB">
        <w:rPr>
          <w:rFonts w:hint="eastAsia"/>
        </w:rPr>
        <w:t>。</w:t>
      </w:r>
    </w:p>
    <w:p w:rsidR="00D152AB" w:rsidRDefault="00D152AB" w:rsidP="0016794D">
      <w:pPr>
        <w:adjustRightInd w:val="0"/>
        <w:ind w:leftChars="0" w:left="850" w:rightChars="-200" w:right="-566" w:hangingChars="300" w:hanging="850"/>
        <w:rPr>
          <w:rFonts w:hint="eastAsia"/>
        </w:rPr>
      </w:pPr>
      <w:r w:rsidRPr="00B82CCE">
        <w:rPr>
          <w:rFonts w:hint="eastAsia"/>
          <w:b/>
        </w:rPr>
        <w:t>表</w:t>
      </w:r>
      <w:r>
        <w:rPr>
          <w:rFonts w:hint="eastAsia"/>
          <w:b/>
        </w:rPr>
        <w:t>1</w:t>
      </w:r>
      <w:r w:rsidRPr="00B82CCE">
        <w:rPr>
          <w:rFonts w:hint="eastAsia"/>
          <w:b/>
        </w:rPr>
        <w:t xml:space="preserve">　</w:t>
      </w:r>
      <w:r w:rsidR="00746A4C">
        <w:rPr>
          <w:rFonts w:hint="eastAsia"/>
          <w:b/>
        </w:rPr>
        <w:t>113年度</w:t>
      </w:r>
      <w:r w:rsidR="00B666C2" w:rsidRPr="00B666C2">
        <w:rPr>
          <w:rFonts w:hint="eastAsia"/>
          <w:b/>
        </w:rPr>
        <w:t>「證券期貨大樓辦公室及會議室改善工程」及「證券期貨大樓外牆修繕工程」</w:t>
      </w:r>
      <w:r w:rsidRPr="00B82CCE">
        <w:rPr>
          <w:rFonts w:hint="eastAsia"/>
          <w:b/>
        </w:rPr>
        <w:t>預算</w:t>
      </w:r>
      <w:r w:rsidR="00B666C2">
        <w:rPr>
          <w:rFonts w:hint="eastAsia"/>
          <w:b/>
        </w:rPr>
        <w:t>執行情形</w:t>
      </w:r>
      <w:r>
        <w:rPr>
          <w:rFonts w:hint="eastAsia"/>
          <w:b/>
        </w:rPr>
        <w:t>一覽</w:t>
      </w:r>
      <w:r w:rsidRPr="00B82CCE">
        <w:rPr>
          <w:rFonts w:hint="eastAsia"/>
          <w:b/>
        </w:rPr>
        <w:t>表</w:t>
      </w:r>
      <w:r w:rsidR="00B666C2">
        <w:rPr>
          <w:rFonts w:hint="eastAsia"/>
          <w:b/>
        </w:rPr>
        <w:t xml:space="preserve"> </w:t>
      </w:r>
      <w:r>
        <w:rPr>
          <w:rFonts w:hint="eastAsia"/>
          <w:b/>
        </w:rPr>
        <w:t xml:space="preserve">  </w:t>
      </w:r>
      <w:r>
        <w:rPr>
          <w:b/>
        </w:rPr>
        <w:t xml:space="preserve">   </w:t>
      </w:r>
      <w:r>
        <w:rPr>
          <w:rFonts w:hint="eastAsia"/>
          <w:b/>
        </w:rPr>
        <w:t xml:space="preserve"> </w:t>
      </w:r>
      <w:r w:rsidR="00A60756">
        <w:rPr>
          <w:rFonts w:hint="eastAsia"/>
          <w:b/>
        </w:rPr>
        <w:t xml:space="preserve"> </w:t>
      </w:r>
      <w:r w:rsidR="0016794D">
        <w:rPr>
          <w:rFonts w:hint="eastAsia"/>
          <w:b/>
        </w:rPr>
        <w:t xml:space="preserve"> </w:t>
      </w:r>
      <w:r w:rsidRPr="00B82CCE">
        <w:rPr>
          <w:rFonts w:hint="eastAsia"/>
          <w:sz w:val="24"/>
          <w:szCs w:val="24"/>
        </w:rPr>
        <w:t>單位：新臺幣千元</w:t>
      </w:r>
      <w:r>
        <w:rPr>
          <w:rFonts w:hint="eastAsia"/>
          <w:sz w:val="24"/>
          <w:szCs w:val="24"/>
        </w:rPr>
        <w:t>；%</w:t>
      </w:r>
    </w:p>
    <w:tbl>
      <w:tblPr>
        <w:tblW w:w="902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650"/>
        <w:gridCol w:w="1134"/>
        <w:gridCol w:w="1134"/>
        <w:gridCol w:w="1276"/>
        <w:gridCol w:w="1134"/>
        <w:gridCol w:w="1346"/>
        <w:gridCol w:w="1347"/>
      </w:tblGrid>
      <w:tr w:rsidR="00390582" w:rsidRPr="00D152AB" w:rsidTr="00390582">
        <w:trPr>
          <w:trHeight w:val="340"/>
          <w:tblHeader/>
        </w:trPr>
        <w:tc>
          <w:tcPr>
            <w:tcW w:w="1650" w:type="dxa"/>
            <w:vMerge w:val="restart"/>
            <w:tcBorders>
              <w:top w:val="single" w:sz="12" w:space="0" w:color="auto"/>
              <w:bottom w:val="single" w:sz="4" w:space="0" w:color="auto"/>
              <w:tl2br w:val="single" w:sz="6" w:space="0" w:color="auto"/>
            </w:tcBorders>
            <w:shd w:val="clear" w:color="auto" w:fill="auto"/>
            <w:vAlign w:val="center"/>
          </w:tcPr>
          <w:p w:rsidR="00390582" w:rsidRDefault="00390582" w:rsidP="00A60756">
            <w:pPr>
              <w:pStyle w:val="142"/>
              <w:jc w:val="center"/>
              <w:rPr>
                <w:b/>
                <w:bCs/>
              </w:rPr>
            </w:pPr>
            <w:r w:rsidRPr="00AD20B6">
              <w:rPr>
                <w:rFonts w:hint="eastAsia"/>
                <w:b/>
                <w:bCs/>
              </w:rPr>
              <w:t xml:space="preserve">        項目</w:t>
            </w:r>
          </w:p>
          <w:p w:rsidR="00390582" w:rsidRPr="00AD20B6" w:rsidRDefault="00390582" w:rsidP="00A60756">
            <w:pPr>
              <w:pStyle w:val="142"/>
              <w:jc w:val="center"/>
              <w:rPr>
                <w:rFonts w:hint="eastAsia"/>
                <w:b/>
                <w:bCs/>
              </w:rPr>
            </w:pPr>
          </w:p>
          <w:p w:rsidR="00390582" w:rsidRPr="00AD20B6" w:rsidRDefault="00390582" w:rsidP="004A4D16">
            <w:pPr>
              <w:pStyle w:val="142"/>
              <w:rPr>
                <w:rFonts w:hint="eastAsia"/>
                <w:b/>
                <w:bCs/>
              </w:rPr>
            </w:pPr>
            <w:r w:rsidRPr="00AD20B6">
              <w:rPr>
                <w:rFonts w:hint="eastAsia"/>
                <w:b/>
                <w:bCs/>
              </w:rPr>
              <w:t>工程</w:t>
            </w:r>
          </w:p>
        </w:tc>
        <w:tc>
          <w:tcPr>
            <w:tcW w:w="1134" w:type="dxa"/>
            <w:vMerge w:val="restart"/>
            <w:shd w:val="clear" w:color="auto" w:fill="auto"/>
            <w:vAlign w:val="center"/>
          </w:tcPr>
          <w:p w:rsidR="00390582" w:rsidRPr="00AD20B6" w:rsidRDefault="00390582" w:rsidP="00A60756">
            <w:pPr>
              <w:pStyle w:val="142"/>
              <w:jc w:val="center"/>
              <w:rPr>
                <w:b/>
                <w:bCs/>
              </w:rPr>
            </w:pPr>
            <w:r w:rsidRPr="00AD20B6">
              <w:rPr>
                <w:rFonts w:hint="eastAsia"/>
                <w:b/>
                <w:bCs/>
              </w:rPr>
              <w:t>預算數(</w:t>
            </w:r>
            <w:r w:rsidRPr="00AD20B6">
              <w:rPr>
                <w:b/>
                <w:bCs/>
              </w:rPr>
              <w:t>A)</w:t>
            </w:r>
          </w:p>
        </w:tc>
        <w:tc>
          <w:tcPr>
            <w:tcW w:w="3544" w:type="dxa"/>
            <w:gridSpan w:val="3"/>
            <w:shd w:val="clear" w:color="auto" w:fill="auto"/>
            <w:vAlign w:val="center"/>
          </w:tcPr>
          <w:p w:rsidR="00390582" w:rsidRPr="00AD20B6" w:rsidRDefault="00390582" w:rsidP="00A60756">
            <w:pPr>
              <w:pStyle w:val="142"/>
              <w:jc w:val="center"/>
              <w:rPr>
                <w:rFonts w:hint="eastAsia"/>
                <w:b/>
                <w:bCs/>
              </w:rPr>
            </w:pPr>
            <w:r w:rsidRPr="00AD20B6">
              <w:rPr>
                <w:rFonts w:hint="eastAsia"/>
                <w:b/>
                <w:bCs/>
              </w:rPr>
              <w:t>決算數</w:t>
            </w:r>
          </w:p>
        </w:tc>
        <w:tc>
          <w:tcPr>
            <w:tcW w:w="1346" w:type="dxa"/>
            <w:vMerge w:val="restart"/>
            <w:vAlign w:val="center"/>
          </w:tcPr>
          <w:p w:rsidR="00390582" w:rsidRPr="00AD20B6" w:rsidRDefault="00390582" w:rsidP="00390582">
            <w:pPr>
              <w:pStyle w:val="142"/>
              <w:jc w:val="center"/>
              <w:rPr>
                <w:b/>
                <w:bCs/>
              </w:rPr>
            </w:pPr>
            <w:r>
              <w:rPr>
                <w:rFonts w:hint="eastAsia"/>
                <w:b/>
                <w:bCs/>
              </w:rPr>
              <w:t>實現數比</w:t>
            </w:r>
            <w:r w:rsidRPr="00AD20B6">
              <w:rPr>
                <w:rFonts w:hint="eastAsia"/>
                <w:b/>
                <w:bCs/>
              </w:rPr>
              <w:t>率</w:t>
            </w:r>
          </w:p>
          <w:p w:rsidR="00390582" w:rsidRPr="00AD20B6" w:rsidRDefault="00390582" w:rsidP="00390582">
            <w:pPr>
              <w:pStyle w:val="142"/>
              <w:jc w:val="center"/>
              <w:rPr>
                <w:rFonts w:hint="eastAsia"/>
                <w:b/>
                <w:bCs/>
              </w:rPr>
            </w:pPr>
            <w:r w:rsidRPr="00AD20B6">
              <w:rPr>
                <w:rFonts w:hint="eastAsia"/>
                <w:b/>
                <w:bCs/>
              </w:rPr>
              <w:t>(</w:t>
            </w:r>
            <w:r w:rsidRPr="00AD20B6">
              <w:rPr>
                <w:b/>
                <w:bCs/>
              </w:rPr>
              <w:t>B)/</w:t>
            </w:r>
            <w:r w:rsidRPr="00AD20B6">
              <w:rPr>
                <w:rFonts w:hint="eastAsia"/>
                <w:b/>
                <w:bCs/>
              </w:rPr>
              <w:t>(</w:t>
            </w:r>
            <w:r w:rsidRPr="00AD20B6">
              <w:rPr>
                <w:b/>
                <w:bCs/>
              </w:rPr>
              <w:t>A)</w:t>
            </w:r>
            <w:r w:rsidRPr="00AD20B6">
              <w:rPr>
                <w:rFonts w:hint="eastAsia"/>
                <w:b/>
                <w:bCs/>
              </w:rPr>
              <w:t>×100%</w:t>
            </w:r>
          </w:p>
        </w:tc>
        <w:tc>
          <w:tcPr>
            <w:tcW w:w="1347" w:type="dxa"/>
            <w:vMerge w:val="restart"/>
          </w:tcPr>
          <w:p w:rsidR="00390582" w:rsidRPr="00AD20B6" w:rsidRDefault="00390582" w:rsidP="00390582">
            <w:pPr>
              <w:pStyle w:val="142"/>
              <w:jc w:val="center"/>
              <w:rPr>
                <w:b/>
                <w:bCs/>
              </w:rPr>
            </w:pPr>
            <w:r>
              <w:rPr>
                <w:rFonts w:hint="eastAsia"/>
                <w:b/>
                <w:bCs/>
              </w:rPr>
              <w:t>保留比</w:t>
            </w:r>
            <w:r w:rsidRPr="00AD20B6">
              <w:rPr>
                <w:rFonts w:hint="eastAsia"/>
                <w:b/>
                <w:bCs/>
              </w:rPr>
              <w:t>率</w:t>
            </w:r>
          </w:p>
          <w:p w:rsidR="00390582" w:rsidRPr="00AD20B6" w:rsidRDefault="00390582" w:rsidP="00390582">
            <w:pPr>
              <w:pStyle w:val="142"/>
              <w:jc w:val="center"/>
              <w:rPr>
                <w:rFonts w:hint="eastAsia"/>
                <w:b/>
                <w:bCs/>
              </w:rPr>
            </w:pPr>
            <w:r w:rsidRPr="00AD20B6">
              <w:rPr>
                <w:rFonts w:hint="eastAsia"/>
                <w:b/>
                <w:bCs/>
              </w:rPr>
              <w:t>(</w:t>
            </w:r>
            <w:r>
              <w:rPr>
                <w:rFonts w:hint="eastAsia"/>
                <w:b/>
                <w:bCs/>
              </w:rPr>
              <w:t>C</w:t>
            </w:r>
            <w:r w:rsidRPr="00AD20B6">
              <w:rPr>
                <w:b/>
                <w:bCs/>
              </w:rPr>
              <w:t>)/</w:t>
            </w:r>
            <w:r w:rsidRPr="00AD20B6">
              <w:rPr>
                <w:rFonts w:hint="eastAsia"/>
                <w:b/>
                <w:bCs/>
              </w:rPr>
              <w:t>(</w:t>
            </w:r>
            <w:r w:rsidRPr="00AD20B6">
              <w:rPr>
                <w:b/>
                <w:bCs/>
              </w:rPr>
              <w:t>A)</w:t>
            </w:r>
            <w:r w:rsidRPr="00AD20B6">
              <w:rPr>
                <w:rFonts w:hint="eastAsia"/>
                <w:b/>
                <w:bCs/>
              </w:rPr>
              <w:t>×100%</w:t>
            </w:r>
          </w:p>
        </w:tc>
      </w:tr>
      <w:tr w:rsidR="00390582" w:rsidRPr="00D152AB" w:rsidTr="00390582">
        <w:trPr>
          <w:trHeight w:val="340"/>
        </w:trPr>
        <w:tc>
          <w:tcPr>
            <w:tcW w:w="1650" w:type="dxa"/>
            <w:vMerge/>
            <w:tcBorders>
              <w:top w:val="single" w:sz="4" w:space="0" w:color="auto"/>
              <w:bottom w:val="single" w:sz="4" w:space="0" w:color="auto"/>
              <w:tl2br w:val="single" w:sz="6" w:space="0" w:color="auto"/>
            </w:tcBorders>
            <w:shd w:val="clear" w:color="auto" w:fill="auto"/>
            <w:vAlign w:val="center"/>
          </w:tcPr>
          <w:p w:rsidR="00390582" w:rsidRPr="00D152AB" w:rsidRDefault="00390582" w:rsidP="00A60756">
            <w:pPr>
              <w:pStyle w:val="142"/>
              <w:rPr>
                <w:rFonts w:hint="eastAsia"/>
              </w:rPr>
            </w:pPr>
          </w:p>
        </w:tc>
        <w:tc>
          <w:tcPr>
            <w:tcW w:w="1134" w:type="dxa"/>
            <w:vMerge/>
            <w:shd w:val="clear" w:color="auto" w:fill="auto"/>
            <w:vAlign w:val="center"/>
          </w:tcPr>
          <w:p w:rsidR="00390582" w:rsidRPr="00D152AB" w:rsidRDefault="00390582" w:rsidP="00A60756">
            <w:pPr>
              <w:pStyle w:val="142"/>
              <w:rPr>
                <w:rFonts w:hint="eastAsia"/>
              </w:rPr>
            </w:pPr>
          </w:p>
        </w:tc>
        <w:tc>
          <w:tcPr>
            <w:tcW w:w="1134" w:type="dxa"/>
            <w:shd w:val="clear" w:color="auto" w:fill="auto"/>
            <w:vAlign w:val="center"/>
          </w:tcPr>
          <w:p w:rsidR="00390582" w:rsidRPr="00AD20B6" w:rsidRDefault="00390582" w:rsidP="00A60756">
            <w:pPr>
              <w:pStyle w:val="142"/>
              <w:jc w:val="center"/>
              <w:rPr>
                <w:rFonts w:hint="eastAsia"/>
                <w:b/>
                <w:bCs/>
              </w:rPr>
            </w:pPr>
            <w:r w:rsidRPr="00AD20B6">
              <w:rPr>
                <w:rFonts w:hint="eastAsia"/>
                <w:b/>
                <w:bCs/>
              </w:rPr>
              <w:t>實現數(</w:t>
            </w:r>
            <w:r w:rsidRPr="00AD20B6">
              <w:rPr>
                <w:b/>
                <w:bCs/>
              </w:rPr>
              <w:t>B)</w:t>
            </w:r>
          </w:p>
        </w:tc>
        <w:tc>
          <w:tcPr>
            <w:tcW w:w="1276" w:type="dxa"/>
            <w:shd w:val="clear" w:color="auto" w:fill="auto"/>
            <w:vAlign w:val="center"/>
          </w:tcPr>
          <w:p w:rsidR="00390582" w:rsidRPr="00AD20B6" w:rsidRDefault="00390582" w:rsidP="00A60756">
            <w:pPr>
              <w:pStyle w:val="142"/>
              <w:jc w:val="center"/>
              <w:rPr>
                <w:rFonts w:hint="eastAsia"/>
                <w:b/>
                <w:bCs/>
              </w:rPr>
            </w:pPr>
            <w:r w:rsidRPr="00AD20B6">
              <w:rPr>
                <w:rFonts w:hint="eastAsia"/>
                <w:b/>
                <w:bCs/>
              </w:rPr>
              <w:t>保留數(</w:t>
            </w:r>
            <w:r>
              <w:rPr>
                <w:rFonts w:hint="eastAsia"/>
                <w:b/>
                <w:bCs/>
              </w:rPr>
              <w:t>C</w:t>
            </w:r>
            <w:r w:rsidRPr="00AD20B6">
              <w:rPr>
                <w:b/>
                <w:bCs/>
              </w:rPr>
              <w:t>)</w:t>
            </w:r>
          </w:p>
        </w:tc>
        <w:tc>
          <w:tcPr>
            <w:tcW w:w="1134" w:type="dxa"/>
            <w:vAlign w:val="center"/>
          </w:tcPr>
          <w:p w:rsidR="00390582" w:rsidRPr="00AD20B6" w:rsidRDefault="00390582" w:rsidP="00A60756">
            <w:pPr>
              <w:pStyle w:val="142"/>
              <w:jc w:val="center"/>
              <w:rPr>
                <w:rFonts w:hint="eastAsia"/>
                <w:b/>
                <w:bCs/>
              </w:rPr>
            </w:pPr>
            <w:r w:rsidRPr="00AD20B6">
              <w:rPr>
                <w:rFonts w:hint="eastAsia"/>
                <w:b/>
                <w:bCs/>
              </w:rPr>
              <w:t>合計</w:t>
            </w:r>
          </w:p>
        </w:tc>
        <w:tc>
          <w:tcPr>
            <w:tcW w:w="1346" w:type="dxa"/>
            <w:vMerge/>
          </w:tcPr>
          <w:p w:rsidR="00390582" w:rsidRPr="00D152AB" w:rsidRDefault="00390582" w:rsidP="00A60756">
            <w:pPr>
              <w:pStyle w:val="142"/>
              <w:rPr>
                <w:rFonts w:hint="eastAsia"/>
              </w:rPr>
            </w:pPr>
          </w:p>
        </w:tc>
        <w:tc>
          <w:tcPr>
            <w:tcW w:w="1347" w:type="dxa"/>
            <w:vMerge/>
          </w:tcPr>
          <w:p w:rsidR="00390582" w:rsidRPr="00D152AB" w:rsidRDefault="00390582" w:rsidP="00A60756">
            <w:pPr>
              <w:pStyle w:val="142"/>
              <w:rPr>
                <w:rFonts w:hint="eastAsia"/>
              </w:rPr>
            </w:pPr>
          </w:p>
        </w:tc>
      </w:tr>
      <w:tr w:rsidR="00390582" w:rsidRPr="00D152AB" w:rsidTr="00390582">
        <w:trPr>
          <w:trHeight w:val="340"/>
        </w:trPr>
        <w:tc>
          <w:tcPr>
            <w:tcW w:w="1650" w:type="dxa"/>
            <w:tcBorders>
              <w:top w:val="single" w:sz="4" w:space="0" w:color="auto"/>
            </w:tcBorders>
            <w:shd w:val="clear" w:color="auto" w:fill="auto"/>
            <w:vAlign w:val="center"/>
          </w:tcPr>
          <w:p w:rsidR="00390582" w:rsidRPr="00D152AB" w:rsidRDefault="00390582" w:rsidP="00AD20B6">
            <w:pPr>
              <w:pStyle w:val="142"/>
              <w:jc w:val="center"/>
            </w:pPr>
            <w:r w:rsidRPr="00AD20B6">
              <w:rPr>
                <w:rFonts w:hint="eastAsia"/>
              </w:rPr>
              <w:t>辦公室及會議室改善工程</w:t>
            </w:r>
          </w:p>
        </w:tc>
        <w:tc>
          <w:tcPr>
            <w:tcW w:w="1134" w:type="dxa"/>
            <w:shd w:val="clear" w:color="auto" w:fill="auto"/>
            <w:vAlign w:val="center"/>
          </w:tcPr>
          <w:p w:rsidR="00390582" w:rsidRPr="00D152AB" w:rsidRDefault="00390582" w:rsidP="008B1035">
            <w:pPr>
              <w:pStyle w:val="142"/>
              <w:jc w:val="right"/>
              <w:rPr>
                <w:rFonts w:hint="eastAsia"/>
              </w:rPr>
            </w:pPr>
            <w:r>
              <w:rPr>
                <w:rFonts w:hint="eastAsia"/>
              </w:rPr>
              <w:t>4,995</w:t>
            </w:r>
          </w:p>
        </w:tc>
        <w:tc>
          <w:tcPr>
            <w:tcW w:w="1134" w:type="dxa"/>
            <w:shd w:val="clear" w:color="auto" w:fill="auto"/>
            <w:vAlign w:val="center"/>
          </w:tcPr>
          <w:p w:rsidR="00390582" w:rsidRPr="00D152AB" w:rsidRDefault="00390582" w:rsidP="008B1035">
            <w:pPr>
              <w:pStyle w:val="142"/>
              <w:jc w:val="right"/>
              <w:rPr>
                <w:rFonts w:hint="eastAsia"/>
              </w:rPr>
            </w:pPr>
            <w:r>
              <w:rPr>
                <w:rFonts w:hint="eastAsia"/>
              </w:rPr>
              <w:t>630</w:t>
            </w:r>
          </w:p>
        </w:tc>
        <w:tc>
          <w:tcPr>
            <w:tcW w:w="1276" w:type="dxa"/>
            <w:shd w:val="clear" w:color="auto" w:fill="auto"/>
            <w:vAlign w:val="center"/>
          </w:tcPr>
          <w:p w:rsidR="00390582" w:rsidRPr="00D152AB" w:rsidRDefault="00390582" w:rsidP="008B1035">
            <w:pPr>
              <w:pStyle w:val="142"/>
              <w:jc w:val="right"/>
              <w:rPr>
                <w:rFonts w:hint="eastAsia"/>
              </w:rPr>
            </w:pPr>
            <w:r>
              <w:rPr>
                <w:rFonts w:hint="eastAsia"/>
              </w:rPr>
              <w:t>5,994</w:t>
            </w:r>
          </w:p>
        </w:tc>
        <w:tc>
          <w:tcPr>
            <w:tcW w:w="1134" w:type="dxa"/>
            <w:vAlign w:val="center"/>
          </w:tcPr>
          <w:p w:rsidR="00390582" w:rsidRPr="00D152AB" w:rsidRDefault="00390582" w:rsidP="008B1035">
            <w:pPr>
              <w:pStyle w:val="142"/>
              <w:jc w:val="right"/>
              <w:rPr>
                <w:rFonts w:hint="eastAsia"/>
              </w:rPr>
            </w:pPr>
            <w:r>
              <w:rPr>
                <w:rFonts w:hint="eastAsia"/>
              </w:rPr>
              <w:t>6,624</w:t>
            </w:r>
          </w:p>
        </w:tc>
        <w:tc>
          <w:tcPr>
            <w:tcW w:w="1346" w:type="dxa"/>
            <w:vAlign w:val="center"/>
          </w:tcPr>
          <w:p w:rsidR="00390582" w:rsidRPr="00D152AB" w:rsidRDefault="00390582" w:rsidP="00390582">
            <w:pPr>
              <w:pStyle w:val="142"/>
              <w:jc w:val="right"/>
              <w:rPr>
                <w:rFonts w:hint="eastAsia"/>
              </w:rPr>
            </w:pPr>
            <w:r>
              <w:rPr>
                <w:rFonts w:hint="eastAsia"/>
              </w:rPr>
              <w:t>12.61</w:t>
            </w:r>
          </w:p>
        </w:tc>
        <w:tc>
          <w:tcPr>
            <w:tcW w:w="1347" w:type="dxa"/>
            <w:vAlign w:val="center"/>
          </w:tcPr>
          <w:p w:rsidR="00390582" w:rsidRDefault="00390582" w:rsidP="00390582">
            <w:pPr>
              <w:pStyle w:val="142"/>
              <w:jc w:val="right"/>
              <w:rPr>
                <w:rFonts w:hint="eastAsia"/>
              </w:rPr>
            </w:pPr>
            <w:r>
              <w:rPr>
                <w:rFonts w:hint="eastAsia"/>
              </w:rPr>
              <w:t>120.00</w:t>
            </w:r>
          </w:p>
        </w:tc>
      </w:tr>
      <w:tr w:rsidR="00390582" w:rsidRPr="00D152AB" w:rsidTr="00390582">
        <w:trPr>
          <w:trHeight w:val="340"/>
        </w:trPr>
        <w:tc>
          <w:tcPr>
            <w:tcW w:w="1650" w:type="dxa"/>
            <w:shd w:val="clear" w:color="auto" w:fill="auto"/>
            <w:vAlign w:val="center"/>
          </w:tcPr>
          <w:p w:rsidR="00390582" w:rsidRPr="00D152AB" w:rsidRDefault="00390582" w:rsidP="00AD20B6">
            <w:pPr>
              <w:pStyle w:val="142"/>
              <w:jc w:val="center"/>
            </w:pPr>
            <w:r w:rsidRPr="00AD20B6">
              <w:rPr>
                <w:rFonts w:hint="eastAsia"/>
              </w:rPr>
              <w:t>外牆修繕工程</w:t>
            </w:r>
          </w:p>
        </w:tc>
        <w:tc>
          <w:tcPr>
            <w:tcW w:w="1134" w:type="dxa"/>
            <w:shd w:val="clear" w:color="auto" w:fill="auto"/>
            <w:vAlign w:val="center"/>
          </w:tcPr>
          <w:p w:rsidR="00390582" w:rsidRPr="00D152AB" w:rsidRDefault="00390582" w:rsidP="008B1035">
            <w:pPr>
              <w:pStyle w:val="142"/>
              <w:jc w:val="right"/>
              <w:rPr>
                <w:rFonts w:hint="eastAsia"/>
              </w:rPr>
            </w:pPr>
            <w:r>
              <w:rPr>
                <w:rFonts w:hint="eastAsia"/>
              </w:rPr>
              <w:t>7,635</w:t>
            </w:r>
          </w:p>
        </w:tc>
        <w:tc>
          <w:tcPr>
            <w:tcW w:w="1134" w:type="dxa"/>
            <w:shd w:val="clear" w:color="auto" w:fill="auto"/>
            <w:vAlign w:val="center"/>
          </w:tcPr>
          <w:p w:rsidR="00390582" w:rsidRPr="00D152AB" w:rsidRDefault="00390582" w:rsidP="008B1035">
            <w:pPr>
              <w:pStyle w:val="142"/>
              <w:jc w:val="right"/>
            </w:pPr>
            <w:r>
              <w:rPr>
                <w:rFonts w:hint="eastAsia"/>
              </w:rPr>
              <w:t>312</w:t>
            </w:r>
          </w:p>
        </w:tc>
        <w:tc>
          <w:tcPr>
            <w:tcW w:w="1276" w:type="dxa"/>
            <w:shd w:val="clear" w:color="auto" w:fill="auto"/>
            <w:vAlign w:val="center"/>
          </w:tcPr>
          <w:p w:rsidR="00390582" w:rsidRPr="00D152AB" w:rsidRDefault="00390582" w:rsidP="008B1035">
            <w:pPr>
              <w:pStyle w:val="142"/>
              <w:jc w:val="right"/>
              <w:rPr>
                <w:rFonts w:hint="eastAsia"/>
              </w:rPr>
            </w:pPr>
            <w:r>
              <w:rPr>
                <w:rFonts w:hint="eastAsia"/>
              </w:rPr>
              <w:t>8,025</w:t>
            </w:r>
          </w:p>
        </w:tc>
        <w:tc>
          <w:tcPr>
            <w:tcW w:w="1134" w:type="dxa"/>
            <w:vAlign w:val="center"/>
          </w:tcPr>
          <w:p w:rsidR="00390582" w:rsidRPr="00D152AB" w:rsidRDefault="00390582" w:rsidP="008B1035">
            <w:pPr>
              <w:pStyle w:val="142"/>
              <w:jc w:val="right"/>
              <w:rPr>
                <w:rFonts w:hint="eastAsia"/>
              </w:rPr>
            </w:pPr>
            <w:r>
              <w:rPr>
                <w:rFonts w:hint="eastAsia"/>
              </w:rPr>
              <w:t>8,337</w:t>
            </w:r>
          </w:p>
        </w:tc>
        <w:tc>
          <w:tcPr>
            <w:tcW w:w="1346" w:type="dxa"/>
            <w:vAlign w:val="center"/>
          </w:tcPr>
          <w:p w:rsidR="00390582" w:rsidRPr="00D152AB" w:rsidRDefault="00390582" w:rsidP="00390582">
            <w:pPr>
              <w:pStyle w:val="142"/>
              <w:jc w:val="right"/>
            </w:pPr>
            <w:r>
              <w:rPr>
                <w:rFonts w:hint="eastAsia"/>
              </w:rPr>
              <w:t>4.09</w:t>
            </w:r>
          </w:p>
        </w:tc>
        <w:tc>
          <w:tcPr>
            <w:tcW w:w="1347" w:type="dxa"/>
            <w:vAlign w:val="center"/>
          </w:tcPr>
          <w:p w:rsidR="00390582" w:rsidRDefault="00390582" w:rsidP="00390582">
            <w:pPr>
              <w:pStyle w:val="142"/>
              <w:jc w:val="right"/>
              <w:rPr>
                <w:rFonts w:hint="eastAsia"/>
              </w:rPr>
            </w:pPr>
            <w:r>
              <w:rPr>
                <w:rFonts w:hint="eastAsia"/>
              </w:rPr>
              <w:t>105.11</w:t>
            </w:r>
          </w:p>
        </w:tc>
      </w:tr>
    </w:tbl>
    <w:p w:rsidR="00D152AB" w:rsidRDefault="00D152AB" w:rsidP="0016794D">
      <w:pPr>
        <w:pStyle w:val="142"/>
        <w:ind w:left="1216" w:rightChars="-250" w:right="-708" w:hangingChars="500" w:hanging="1216"/>
        <w:rPr>
          <w:rFonts w:hint="eastAsia"/>
        </w:rPr>
      </w:pPr>
      <w:r>
        <w:rPr>
          <w:rFonts w:hint="eastAsia"/>
        </w:rPr>
        <w:t>說　　明：</w:t>
      </w:r>
      <w:r w:rsidR="009F228B">
        <w:rPr>
          <w:rFonts w:hint="eastAsia"/>
        </w:rPr>
        <w:t>詢據證券期貨局表示，</w:t>
      </w:r>
      <w:r w:rsidR="008E22AA">
        <w:rPr>
          <w:rFonts w:hint="eastAsia"/>
        </w:rPr>
        <w:t>為應實際業務需要，</w:t>
      </w:r>
      <w:r w:rsidR="007A2406">
        <w:rPr>
          <w:rFonts w:hint="eastAsia"/>
        </w:rPr>
        <w:t>而</w:t>
      </w:r>
      <w:r w:rsidR="008E22AA">
        <w:rPr>
          <w:rFonts w:hint="eastAsia"/>
        </w:rPr>
        <w:t>依相關規定辦理經費勻支，爰</w:t>
      </w:r>
      <w:r w:rsidR="00C20D51">
        <w:rPr>
          <w:rFonts w:hint="eastAsia"/>
        </w:rPr>
        <w:t>上開2工程</w:t>
      </w:r>
      <w:r w:rsidR="008E22AA">
        <w:rPr>
          <w:rFonts w:hint="eastAsia"/>
        </w:rPr>
        <w:t>113年度預算保留數超過預算數</w:t>
      </w:r>
      <w:r>
        <w:rPr>
          <w:rFonts w:hint="eastAsia"/>
        </w:rPr>
        <w:t>。</w:t>
      </w:r>
    </w:p>
    <w:p w:rsidR="00D152AB" w:rsidRDefault="00D152AB" w:rsidP="00D152AB">
      <w:pPr>
        <w:pStyle w:val="142"/>
        <w:ind w:left="1216" w:hangingChars="500" w:hanging="1216"/>
      </w:pPr>
      <w:r w:rsidRPr="009E2A7B">
        <w:rPr>
          <w:rFonts w:hint="eastAsia"/>
        </w:rPr>
        <w:t>資料來源：</w:t>
      </w:r>
      <w:r w:rsidR="008E22AA">
        <w:rPr>
          <w:rFonts w:hint="eastAsia"/>
        </w:rPr>
        <w:t>金管會</w:t>
      </w:r>
      <w:r>
        <w:rPr>
          <w:rFonts w:hint="eastAsia"/>
        </w:rPr>
        <w:t>，本中心彙製。</w:t>
      </w:r>
    </w:p>
    <w:p w:rsidR="003D5F0E" w:rsidRPr="00D152AB" w:rsidRDefault="003D5F0E" w:rsidP="00D152AB">
      <w:pPr>
        <w:pStyle w:val="a4"/>
        <w:ind w:left="849" w:hanging="283"/>
        <w:rPr>
          <w:rFonts w:hint="eastAsia"/>
          <w:b/>
          <w:bCs/>
        </w:rPr>
      </w:pPr>
      <w:r w:rsidRPr="00D152AB">
        <w:rPr>
          <w:rFonts w:hint="eastAsia"/>
          <w:b/>
          <w:bCs/>
        </w:rPr>
        <w:t>(二)</w:t>
      </w:r>
      <w:r w:rsidR="00495189" w:rsidRPr="00D152AB">
        <w:rPr>
          <w:rFonts w:hint="eastAsia"/>
          <w:b/>
          <w:bCs/>
        </w:rPr>
        <w:t>為確保工程如期完工 允宜審慎控管計畫進度</w:t>
      </w:r>
      <w:r w:rsidR="00AE0849">
        <w:rPr>
          <w:rFonts w:hint="eastAsia"/>
          <w:b/>
          <w:bCs/>
        </w:rPr>
        <w:t>、</w:t>
      </w:r>
      <w:r w:rsidR="00495189" w:rsidRPr="00D152AB">
        <w:rPr>
          <w:rFonts w:hint="eastAsia"/>
          <w:b/>
          <w:bCs/>
        </w:rPr>
        <w:t>切實執行，嗣後辦理類此案件，</w:t>
      </w:r>
      <w:r w:rsidR="00AE0849">
        <w:rPr>
          <w:rFonts w:hint="eastAsia"/>
          <w:b/>
          <w:bCs/>
        </w:rPr>
        <w:t>亦</w:t>
      </w:r>
      <w:r w:rsidR="00495189" w:rsidRPr="00D152AB">
        <w:rPr>
          <w:rFonts w:hint="eastAsia"/>
          <w:b/>
          <w:bCs/>
        </w:rPr>
        <w:t>宜妥善規劃並</w:t>
      </w:r>
      <w:r w:rsidR="00AE0849">
        <w:rPr>
          <w:rFonts w:hint="eastAsia"/>
          <w:b/>
          <w:bCs/>
        </w:rPr>
        <w:t>覈</w:t>
      </w:r>
      <w:r w:rsidR="00553210" w:rsidRPr="00553210">
        <w:rPr>
          <w:rFonts w:hint="eastAsia"/>
          <w:b/>
          <w:bCs/>
        </w:rPr>
        <w:t>實編列預算</w:t>
      </w:r>
    </w:p>
    <w:p w:rsidR="00F862A0" w:rsidRDefault="00F862A0" w:rsidP="00106022">
      <w:pPr>
        <w:pStyle w:val="22"/>
        <w:ind w:left="850" w:firstLine="566"/>
      </w:pPr>
      <w:r>
        <w:rPr>
          <w:rFonts w:hint="eastAsia"/>
        </w:rPr>
        <w:t>詢據</w:t>
      </w:r>
      <w:r w:rsidR="003704A1">
        <w:rPr>
          <w:rFonts w:hint="eastAsia"/>
        </w:rPr>
        <w:t>證券期貨局</w:t>
      </w:r>
      <w:r>
        <w:rPr>
          <w:rFonts w:hint="eastAsia"/>
        </w:rPr>
        <w:t>表示，辦公室及會議室改善工程</w:t>
      </w:r>
      <w:r w:rsidR="00AE0849">
        <w:rPr>
          <w:rFonts w:hint="eastAsia"/>
        </w:rPr>
        <w:t>之</w:t>
      </w:r>
      <w:r w:rsidRPr="00AD6803">
        <w:rPr>
          <w:rFonts w:hint="eastAsia"/>
        </w:rPr>
        <w:t>委託設計監造技術服務案經2次流標後始於113年7月19日決標，又設計階段因建築工料等營建成本持續上漲，囿於經費有限，經請監造單位重新調整工項及預算後，於同年11月25日</w:t>
      </w:r>
      <w:r w:rsidR="00AE0849">
        <w:rPr>
          <w:rFonts w:hint="eastAsia"/>
        </w:rPr>
        <w:t>始</w:t>
      </w:r>
      <w:r w:rsidRPr="00AD6803">
        <w:rPr>
          <w:rFonts w:hint="eastAsia"/>
        </w:rPr>
        <w:t>完成工程</w:t>
      </w:r>
      <w:r w:rsidR="00277ED0">
        <w:rPr>
          <w:rFonts w:hint="eastAsia"/>
        </w:rPr>
        <w:t>案</w:t>
      </w:r>
      <w:r w:rsidRPr="00AD6803">
        <w:rPr>
          <w:rFonts w:hint="eastAsia"/>
        </w:rPr>
        <w:t>決標</w:t>
      </w:r>
      <w:r w:rsidR="00277ED0">
        <w:rPr>
          <w:rFonts w:hint="eastAsia"/>
        </w:rPr>
        <w:t>，爰保留預算至114年度執行</w:t>
      </w:r>
      <w:r w:rsidR="00DA5550">
        <w:rPr>
          <w:rFonts w:hint="eastAsia"/>
        </w:rPr>
        <w:t>；</w:t>
      </w:r>
      <w:r w:rsidR="00277ED0">
        <w:rPr>
          <w:rFonts w:hint="eastAsia"/>
        </w:rPr>
        <w:t>另有關外牆修繕工程部分，據該局113年度決算書說明，</w:t>
      </w:r>
      <w:r w:rsidR="00507B53">
        <w:rPr>
          <w:rFonts w:hint="eastAsia"/>
        </w:rPr>
        <w:t>主要係外牆修繕</w:t>
      </w:r>
      <w:r w:rsidR="009E14A0">
        <w:rPr>
          <w:rFonts w:hint="eastAsia"/>
        </w:rPr>
        <w:t>施作工法</w:t>
      </w:r>
      <w:r w:rsidR="00AE0849">
        <w:rPr>
          <w:rFonts w:hint="eastAsia"/>
        </w:rPr>
        <w:t>依</w:t>
      </w:r>
      <w:r w:rsidR="009E14A0">
        <w:rPr>
          <w:rFonts w:hint="eastAsia"/>
        </w:rPr>
        <w:t>建築法規定，應向臺北市建築管理工程處申請變更使用執照後</w:t>
      </w:r>
      <w:r w:rsidR="00AE0849">
        <w:rPr>
          <w:rFonts w:hint="eastAsia"/>
        </w:rPr>
        <w:t>始</w:t>
      </w:r>
      <w:r w:rsidR="009E14A0">
        <w:rPr>
          <w:rFonts w:hint="eastAsia"/>
        </w:rPr>
        <w:t>得開工，惟截至113年底仍未獲核可，爰保</w:t>
      </w:r>
      <w:r w:rsidR="00AE0849">
        <w:rPr>
          <w:rFonts w:hint="eastAsia"/>
        </w:rPr>
        <w:t>留</w:t>
      </w:r>
      <w:r w:rsidR="00DA5550">
        <w:rPr>
          <w:rFonts w:hint="eastAsia"/>
        </w:rPr>
        <w:t>預算至114年度繼續辦理。允宜</w:t>
      </w:r>
      <w:r w:rsidR="00106022">
        <w:rPr>
          <w:rFonts w:hint="eastAsia"/>
        </w:rPr>
        <w:t>審慎控管計畫進度</w:t>
      </w:r>
      <w:r w:rsidR="00E5738F">
        <w:rPr>
          <w:rFonts w:hint="eastAsia"/>
        </w:rPr>
        <w:t>、</w:t>
      </w:r>
      <w:r w:rsidR="00106022">
        <w:rPr>
          <w:rFonts w:hint="eastAsia"/>
        </w:rPr>
        <w:t>切實執行，</w:t>
      </w:r>
      <w:r w:rsidR="00AE0849">
        <w:rPr>
          <w:rFonts w:hint="eastAsia"/>
        </w:rPr>
        <w:t>俾</w:t>
      </w:r>
      <w:r w:rsidR="00106022" w:rsidRPr="00277ED0">
        <w:rPr>
          <w:rFonts w:hint="eastAsia"/>
        </w:rPr>
        <w:t>工程如期</w:t>
      </w:r>
      <w:r w:rsidR="00AE0849">
        <w:rPr>
          <w:rFonts w:hint="eastAsia"/>
        </w:rPr>
        <w:t>如質</w:t>
      </w:r>
      <w:r w:rsidR="00106022" w:rsidRPr="00277ED0">
        <w:rPr>
          <w:rFonts w:hint="eastAsia"/>
        </w:rPr>
        <w:t>完工</w:t>
      </w:r>
      <w:r w:rsidR="00106022">
        <w:rPr>
          <w:rFonts w:hint="eastAsia"/>
        </w:rPr>
        <w:t>，</w:t>
      </w:r>
      <w:r w:rsidR="00AE0849">
        <w:rPr>
          <w:rFonts w:hint="eastAsia"/>
        </w:rPr>
        <w:t>且</w:t>
      </w:r>
      <w:r w:rsidR="00106022">
        <w:rPr>
          <w:rFonts w:hint="eastAsia"/>
        </w:rPr>
        <w:t>嗣後辦理類此案件，</w:t>
      </w:r>
      <w:r w:rsidR="00AE0849">
        <w:rPr>
          <w:rFonts w:hint="eastAsia"/>
        </w:rPr>
        <w:t>亦</w:t>
      </w:r>
      <w:r w:rsidR="00106022">
        <w:rPr>
          <w:rFonts w:hint="eastAsia"/>
        </w:rPr>
        <w:t>宜妥善規劃並衡酌執行量能</w:t>
      </w:r>
      <w:r w:rsidR="00AE0849">
        <w:rPr>
          <w:rFonts w:hint="eastAsia"/>
        </w:rPr>
        <w:t>覈</w:t>
      </w:r>
      <w:r w:rsidR="003704A1">
        <w:rPr>
          <w:rFonts w:hint="eastAsia"/>
        </w:rPr>
        <w:t>實編列</w:t>
      </w:r>
      <w:r w:rsidR="00106022">
        <w:rPr>
          <w:rFonts w:hint="eastAsia"/>
        </w:rPr>
        <w:t>預算。</w:t>
      </w:r>
    </w:p>
    <w:p w:rsidR="003D5F0E" w:rsidRDefault="003D5F0E" w:rsidP="007E7277">
      <w:pPr>
        <w:ind w:left="566" w:firstLine="566"/>
      </w:pPr>
      <w:r w:rsidRPr="008E2B9A">
        <w:rPr>
          <w:rFonts w:hint="eastAsia"/>
        </w:rPr>
        <w:t>綜上，</w:t>
      </w:r>
      <w:r w:rsidR="000C3C52" w:rsidRPr="000C3C52">
        <w:rPr>
          <w:rFonts w:hint="eastAsia"/>
        </w:rPr>
        <w:t>113年度辦公室及會議室改善工程與外牆修繕工程之實現數皆未達該年度預算之二成，保留比率偏高</w:t>
      </w:r>
      <w:r w:rsidR="00D2627C">
        <w:rPr>
          <w:rFonts w:hint="eastAsia"/>
        </w:rPr>
        <w:t>，允宜審慎控管計畫進度</w:t>
      </w:r>
      <w:r w:rsidR="00AE0849">
        <w:rPr>
          <w:rFonts w:hint="eastAsia"/>
        </w:rPr>
        <w:t>並</w:t>
      </w:r>
      <w:r w:rsidR="00D2627C">
        <w:rPr>
          <w:rFonts w:hint="eastAsia"/>
        </w:rPr>
        <w:t>切實執行，</w:t>
      </w:r>
      <w:r w:rsidR="00AE0849">
        <w:rPr>
          <w:rFonts w:hint="eastAsia"/>
        </w:rPr>
        <w:t>俾</w:t>
      </w:r>
      <w:r w:rsidR="00D2627C" w:rsidRPr="00277ED0">
        <w:rPr>
          <w:rFonts w:hint="eastAsia"/>
        </w:rPr>
        <w:t>工程如期</w:t>
      </w:r>
      <w:r w:rsidR="00AE0849">
        <w:rPr>
          <w:rFonts w:hint="eastAsia"/>
        </w:rPr>
        <w:t>如質</w:t>
      </w:r>
      <w:r w:rsidR="00D2627C" w:rsidRPr="00277ED0">
        <w:rPr>
          <w:rFonts w:hint="eastAsia"/>
        </w:rPr>
        <w:t>完工</w:t>
      </w:r>
      <w:r w:rsidR="00D2627C">
        <w:rPr>
          <w:rFonts w:hint="eastAsia"/>
        </w:rPr>
        <w:t>，嗣後辦理類此案件，</w:t>
      </w:r>
      <w:r w:rsidR="00AE0849">
        <w:rPr>
          <w:rFonts w:hint="eastAsia"/>
        </w:rPr>
        <w:t>亦</w:t>
      </w:r>
      <w:r w:rsidR="00D2627C">
        <w:rPr>
          <w:rFonts w:hint="eastAsia"/>
        </w:rPr>
        <w:t>宜妥善規劃，並</w:t>
      </w:r>
      <w:r w:rsidR="00AE0849">
        <w:rPr>
          <w:rFonts w:hint="eastAsia"/>
        </w:rPr>
        <w:t>覈</w:t>
      </w:r>
      <w:r w:rsidR="00D2627C">
        <w:rPr>
          <w:rFonts w:hint="eastAsia"/>
        </w:rPr>
        <w:t>實編列預算，</w:t>
      </w:r>
      <w:r w:rsidR="00AE0849">
        <w:rPr>
          <w:rFonts w:hint="eastAsia"/>
        </w:rPr>
        <w:t>以利預算資源有效運用</w:t>
      </w:r>
      <w:r w:rsidR="007E7277">
        <w:rPr>
          <w:rFonts w:hint="eastAsia"/>
        </w:rPr>
        <w:t>。</w:t>
      </w:r>
    </w:p>
    <w:p w:rsidR="003D5F0E" w:rsidRDefault="003D5F0E" w:rsidP="003D5F0E">
      <w:pPr>
        <w:ind w:left="566" w:firstLine="566"/>
      </w:pPr>
    </w:p>
    <w:p w:rsidR="00F629F5" w:rsidRPr="005E5FCF" w:rsidRDefault="003D5F0E" w:rsidP="00771738">
      <w:pPr>
        <w:pStyle w:val="14"/>
        <w:ind w:left="567" w:hanging="567"/>
        <w:rPr>
          <w:color w:val="000000"/>
        </w:rPr>
      </w:pPr>
      <w:bookmarkStart w:id="11" w:name="_Toc217892222"/>
      <w:bookmarkEnd w:id="7"/>
      <w:r>
        <w:rPr>
          <w:rFonts w:hint="eastAsia"/>
        </w:rPr>
        <w:t>三、</w:t>
      </w:r>
      <w:r w:rsidR="00F046BA" w:rsidRPr="00F046BA">
        <w:rPr>
          <w:rFonts w:hint="eastAsia"/>
          <w:color w:val="000000"/>
        </w:rPr>
        <w:t>民眾投保住宅及汽(機)車颱風、洪水險之比率偏低，</w:t>
      </w:r>
      <w:r w:rsidR="0012636E">
        <w:rPr>
          <w:rFonts w:hint="eastAsia"/>
        </w:rPr>
        <w:t>鑒於全球暖化趨勢加劇</w:t>
      </w:r>
      <w:r w:rsidR="0012636E" w:rsidRPr="0012636E">
        <w:rPr>
          <w:rFonts w:hint="eastAsia"/>
        </w:rPr>
        <w:t>，極端氣候</w:t>
      </w:r>
      <w:r w:rsidR="009A45A8">
        <w:rPr>
          <w:rFonts w:hint="eastAsia"/>
        </w:rPr>
        <w:t>致災</w:t>
      </w:r>
      <w:r w:rsidR="0012636E" w:rsidRPr="0012636E">
        <w:rPr>
          <w:rFonts w:hint="eastAsia"/>
        </w:rPr>
        <w:t>事件頻仍</w:t>
      </w:r>
      <w:r w:rsidR="0012636E">
        <w:rPr>
          <w:rFonts w:hint="eastAsia"/>
        </w:rPr>
        <w:t>，</w:t>
      </w:r>
      <w:r w:rsidR="00F046BA" w:rsidRPr="00F046BA">
        <w:rPr>
          <w:rFonts w:hint="eastAsia"/>
          <w:color w:val="000000"/>
        </w:rPr>
        <w:t>允宜研謀善策並強化宣導，俾提升</w:t>
      </w:r>
      <w:r w:rsidR="0012636E">
        <w:rPr>
          <w:rFonts w:hint="eastAsia"/>
          <w:color w:val="000000"/>
        </w:rPr>
        <w:t>對</w:t>
      </w:r>
      <w:r w:rsidR="00F046BA" w:rsidRPr="00F046BA">
        <w:rPr>
          <w:rFonts w:hint="eastAsia"/>
          <w:color w:val="000000"/>
        </w:rPr>
        <w:t>人民財產之保障，</w:t>
      </w:r>
      <w:r w:rsidR="00F406F7">
        <w:rPr>
          <w:rFonts w:hint="eastAsia"/>
          <w:color w:val="000000"/>
        </w:rPr>
        <w:t>及減少</w:t>
      </w:r>
      <w:r w:rsidR="00F046BA" w:rsidRPr="00F046BA">
        <w:rPr>
          <w:rFonts w:hint="eastAsia"/>
          <w:color w:val="000000"/>
        </w:rPr>
        <w:t>政府財政</w:t>
      </w:r>
      <w:r w:rsidR="00F406F7">
        <w:rPr>
          <w:rFonts w:hint="eastAsia"/>
          <w:color w:val="000000"/>
        </w:rPr>
        <w:t>負擔</w:t>
      </w:r>
      <w:bookmarkEnd w:id="11"/>
    </w:p>
    <w:p w:rsidR="00871225" w:rsidRPr="00592719" w:rsidRDefault="00871225" w:rsidP="008D053A">
      <w:pPr>
        <w:ind w:left="566" w:firstLine="566"/>
      </w:pPr>
      <w:r w:rsidRPr="002C1E2D">
        <w:rPr>
          <w:rFonts w:hint="eastAsia"/>
        </w:rPr>
        <w:t>保險局11</w:t>
      </w:r>
      <w:r w:rsidR="00F046BA">
        <w:t>3</w:t>
      </w:r>
      <w:r w:rsidRPr="002C1E2D">
        <w:rPr>
          <w:rFonts w:hint="eastAsia"/>
        </w:rPr>
        <w:t>年度「保險監理」預算數</w:t>
      </w:r>
      <w:r w:rsidR="00F046BA">
        <w:t>636</w:t>
      </w:r>
      <w:r w:rsidRPr="002C1E2D">
        <w:rPr>
          <w:rFonts w:hint="eastAsia"/>
        </w:rPr>
        <w:t>萬</w:t>
      </w:r>
      <w:r w:rsidR="00F046BA">
        <w:rPr>
          <w:rFonts w:hint="eastAsia"/>
        </w:rPr>
        <w:t>8</w:t>
      </w:r>
      <w:r w:rsidRPr="002C1E2D">
        <w:rPr>
          <w:rFonts w:hint="eastAsia"/>
        </w:rPr>
        <w:t>千元，決算數為</w:t>
      </w:r>
      <w:r w:rsidR="00F046BA">
        <w:t>596</w:t>
      </w:r>
      <w:r w:rsidRPr="002C1E2D">
        <w:rPr>
          <w:rFonts w:hint="eastAsia"/>
        </w:rPr>
        <w:t>萬</w:t>
      </w:r>
      <w:r w:rsidR="00F046BA">
        <w:rPr>
          <w:rFonts w:hint="eastAsia"/>
        </w:rPr>
        <w:t>3</w:t>
      </w:r>
      <w:r>
        <w:rPr>
          <w:rFonts w:hint="eastAsia"/>
        </w:rPr>
        <w:t>千</w:t>
      </w:r>
      <w:r w:rsidRPr="002C1E2D">
        <w:rPr>
          <w:rFonts w:hint="eastAsia"/>
        </w:rPr>
        <w:t>元</w:t>
      </w:r>
      <w:r>
        <w:rPr>
          <w:rFonts w:hint="eastAsia"/>
        </w:rPr>
        <w:t>(執行率9</w:t>
      </w:r>
      <w:r w:rsidR="00F046BA">
        <w:t>3.64</w:t>
      </w:r>
      <w:r>
        <w:rPr>
          <w:rFonts w:hint="eastAsia"/>
        </w:rPr>
        <w:t>%)</w:t>
      </w:r>
      <w:r w:rsidRPr="002C1E2D">
        <w:rPr>
          <w:rFonts w:hint="eastAsia"/>
        </w:rPr>
        <w:t>，</w:t>
      </w:r>
      <w:r w:rsidRPr="00364E31">
        <w:rPr>
          <w:rFonts w:hint="eastAsia"/>
        </w:rPr>
        <w:t>係</w:t>
      </w:r>
      <w:r w:rsidR="006166EE">
        <w:rPr>
          <w:rFonts w:hint="eastAsia"/>
        </w:rPr>
        <w:t>為</w:t>
      </w:r>
      <w:r w:rsidR="006166EE" w:rsidRPr="006166EE">
        <w:rPr>
          <w:rFonts w:hint="eastAsia"/>
        </w:rPr>
        <w:t>辦理保險業財</w:t>
      </w:r>
      <w:r w:rsidR="00F406F7">
        <w:rPr>
          <w:rFonts w:hint="eastAsia"/>
        </w:rPr>
        <w:t>務</w:t>
      </w:r>
      <w:r w:rsidR="006166EE" w:rsidRPr="006166EE">
        <w:rPr>
          <w:rFonts w:hint="eastAsia"/>
        </w:rPr>
        <w:t>業務及清償能力、各類保險商品審查、強制汽車責任保險、住宅地震保險及其他政策性保險之監理</w:t>
      </w:r>
      <w:r>
        <w:rPr>
          <w:rFonts w:hint="eastAsia"/>
        </w:rPr>
        <w:t>等經費</w:t>
      </w:r>
      <w:r w:rsidRPr="00364E31">
        <w:rPr>
          <w:rFonts w:hint="eastAsia"/>
        </w:rPr>
        <w:t>。經查：</w:t>
      </w:r>
    </w:p>
    <w:p w:rsidR="004D0F3C" w:rsidRPr="00D732B7" w:rsidRDefault="004D0F3C" w:rsidP="004D0F3C">
      <w:pPr>
        <w:pStyle w:val="a4"/>
        <w:ind w:left="849" w:hanging="283"/>
        <w:rPr>
          <w:rFonts w:hint="eastAsia"/>
          <w:b/>
          <w:bCs/>
        </w:rPr>
      </w:pPr>
      <w:r w:rsidRPr="00053093">
        <w:rPr>
          <w:rFonts w:hint="eastAsia"/>
          <w:b/>
          <w:bCs/>
        </w:rPr>
        <w:t>(</w:t>
      </w:r>
      <w:r>
        <w:rPr>
          <w:rFonts w:hint="eastAsia"/>
          <w:b/>
          <w:bCs/>
        </w:rPr>
        <w:t>一</w:t>
      </w:r>
      <w:r w:rsidRPr="00053093">
        <w:rPr>
          <w:rFonts w:hint="eastAsia"/>
          <w:b/>
          <w:bCs/>
        </w:rPr>
        <w:t>)</w:t>
      </w:r>
      <w:r>
        <w:rPr>
          <w:rFonts w:hint="eastAsia"/>
          <w:b/>
          <w:bCs/>
        </w:rPr>
        <w:t>我國民眾</w:t>
      </w:r>
      <w:r w:rsidR="00850829">
        <w:rPr>
          <w:rFonts w:hint="eastAsia"/>
          <w:b/>
          <w:bCs/>
        </w:rPr>
        <w:t>對於</w:t>
      </w:r>
      <w:r>
        <w:rPr>
          <w:rFonts w:hint="eastAsia"/>
          <w:b/>
          <w:bCs/>
        </w:rPr>
        <w:t>住宅及車輛</w:t>
      </w:r>
      <w:r w:rsidR="00850829">
        <w:rPr>
          <w:rFonts w:hint="eastAsia"/>
          <w:b/>
          <w:bCs/>
        </w:rPr>
        <w:t>投保</w:t>
      </w:r>
      <w:r>
        <w:rPr>
          <w:rFonts w:hint="eastAsia"/>
          <w:b/>
          <w:bCs/>
        </w:rPr>
        <w:t>颱風洪水相關保險之比率偏低</w:t>
      </w:r>
    </w:p>
    <w:p w:rsidR="00F406F7" w:rsidRDefault="001768D8" w:rsidP="004D0F3C">
      <w:pPr>
        <w:pStyle w:val="22"/>
        <w:ind w:left="850" w:firstLine="566"/>
      </w:pPr>
      <w:r>
        <w:rPr>
          <w:rFonts w:hint="eastAsia"/>
        </w:rPr>
        <w:t>我國住宅火災保險之承保範圍原未包含因颱風或洪水所造成之損失，民眾需額外加保颱風洪水附加條款方可獲得相關保障，嗣金管會考量住宅火災保險之損失率尚佳，為使民眾住家安全有更周全之保障，爰自109年起，在不調漲保費之前提下，擴大該保險之保障範圍，其中即包括</w:t>
      </w:r>
      <w:r w:rsidRPr="00444232">
        <w:rPr>
          <w:rFonts w:hint="eastAsia"/>
        </w:rPr>
        <w:t>對於</w:t>
      </w:r>
      <w:r w:rsidR="00EF66E9" w:rsidRPr="00EF66E9">
        <w:rPr>
          <w:rFonts w:hint="eastAsia"/>
        </w:rPr>
        <w:t>住宅建築物</w:t>
      </w:r>
      <w:r w:rsidRPr="00444232">
        <w:rPr>
          <w:rFonts w:hint="eastAsia"/>
        </w:rPr>
        <w:t>直接因颱風或洪水所致損失</w:t>
      </w:r>
      <w:r>
        <w:rPr>
          <w:rFonts w:hint="eastAsia"/>
        </w:rPr>
        <w:t>，</w:t>
      </w:r>
      <w:r w:rsidR="00EF66E9" w:rsidRPr="00EF66E9">
        <w:rPr>
          <w:rFonts w:hint="eastAsia"/>
        </w:rPr>
        <w:t>依照建築物所在地區別，分別提供新臺幣7,000至9,000元之基本保障，</w:t>
      </w:r>
      <w:r w:rsidR="00DF7754">
        <w:rPr>
          <w:rFonts w:hint="eastAsia"/>
        </w:rPr>
        <w:t>以</w:t>
      </w:r>
      <w:r w:rsidR="00EF66E9" w:rsidRPr="00EF66E9">
        <w:rPr>
          <w:rFonts w:hint="eastAsia"/>
        </w:rPr>
        <w:t>作為緊急復原之用</w:t>
      </w:r>
      <w:r>
        <w:rPr>
          <w:rFonts w:hint="eastAsia"/>
        </w:rPr>
        <w:t>，</w:t>
      </w:r>
      <w:r w:rsidR="004D0F3C" w:rsidRPr="00F44521">
        <w:rPr>
          <w:rFonts w:hint="eastAsia"/>
        </w:rPr>
        <w:t>民眾亦可視需求額外加保「超額颱風及洪水保險附加條款」，除提供更高保額外，並包含臨</w:t>
      </w:r>
      <w:r w:rsidR="004D0F3C" w:rsidRPr="00DC1C10">
        <w:rPr>
          <w:rFonts w:hint="eastAsia"/>
        </w:rPr>
        <w:t>時住宿費用及相關清除費用之保障</w:t>
      </w:r>
      <w:r w:rsidR="00EF66E9">
        <w:rPr>
          <w:rStyle w:val="af7"/>
        </w:rPr>
        <w:footnoteReference w:id="4"/>
      </w:r>
      <w:r w:rsidR="00F406F7">
        <w:rPr>
          <w:rFonts w:hint="eastAsia"/>
        </w:rPr>
        <w:t>。</w:t>
      </w:r>
      <w:r w:rsidR="004D0F3C">
        <w:rPr>
          <w:rFonts w:hint="eastAsia"/>
        </w:rPr>
        <w:t>另有關車輛部分，因該類事故所致</w:t>
      </w:r>
      <w:r w:rsidR="004D0F3C" w:rsidRPr="007363A2">
        <w:rPr>
          <w:rFonts w:hint="eastAsia"/>
        </w:rPr>
        <w:t>損失並非現行車體損失保險之承保範圍，民眾</w:t>
      </w:r>
      <w:r w:rsidR="004D0F3C">
        <w:rPr>
          <w:rFonts w:hint="eastAsia"/>
        </w:rPr>
        <w:t>則</w:t>
      </w:r>
      <w:r w:rsidR="004D0F3C" w:rsidRPr="007363A2">
        <w:rPr>
          <w:rFonts w:hint="eastAsia"/>
        </w:rPr>
        <w:t>需加保「颱風、地震、海嘯、冰雹、洪水或因雨積水附加條款」，</w:t>
      </w:r>
      <w:r w:rsidR="004D0F3C">
        <w:rPr>
          <w:rFonts w:hint="eastAsia"/>
        </w:rPr>
        <w:t>方能獲得相關保障</w:t>
      </w:r>
      <w:r w:rsidR="004D0F3C" w:rsidRPr="00DC1C10">
        <w:rPr>
          <w:rStyle w:val="af7"/>
        </w:rPr>
        <w:footnoteReference w:id="5"/>
      </w:r>
      <w:r w:rsidR="004D0F3C">
        <w:rPr>
          <w:rFonts w:hint="eastAsia"/>
        </w:rPr>
        <w:t>。</w:t>
      </w:r>
    </w:p>
    <w:p w:rsidR="004D0F3C" w:rsidRPr="00A92162" w:rsidRDefault="004D0F3C" w:rsidP="004D0F3C">
      <w:pPr>
        <w:pStyle w:val="22"/>
        <w:ind w:left="850" w:firstLine="566"/>
        <w:rPr>
          <w:rFonts w:hint="eastAsia"/>
        </w:rPr>
      </w:pPr>
      <w:r w:rsidRPr="00A92162">
        <w:rPr>
          <w:rFonts w:hint="eastAsia"/>
        </w:rPr>
        <w:t>據保險局提供資料，近年民眾對</w:t>
      </w:r>
      <w:r>
        <w:rPr>
          <w:rFonts w:hint="eastAsia"/>
        </w:rPr>
        <w:t>於</w:t>
      </w:r>
      <w:r w:rsidRPr="00A92162">
        <w:rPr>
          <w:rFonts w:hint="eastAsia"/>
        </w:rPr>
        <w:t>住宅、汽(機)車等有就颱風或洪水等事故投保相關保險之比率雖</w:t>
      </w:r>
      <w:r>
        <w:rPr>
          <w:rFonts w:hint="eastAsia"/>
        </w:rPr>
        <w:t>多</w:t>
      </w:r>
      <w:r w:rsidRPr="00A92162">
        <w:rPr>
          <w:rFonts w:hint="eastAsia"/>
        </w:rPr>
        <w:t>有成長，但比率仍偏低，分述如下：</w:t>
      </w:r>
    </w:p>
    <w:p w:rsidR="004D0F3C" w:rsidRPr="00444232" w:rsidRDefault="004D0F3C" w:rsidP="004D0F3C">
      <w:pPr>
        <w:pStyle w:val="123"/>
        <w:ind w:left="1133" w:hanging="283"/>
        <w:rPr>
          <w:rFonts w:hint="eastAsia"/>
        </w:rPr>
      </w:pPr>
      <w:r w:rsidRPr="00444232">
        <w:rPr>
          <w:rFonts w:hint="eastAsia"/>
          <w:b/>
          <w:bCs/>
        </w:rPr>
        <w:t>1.住宅：</w:t>
      </w:r>
      <w:r w:rsidRPr="00444232">
        <w:rPr>
          <w:rFonts w:hint="eastAsia"/>
        </w:rPr>
        <w:t>檢視住宅火災保險110至113</w:t>
      </w:r>
      <w:r>
        <w:rPr>
          <w:rFonts w:hint="eastAsia"/>
        </w:rPr>
        <w:t>年度總簽單件數，呈逐年穩定成長，</w:t>
      </w:r>
      <w:r w:rsidRPr="00444232">
        <w:rPr>
          <w:rFonts w:hint="eastAsia"/>
        </w:rPr>
        <w:t>迄</w:t>
      </w:r>
      <w:r>
        <w:rPr>
          <w:rFonts w:hint="eastAsia"/>
        </w:rPr>
        <w:t>113</w:t>
      </w:r>
      <w:r w:rsidRPr="00444232">
        <w:rPr>
          <w:rFonts w:hint="eastAsia"/>
        </w:rPr>
        <w:t>年度</w:t>
      </w:r>
      <w:r>
        <w:rPr>
          <w:rFonts w:hint="eastAsia"/>
        </w:rPr>
        <w:t>，</w:t>
      </w:r>
      <w:r w:rsidRPr="00444232">
        <w:rPr>
          <w:rFonts w:hint="eastAsia"/>
        </w:rPr>
        <w:t>全國房屋之投保比率</w:t>
      </w:r>
      <w:r>
        <w:rPr>
          <w:rFonts w:hint="eastAsia"/>
        </w:rPr>
        <w:t>38.89</w:t>
      </w:r>
      <w:r w:rsidRPr="00444232">
        <w:rPr>
          <w:rFonts w:hint="eastAsia"/>
        </w:rPr>
        <w:t>%，尚未及</w:t>
      </w:r>
      <w:r>
        <w:rPr>
          <w:rFonts w:hint="eastAsia"/>
        </w:rPr>
        <w:t>四</w:t>
      </w:r>
      <w:r w:rsidRPr="00444232">
        <w:rPr>
          <w:rFonts w:hint="eastAsia"/>
        </w:rPr>
        <w:t>成，比率</w:t>
      </w:r>
      <w:r>
        <w:rPr>
          <w:rFonts w:hint="eastAsia"/>
        </w:rPr>
        <w:t>不高</w:t>
      </w:r>
      <w:r w:rsidRPr="00444232">
        <w:rPr>
          <w:rFonts w:hint="eastAsia"/>
        </w:rPr>
        <w:t>，</w:t>
      </w:r>
      <w:r>
        <w:rPr>
          <w:rFonts w:hint="eastAsia"/>
        </w:rPr>
        <w:t>且其中86.68</w:t>
      </w:r>
      <w:r w:rsidRPr="00444232">
        <w:rPr>
          <w:rFonts w:hint="eastAsia"/>
        </w:rPr>
        <w:t>%係屬貸款戶，民眾自行投保者未及</w:t>
      </w:r>
      <w:r>
        <w:rPr>
          <w:rFonts w:hint="eastAsia"/>
        </w:rPr>
        <w:t>二</w:t>
      </w:r>
      <w:r w:rsidRPr="00444232">
        <w:rPr>
          <w:rFonts w:hint="eastAsia"/>
        </w:rPr>
        <w:t>成。復觀諸</w:t>
      </w:r>
      <w:r>
        <w:rPr>
          <w:rFonts w:hint="eastAsia"/>
        </w:rPr>
        <w:t>上開期間</w:t>
      </w:r>
      <w:r w:rsidRPr="00444232">
        <w:rPr>
          <w:rFonts w:hint="eastAsia"/>
        </w:rPr>
        <w:t>有加保「超額颱風及洪水保險附加條款」之簽單件數，</w:t>
      </w:r>
      <w:r>
        <w:rPr>
          <w:rFonts w:hint="eastAsia"/>
        </w:rPr>
        <w:t>亦</w:t>
      </w:r>
      <w:r w:rsidRPr="00444232">
        <w:rPr>
          <w:rFonts w:hint="eastAsia"/>
        </w:rPr>
        <w:t>概呈增加，惟占比僅</w:t>
      </w:r>
      <w:r>
        <w:rPr>
          <w:rFonts w:hint="eastAsia"/>
        </w:rPr>
        <w:t>介於0.18%至</w:t>
      </w:r>
      <w:r w:rsidRPr="00444232">
        <w:rPr>
          <w:rFonts w:hint="eastAsia"/>
        </w:rPr>
        <w:t>0.35%，比率甚低</w:t>
      </w:r>
      <w:r>
        <w:rPr>
          <w:rFonts w:hint="eastAsia"/>
        </w:rPr>
        <w:t>(詳表1)</w:t>
      </w:r>
      <w:r w:rsidRPr="00444232">
        <w:rPr>
          <w:rFonts w:hint="eastAsia"/>
        </w:rPr>
        <w:t>。</w:t>
      </w:r>
    </w:p>
    <w:p w:rsidR="004D0F3C" w:rsidRDefault="004D0F3C" w:rsidP="004D0F3C">
      <w:pPr>
        <w:pStyle w:val="123"/>
        <w:ind w:left="1133" w:hanging="283"/>
      </w:pPr>
      <w:r w:rsidRPr="00444232">
        <w:rPr>
          <w:rFonts w:hint="eastAsia"/>
          <w:b/>
          <w:bCs/>
        </w:rPr>
        <w:t>2.汽(機)車</w:t>
      </w:r>
      <w:r>
        <w:rPr>
          <w:rFonts w:hint="eastAsia"/>
          <w:b/>
          <w:bCs/>
        </w:rPr>
        <w:t>：</w:t>
      </w:r>
      <w:r w:rsidRPr="00B525B9">
        <w:rPr>
          <w:rFonts w:hint="eastAsia"/>
        </w:rPr>
        <w:t>據</w:t>
      </w:r>
      <w:r>
        <w:rPr>
          <w:rFonts w:hint="eastAsia"/>
        </w:rPr>
        <w:t>交通部網站及金管會提供資料，110至113年度間，汽車車體損失險有加保</w:t>
      </w:r>
      <w:r w:rsidRPr="0037475F">
        <w:rPr>
          <w:rFonts w:hint="eastAsia"/>
        </w:rPr>
        <w:t>颱風、洪水險</w:t>
      </w:r>
      <w:r>
        <w:rPr>
          <w:rFonts w:hint="eastAsia"/>
        </w:rPr>
        <w:t>之件數逐年穩定成長，然占同期間汽車登記數之比率，僅介於0.53%至0.82%間，占比尚未達1%；另上開期間機車車體損失險有加保</w:t>
      </w:r>
      <w:r w:rsidRPr="0037475F">
        <w:rPr>
          <w:rFonts w:hint="eastAsia"/>
        </w:rPr>
        <w:t>颱風、洪水險</w:t>
      </w:r>
      <w:r>
        <w:rPr>
          <w:rFonts w:hint="eastAsia"/>
        </w:rPr>
        <w:t>之件數，介於78至109件間，與同期間機車登記數1,400萬輛以上相比，占比甚低(詳表2)。</w:t>
      </w:r>
    </w:p>
    <w:p w:rsidR="004D0F3C" w:rsidRDefault="004D0F3C" w:rsidP="004D0F3C">
      <w:pPr>
        <w:pStyle w:val="22"/>
        <w:spacing w:beforeLines="20" w:before="100" w:line="360" w:lineRule="exact"/>
        <w:ind w:leftChars="-50" w:left="567" w:rightChars="-100" w:right="-283" w:hangingChars="250" w:hanging="709"/>
        <w:rPr>
          <w:rFonts w:hint="eastAsia"/>
          <w:snapToGrid/>
        </w:rPr>
      </w:pPr>
      <w:r>
        <w:rPr>
          <w:rFonts w:hint="eastAsia"/>
          <w:b/>
        </w:rPr>
        <w:t>表1  110至113年</w:t>
      </w:r>
      <w:r w:rsidRPr="002028BF">
        <w:rPr>
          <w:rFonts w:hint="eastAsia"/>
          <w:b/>
        </w:rPr>
        <w:t>度</w:t>
      </w:r>
      <w:r>
        <w:rPr>
          <w:rFonts w:hint="eastAsia"/>
          <w:b/>
        </w:rPr>
        <w:t>住宅火災保險及</w:t>
      </w:r>
      <w:r w:rsidRPr="002E085A">
        <w:rPr>
          <w:rFonts w:hint="eastAsia"/>
          <w:b/>
        </w:rPr>
        <w:t>加保「超額颱風及洪水保險附加條款」</w:t>
      </w:r>
      <w:r>
        <w:rPr>
          <w:rFonts w:hint="eastAsia"/>
          <w:b/>
        </w:rPr>
        <w:t xml:space="preserve">概況表                                       </w:t>
      </w:r>
      <w:r w:rsidRPr="00DE769A">
        <w:rPr>
          <w:rFonts w:hint="eastAsia"/>
          <w:snapToGrid/>
          <w:sz w:val="24"/>
          <w:szCs w:val="24"/>
        </w:rPr>
        <w:t>單位：件；%</w:t>
      </w:r>
      <w:r>
        <w:rPr>
          <w:rFonts w:hint="eastAsia"/>
          <w:snapToGrid/>
        </w:rPr>
        <w:t xml:space="preserve"> </w:t>
      </w:r>
    </w:p>
    <w:tbl>
      <w:tblPr>
        <w:tblW w:w="9073" w:type="dxa"/>
        <w:tblInd w:w="-19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1361"/>
        <w:gridCol w:w="1417"/>
        <w:gridCol w:w="1192"/>
        <w:gridCol w:w="1134"/>
        <w:gridCol w:w="2133"/>
        <w:gridCol w:w="1836"/>
      </w:tblGrid>
      <w:tr w:rsidR="004D0F3C" w:rsidRPr="004D0F3C" w:rsidTr="009549EB">
        <w:trPr>
          <w:trHeight w:val="340"/>
          <w:tblHeader/>
        </w:trPr>
        <w:tc>
          <w:tcPr>
            <w:tcW w:w="1361" w:type="dxa"/>
            <w:vMerge w:val="restart"/>
            <w:tcBorders>
              <w:top w:val="single" w:sz="12" w:space="0" w:color="000000"/>
              <w:bottom w:val="single" w:sz="6" w:space="0" w:color="000000"/>
              <w:tl2br w:val="single" w:sz="6" w:space="0" w:color="000000"/>
            </w:tcBorders>
            <w:shd w:val="clear" w:color="auto" w:fill="auto"/>
            <w:vAlign w:val="center"/>
            <w:hideMark/>
          </w:tcPr>
          <w:p w:rsidR="004D0F3C" w:rsidRPr="00C06387" w:rsidRDefault="004D0F3C" w:rsidP="004D0F3C">
            <w:pPr>
              <w:pStyle w:val="142"/>
              <w:rPr>
                <w:b/>
                <w:bCs/>
              </w:rPr>
            </w:pPr>
            <w:r w:rsidRPr="004D0F3C">
              <w:rPr>
                <w:rFonts w:hint="eastAsia"/>
              </w:rPr>
              <w:t xml:space="preserve">  </w:t>
            </w:r>
            <w:r w:rsidRPr="00C06387">
              <w:rPr>
                <w:rFonts w:hint="eastAsia"/>
                <w:b/>
                <w:bCs/>
              </w:rPr>
              <w:t xml:space="preserve">  項目</w:t>
            </w:r>
          </w:p>
          <w:p w:rsidR="004D0F3C" w:rsidRPr="00C06387" w:rsidRDefault="004D0F3C" w:rsidP="004D0F3C">
            <w:pPr>
              <w:pStyle w:val="142"/>
              <w:rPr>
                <w:b/>
                <w:bCs/>
              </w:rPr>
            </w:pPr>
          </w:p>
          <w:p w:rsidR="004D0F3C" w:rsidRPr="00C06387" w:rsidRDefault="004D0F3C" w:rsidP="004D0F3C">
            <w:pPr>
              <w:pStyle w:val="142"/>
              <w:rPr>
                <w:rFonts w:hint="eastAsia"/>
                <w:b/>
                <w:bCs/>
              </w:rPr>
            </w:pPr>
          </w:p>
          <w:p w:rsidR="004D0F3C" w:rsidRPr="004D0F3C" w:rsidRDefault="004D0F3C" w:rsidP="004D0F3C">
            <w:pPr>
              <w:pStyle w:val="142"/>
            </w:pPr>
            <w:r w:rsidRPr="00C06387">
              <w:rPr>
                <w:rFonts w:hint="eastAsia"/>
                <w:b/>
                <w:bCs/>
              </w:rPr>
              <w:t>年度</w:t>
            </w:r>
          </w:p>
        </w:tc>
        <w:tc>
          <w:tcPr>
            <w:tcW w:w="3743" w:type="dxa"/>
            <w:gridSpan w:val="3"/>
            <w:shd w:val="clear" w:color="auto" w:fill="auto"/>
            <w:noWrap/>
            <w:vAlign w:val="center"/>
          </w:tcPr>
          <w:p w:rsidR="004D0F3C" w:rsidRPr="00C06387" w:rsidRDefault="004D0F3C" w:rsidP="00C06387">
            <w:pPr>
              <w:pStyle w:val="142"/>
              <w:jc w:val="center"/>
              <w:rPr>
                <w:rFonts w:hint="eastAsia"/>
                <w:b/>
                <w:bCs/>
              </w:rPr>
            </w:pPr>
            <w:r w:rsidRPr="00C06387">
              <w:rPr>
                <w:rFonts w:hint="eastAsia"/>
                <w:b/>
                <w:bCs/>
              </w:rPr>
              <w:t>住宅火災保險</w:t>
            </w:r>
          </w:p>
        </w:tc>
        <w:tc>
          <w:tcPr>
            <w:tcW w:w="3969" w:type="dxa"/>
            <w:gridSpan w:val="2"/>
            <w:shd w:val="clear" w:color="auto" w:fill="auto"/>
            <w:vAlign w:val="center"/>
          </w:tcPr>
          <w:p w:rsidR="004D0F3C" w:rsidRPr="00C06387" w:rsidRDefault="004D0F3C" w:rsidP="00C06387">
            <w:pPr>
              <w:pStyle w:val="142"/>
              <w:jc w:val="center"/>
              <w:rPr>
                <w:rFonts w:hint="eastAsia"/>
                <w:b/>
                <w:bCs/>
              </w:rPr>
            </w:pPr>
            <w:r w:rsidRPr="00C06387">
              <w:rPr>
                <w:rFonts w:hint="eastAsia"/>
                <w:b/>
                <w:bCs/>
              </w:rPr>
              <w:t>加保「超額颱風及洪水保險附加條款」</w:t>
            </w:r>
          </w:p>
        </w:tc>
      </w:tr>
      <w:tr w:rsidR="004D0F3C" w:rsidRPr="004D0F3C" w:rsidTr="009549EB">
        <w:trPr>
          <w:trHeight w:val="665"/>
          <w:tblHeader/>
        </w:trPr>
        <w:tc>
          <w:tcPr>
            <w:tcW w:w="1361" w:type="dxa"/>
            <w:vMerge/>
            <w:tcBorders>
              <w:top w:val="single" w:sz="6" w:space="0" w:color="000000"/>
              <w:bottom w:val="single" w:sz="6" w:space="0" w:color="000000"/>
              <w:tl2br w:val="single" w:sz="6" w:space="0" w:color="000000"/>
            </w:tcBorders>
            <w:shd w:val="clear" w:color="auto" w:fill="auto"/>
            <w:vAlign w:val="center"/>
          </w:tcPr>
          <w:p w:rsidR="004D0F3C" w:rsidRPr="004D0F3C" w:rsidRDefault="004D0F3C" w:rsidP="004D0F3C">
            <w:pPr>
              <w:pStyle w:val="142"/>
              <w:rPr>
                <w:rFonts w:hint="eastAsia"/>
              </w:rPr>
            </w:pPr>
          </w:p>
        </w:tc>
        <w:tc>
          <w:tcPr>
            <w:tcW w:w="1417" w:type="dxa"/>
            <w:shd w:val="clear" w:color="auto" w:fill="auto"/>
            <w:noWrap/>
            <w:vAlign w:val="center"/>
          </w:tcPr>
          <w:p w:rsidR="004D0F3C" w:rsidRPr="00C06387" w:rsidRDefault="004D0F3C" w:rsidP="00C06387">
            <w:pPr>
              <w:pStyle w:val="142"/>
              <w:jc w:val="center"/>
              <w:rPr>
                <w:b/>
                <w:bCs/>
              </w:rPr>
            </w:pPr>
            <w:r w:rsidRPr="00C06387">
              <w:rPr>
                <w:rFonts w:hint="eastAsia"/>
                <w:b/>
                <w:bCs/>
              </w:rPr>
              <w:t>總簽單件數</w:t>
            </w:r>
          </w:p>
          <w:p w:rsidR="004D0F3C" w:rsidRPr="00C06387" w:rsidRDefault="004D0F3C" w:rsidP="00C06387">
            <w:pPr>
              <w:pStyle w:val="142"/>
              <w:jc w:val="center"/>
              <w:rPr>
                <w:rFonts w:hint="eastAsia"/>
                <w:b/>
                <w:bCs/>
              </w:rPr>
            </w:pPr>
            <w:r w:rsidRPr="00C06387">
              <w:rPr>
                <w:rFonts w:hint="eastAsia"/>
                <w:b/>
                <w:bCs/>
              </w:rPr>
              <w:t>(A)</w:t>
            </w:r>
          </w:p>
        </w:tc>
        <w:tc>
          <w:tcPr>
            <w:tcW w:w="1192" w:type="dxa"/>
            <w:shd w:val="clear" w:color="auto" w:fill="auto"/>
            <w:vAlign w:val="center"/>
          </w:tcPr>
          <w:p w:rsidR="004D0F3C" w:rsidRPr="00C06387" w:rsidRDefault="004D0F3C" w:rsidP="00C06387">
            <w:pPr>
              <w:pStyle w:val="142"/>
              <w:jc w:val="center"/>
              <w:rPr>
                <w:b/>
                <w:bCs/>
              </w:rPr>
            </w:pPr>
            <w:r w:rsidRPr="00C06387">
              <w:rPr>
                <w:rFonts w:hint="eastAsia"/>
                <w:b/>
                <w:bCs/>
              </w:rPr>
              <w:t>全國房屋投保比率</w:t>
            </w:r>
          </w:p>
          <w:p w:rsidR="004D0F3C" w:rsidRPr="00C06387" w:rsidRDefault="004D0F3C" w:rsidP="00C06387">
            <w:pPr>
              <w:pStyle w:val="142"/>
              <w:jc w:val="center"/>
              <w:rPr>
                <w:rFonts w:hint="eastAsia"/>
                <w:b/>
                <w:bCs/>
              </w:rPr>
            </w:pPr>
            <w:r w:rsidRPr="00C06387">
              <w:rPr>
                <w:rFonts w:hint="eastAsia"/>
                <w:b/>
                <w:bCs/>
              </w:rPr>
              <w:t>(詳說明)</w:t>
            </w:r>
          </w:p>
        </w:tc>
        <w:tc>
          <w:tcPr>
            <w:tcW w:w="1134" w:type="dxa"/>
            <w:vAlign w:val="center"/>
          </w:tcPr>
          <w:p w:rsidR="004D0F3C" w:rsidRPr="00C06387" w:rsidRDefault="004D0F3C" w:rsidP="00C06387">
            <w:pPr>
              <w:pStyle w:val="142"/>
              <w:jc w:val="center"/>
              <w:rPr>
                <w:b/>
                <w:bCs/>
              </w:rPr>
            </w:pPr>
            <w:r w:rsidRPr="00C06387">
              <w:rPr>
                <w:rFonts w:hint="eastAsia"/>
                <w:b/>
                <w:bCs/>
              </w:rPr>
              <w:t>貸款戶</w:t>
            </w:r>
          </w:p>
          <w:p w:rsidR="004D0F3C" w:rsidRPr="00C06387" w:rsidRDefault="004D0F3C" w:rsidP="00C06387">
            <w:pPr>
              <w:pStyle w:val="142"/>
              <w:jc w:val="center"/>
              <w:rPr>
                <w:b/>
                <w:bCs/>
              </w:rPr>
            </w:pPr>
            <w:r w:rsidRPr="00C06387">
              <w:rPr>
                <w:rFonts w:hint="eastAsia"/>
                <w:b/>
                <w:bCs/>
              </w:rPr>
              <w:t>件數比率</w:t>
            </w:r>
          </w:p>
          <w:p w:rsidR="004D0F3C" w:rsidRPr="00C06387" w:rsidRDefault="004D0F3C" w:rsidP="00C06387">
            <w:pPr>
              <w:pStyle w:val="142"/>
              <w:jc w:val="center"/>
              <w:rPr>
                <w:rFonts w:hint="eastAsia"/>
                <w:b/>
                <w:bCs/>
              </w:rPr>
            </w:pPr>
            <w:r w:rsidRPr="00C06387">
              <w:rPr>
                <w:rFonts w:hint="eastAsia"/>
                <w:b/>
                <w:bCs/>
              </w:rPr>
              <w:t>(詳說明)</w:t>
            </w:r>
          </w:p>
        </w:tc>
        <w:tc>
          <w:tcPr>
            <w:tcW w:w="2133" w:type="dxa"/>
            <w:shd w:val="clear" w:color="auto" w:fill="auto"/>
            <w:vAlign w:val="center"/>
          </w:tcPr>
          <w:p w:rsidR="004D0F3C" w:rsidRPr="00C06387" w:rsidRDefault="004D0F3C" w:rsidP="00C06387">
            <w:pPr>
              <w:pStyle w:val="142"/>
              <w:jc w:val="center"/>
              <w:rPr>
                <w:b/>
                <w:bCs/>
              </w:rPr>
            </w:pPr>
            <w:r w:rsidRPr="00C06387">
              <w:rPr>
                <w:rFonts w:hint="eastAsia"/>
                <w:b/>
                <w:bCs/>
              </w:rPr>
              <w:t>簽單件數</w:t>
            </w:r>
          </w:p>
          <w:p w:rsidR="004D0F3C" w:rsidRPr="00C06387" w:rsidRDefault="004D0F3C" w:rsidP="00C06387">
            <w:pPr>
              <w:pStyle w:val="142"/>
              <w:jc w:val="center"/>
              <w:rPr>
                <w:rFonts w:hint="eastAsia"/>
                <w:b/>
                <w:bCs/>
              </w:rPr>
            </w:pPr>
            <w:r w:rsidRPr="00C06387">
              <w:rPr>
                <w:rFonts w:hint="eastAsia"/>
                <w:b/>
                <w:bCs/>
              </w:rPr>
              <w:t>(B)</w:t>
            </w:r>
          </w:p>
        </w:tc>
        <w:tc>
          <w:tcPr>
            <w:tcW w:w="1836" w:type="dxa"/>
            <w:vAlign w:val="center"/>
          </w:tcPr>
          <w:p w:rsidR="004D0F3C" w:rsidRPr="00C06387" w:rsidRDefault="004D0F3C" w:rsidP="00C06387">
            <w:pPr>
              <w:pStyle w:val="142"/>
              <w:jc w:val="center"/>
              <w:rPr>
                <w:b/>
                <w:bCs/>
              </w:rPr>
            </w:pPr>
            <w:r w:rsidRPr="00C06387">
              <w:rPr>
                <w:rFonts w:hint="eastAsia"/>
                <w:b/>
                <w:bCs/>
              </w:rPr>
              <w:t>占比</w:t>
            </w:r>
          </w:p>
          <w:p w:rsidR="004D0F3C" w:rsidRPr="00C06387" w:rsidRDefault="004D0F3C" w:rsidP="00C06387">
            <w:pPr>
              <w:pStyle w:val="142"/>
              <w:jc w:val="center"/>
              <w:rPr>
                <w:rFonts w:hint="eastAsia"/>
                <w:b/>
                <w:bCs/>
              </w:rPr>
            </w:pPr>
            <w:r w:rsidRPr="00C06387">
              <w:rPr>
                <w:rFonts w:hint="eastAsia"/>
                <w:b/>
                <w:bCs/>
              </w:rPr>
              <w:t>(B)/(A)</w:t>
            </w:r>
          </w:p>
        </w:tc>
      </w:tr>
      <w:tr w:rsidR="004D0F3C" w:rsidRPr="004D0F3C" w:rsidTr="009549EB">
        <w:trPr>
          <w:trHeight w:val="340"/>
        </w:trPr>
        <w:tc>
          <w:tcPr>
            <w:tcW w:w="1361" w:type="dxa"/>
            <w:shd w:val="clear" w:color="auto" w:fill="auto"/>
            <w:vAlign w:val="center"/>
          </w:tcPr>
          <w:p w:rsidR="004D0F3C" w:rsidRPr="004D0F3C" w:rsidRDefault="004D0F3C" w:rsidP="00A56457">
            <w:pPr>
              <w:pStyle w:val="142"/>
              <w:jc w:val="center"/>
              <w:rPr>
                <w:rFonts w:hint="eastAsia"/>
              </w:rPr>
            </w:pPr>
            <w:r w:rsidRPr="004D0F3C">
              <w:rPr>
                <w:rFonts w:hint="eastAsia"/>
              </w:rPr>
              <w:t>110</w:t>
            </w:r>
          </w:p>
        </w:tc>
        <w:tc>
          <w:tcPr>
            <w:tcW w:w="1417" w:type="dxa"/>
            <w:shd w:val="clear" w:color="auto" w:fill="auto"/>
            <w:noWrap/>
            <w:vAlign w:val="center"/>
          </w:tcPr>
          <w:p w:rsidR="004D0F3C" w:rsidRPr="004D0F3C" w:rsidRDefault="004D0F3C" w:rsidP="00A56457">
            <w:pPr>
              <w:pStyle w:val="142"/>
              <w:jc w:val="right"/>
            </w:pPr>
            <w:r w:rsidRPr="004D0F3C">
              <w:t>3,480,606</w:t>
            </w:r>
          </w:p>
        </w:tc>
        <w:tc>
          <w:tcPr>
            <w:tcW w:w="1192" w:type="dxa"/>
            <w:vAlign w:val="center"/>
          </w:tcPr>
          <w:p w:rsidR="004D0F3C" w:rsidRPr="004D0F3C" w:rsidRDefault="004D0F3C" w:rsidP="00A56457">
            <w:pPr>
              <w:pStyle w:val="142"/>
              <w:jc w:val="right"/>
            </w:pPr>
            <w:r w:rsidRPr="004D0F3C">
              <w:t>36.88</w:t>
            </w:r>
          </w:p>
        </w:tc>
        <w:tc>
          <w:tcPr>
            <w:tcW w:w="1134" w:type="dxa"/>
            <w:vAlign w:val="center"/>
          </w:tcPr>
          <w:p w:rsidR="004D0F3C" w:rsidRPr="004D0F3C" w:rsidRDefault="004D0F3C" w:rsidP="00A56457">
            <w:pPr>
              <w:pStyle w:val="142"/>
              <w:jc w:val="right"/>
            </w:pPr>
            <w:r w:rsidRPr="004D0F3C">
              <w:t>89.15</w:t>
            </w:r>
          </w:p>
        </w:tc>
        <w:tc>
          <w:tcPr>
            <w:tcW w:w="2133" w:type="dxa"/>
            <w:shd w:val="clear" w:color="auto" w:fill="auto"/>
            <w:noWrap/>
            <w:vAlign w:val="center"/>
          </w:tcPr>
          <w:p w:rsidR="004D0F3C" w:rsidRPr="004D0F3C" w:rsidRDefault="004D0F3C" w:rsidP="00A56457">
            <w:pPr>
              <w:pStyle w:val="142"/>
              <w:jc w:val="right"/>
            </w:pPr>
            <w:r w:rsidRPr="004D0F3C">
              <w:t>6,487</w:t>
            </w:r>
          </w:p>
        </w:tc>
        <w:tc>
          <w:tcPr>
            <w:tcW w:w="1836" w:type="dxa"/>
            <w:vAlign w:val="center"/>
          </w:tcPr>
          <w:p w:rsidR="004D0F3C" w:rsidRPr="004D0F3C" w:rsidRDefault="004D0F3C" w:rsidP="00A56457">
            <w:pPr>
              <w:pStyle w:val="142"/>
              <w:jc w:val="right"/>
            </w:pPr>
            <w:r w:rsidRPr="004D0F3C">
              <w:t>0.19</w:t>
            </w:r>
          </w:p>
        </w:tc>
      </w:tr>
      <w:tr w:rsidR="004D0F3C" w:rsidRPr="004D0F3C" w:rsidTr="009549EB">
        <w:trPr>
          <w:trHeight w:val="340"/>
        </w:trPr>
        <w:tc>
          <w:tcPr>
            <w:tcW w:w="1361" w:type="dxa"/>
            <w:shd w:val="clear" w:color="auto" w:fill="auto"/>
            <w:vAlign w:val="center"/>
          </w:tcPr>
          <w:p w:rsidR="004D0F3C" w:rsidRPr="004D0F3C" w:rsidRDefault="004D0F3C" w:rsidP="00A56457">
            <w:pPr>
              <w:pStyle w:val="142"/>
              <w:jc w:val="center"/>
              <w:rPr>
                <w:rFonts w:hint="eastAsia"/>
              </w:rPr>
            </w:pPr>
            <w:r w:rsidRPr="004D0F3C">
              <w:rPr>
                <w:rFonts w:hint="eastAsia"/>
              </w:rPr>
              <w:t>111</w:t>
            </w:r>
          </w:p>
        </w:tc>
        <w:tc>
          <w:tcPr>
            <w:tcW w:w="1417" w:type="dxa"/>
            <w:shd w:val="clear" w:color="auto" w:fill="auto"/>
            <w:noWrap/>
            <w:vAlign w:val="center"/>
          </w:tcPr>
          <w:p w:rsidR="004D0F3C" w:rsidRPr="004D0F3C" w:rsidRDefault="004D0F3C" w:rsidP="00A56457">
            <w:pPr>
              <w:pStyle w:val="142"/>
              <w:jc w:val="right"/>
            </w:pPr>
            <w:r w:rsidRPr="004D0F3C">
              <w:t>3,581,398</w:t>
            </w:r>
          </w:p>
        </w:tc>
        <w:tc>
          <w:tcPr>
            <w:tcW w:w="1192" w:type="dxa"/>
            <w:vAlign w:val="center"/>
          </w:tcPr>
          <w:p w:rsidR="004D0F3C" w:rsidRPr="004D0F3C" w:rsidRDefault="004D0F3C" w:rsidP="00A56457">
            <w:pPr>
              <w:pStyle w:val="142"/>
              <w:jc w:val="right"/>
            </w:pPr>
            <w:r w:rsidRPr="004D0F3C">
              <w:t>37.46</w:t>
            </w:r>
          </w:p>
        </w:tc>
        <w:tc>
          <w:tcPr>
            <w:tcW w:w="1134" w:type="dxa"/>
            <w:vAlign w:val="center"/>
          </w:tcPr>
          <w:p w:rsidR="004D0F3C" w:rsidRPr="004D0F3C" w:rsidRDefault="004D0F3C" w:rsidP="00A56457">
            <w:pPr>
              <w:pStyle w:val="142"/>
              <w:jc w:val="right"/>
            </w:pPr>
            <w:r w:rsidRPr="004D0F3C">
              <w:t>88.44</w:t>
            </w:r>
          </w:p>
        </w:tc>
        <w:tc>
          <w:tcPr>
            <w:tcW w:w="2133" w:type="dxa"/>
            <w:shd w:val="clear" w:color="auto" w:fill="auto"/>
            <w:noWrap/>
            <w:vAlign w:val="center"/>
          </w:tcPr>
          <w:p w:rsidR="004D0F3C" w:rsidRPr="004D0F3C" w:rsidRDefault="004D0F3C" w:rsidP="00A56457">
            <w:pPr>
              <w:pStyle w:val="142"/>
              <w:jc w:val="right"/>
            </w:pPr>
            <w:r w:rsidRPr="004D0F3C">
              <w:t>6,380</w:t>
            </w:r>
          </w:p>
        </w:tc>
        <w:tc>
          <w:tcPr>
            <w:tcW w:w="1836" w:type="dxa"/>
            <w:vAlign w:val="center"/>
          </w:tcPr>
          <w:p w:rsidR="004D0F3C" w:rsidRPr="004D0F3C" w:rsidRDefault="004D0F3C" w:rsidP="00A56457">
            <w:pPr>
              <w:pStyle w:val="142"/>
              <w:jc w:val="right"/>
            </w:pPr>
            <w:r w:rsidRPr="004D0F3C">
              <w:t>0.18</w:t>
            </w:r>
          </w:p>
        </w:tc>
      </w:tr>
      <w:tr w:rsidR="004D0F3C" w:rsidRPr="004D0F3C" w:rsidTr="009549EB">
        <w:trPr>
          <w:trHeight w:val="340"/>
        </w:trPr>
        <w:tc>
          <w:tcPr>
            <w:tcW w:w="1361" w:type="dxa"/>
            <w:shd w:val="clear" w:color="auto" w:fill="auto"/>
            <w:vAlign w:val="center"/>
          </w:tcPr>
          <w:p w:rsidR="004D0F3C" w:rsidRPr="004D0F3C" w:rsidRDefault="004D0F3C" w:rsidP="00A56457">
            <w:pPr>
              <w:pStyle w:val="142"/>
              <w:jc w:val="center"/>
              <w:rPr>
                <w:rFonts w:hint="eastAsia"/>
              </w:rPr>
            </w:pPr>
            <w:r w:rsidRPr="004D0F3C">
              <w:rPr>
                <w:rFonts w:hint="eastAsia"/>
              </w:rPr>
              <w:t>112</w:t>
            </w:r>
          </w:p>
        </w:tc>
        <w:tc>
          <w:tcPr>
            <w:tcW w:w="1417" w:type="dxa"/>
            <w:shd w:val="clear" w:color="auto" w:fill="auto"/>
            <w:noWrap/>
            <w:vAlign w:val="center"/>
          </w:tcPr>
          <w:p w:rsidR="004D0F3C" w:rsidRPr="004D0F3C" w:rsidRDefault="004D0F3C" w:rsidP="00A56457">
            <w:pPr>
              <w:pStyle w:val="142"/>
              <w:jc w:val="right"/>
            </w:pPr>
            <w:r w:rsidRPr="004D0F3C">
              <w:t>3,635,127</w:t>
            </w:r>
          </w:p>
        </w:tc>
        <w:tc>
          <w:tcPr>
            <w:tcW w:w="1192" w:type="dxa"/>
            <w:vAlign w:val="center"/>
          </w:tcPr>
          <w:p w:rsidR="004D0F3C" w:rsidRPr="004D0F3C" w:rsidRDefault="004D0F3C" w:rsidP="00A56457">
            <w:pPr>
              <w:pStyle w:val="142"/>
              <w:jc w:val="right"/>
            </w:pPr>
            <w:r w:rsidRPr="004D0F3C">
              <w:t>37.85</w:t>
            </w:r>
          </w:p>
        </w:tc>
        <w:tc>
          <w:tcPr>
            <w:tcW w:w="1134" w:type="dxa"/>
            <w:vAlign w:val="center"/>
          </w:tcPr>
          <w:p w:rsidR="004D0F3C" w:rsidRPr="004D0F3C" w:rsidRDefault="004D0F3C" w:rsidP="00A56457">
            <w:pPr>
              <w:pStyle w:val="142"/>
              <w:jc w:val="right"/>
            </w:pPr>
            <w:r w:rsidRPr="004D0F3C">
              <w:t>87.82</w:t>
            </w:r>
          </w:p>
        </w:tc>
        <w:tc>
          <w:tcPr>
            <w:tcW w:w="2133" w:type="dxa"/>
            <w:shd w:val="clear" w:color="auto" w:fill="auto"/>
            <w:noWrap/>
            <w:vAlign w:val="center"/>
          </w:tcPr>
          <w:p w:rsidR="004D0F3C" w:rsidRPr="004D0F3C" w:rsidRDefault="004D0F3C" w:rsidP="00A56457">
            <w:pPr>
              <w:pStyle w:val="142"/>
              <w:jc w:val="right"/>
            </w:pPr>
            <w:r w:rsidRPr="004D0F3C">
              <w:t>8,039</w:t>
            </w:r>
          </w:p>
        </w:tc>
        <w:tc>
          <w:tcPr>
            <w:tcW w:w="1836" w:type="dxa"/>
            <w:vAlign w:val="center"/>
          </w:tcPr>
          <w:p w:rsidR="004D0F3C" w:rsidRPr="004D0F3C" w:rsidRDefault="004D0F3C" w:rsidP="00A56457">
            <w:pPr>
              <w:pStyle w:val="142"/>
              <w:jc w:val="right"/>
            </w:pPr>
            <w:r w:rsidRPr="004D0F3C">
              <w:t>0.22</w:t>
            </w:r>
          </w:p>
        </w:tc>
      </w:tr>
      <w:tr w:rsidR="004D0F3C" w:rsidRPr="004D0F3C" w:rsidTr="009549EB">
        <w:trPr>
          <w:trHeight w:val="340"/>
        </w:trPr>
        <w:tc>
          <w:tcPr>
            <w:tcW w:w="1361" w:type="dxa"/>
            <w:shd w:val="clear" w:color="auto" w:fill="auto"/>
            <w:vAlign w:val="center"/>
          </w:tcPr>
          <w:p w:rsidR="004D0F3C" w:rsidRPr="004D0F3C" w:rsidRDefault="004D0F3C" w:rsidP="00A56457">
            <w:pPr>
              <w:pStyle w:val="142"/>
              <w:jc w:val="center"/>
              <w:rPr>
                <w:rFonts w:hint="eastAsia"/>
              </w:rPr>
            </w:pPr>
            <w:r w:rsidRPr="004D0F3C">
              <w:rPr>
                <w:rFonts w:hint="eastAsia"/>
              </w:rPr>
              <w:t>113</w:t>
            </w:r>
          </w:p>
        </w:tc>
        <w:tc>
          <w:tcPr>
            <w:tcW w:w="1417" w:type="dxa"/>
            <w:shd w:val="clear" w:color="auto" w:fill="auto"/>
            <w:noWrap/>
            <w:vAlign w:val="center"/>
          </w:tcPr>
          <w:p w:rsidR="004D0F3C" w:rsidRPr="004D0F3C" w:rsidRDefault="004D0F3C" w:rsidP="00A56457">
            <w:pPr>
              <w:pStyle w:val="142"/>
              <w:jc w:val="right"/>
            </w:pPr>
            <w:r w:rsidRPr="004D0F3C">
              <w:t>3,837,387</w:t>
            </w:r>
          </w:p>
        </w:tc>
        <w:tc>
          <w:tcPr>
            <w:tcW w:w="1192" w:type="dxa"/>
            <w:vAlign w:val="center"/>
          </w:tcPr>
          <w:p w:rsidR="004D0F3C" w:rsidRPr="004D0F3C" w:rsidRDefault="004D0F3C" w:rsidP="00A56457">
            <w:pPr>
              <w:pStyle w:val="142"/>
              <w:jc w:val="right"/>
            </w:pPr>
            <w:r w:rsidRPr="004D0F3C">
              <w:t>38.89</w:t>
            </w:r>
          </w:p>
        </w:tc>
        <w:tc>
          <w:tcPr>
            <w:tcW w:w="1134" w:type="dxa"/>
            <w:vAlign w:val="center"/>
          </w:tcPr>
          <w:p w:rsidR="004D0F3C" w:rsidRPr="004D0F3C" w:rsidRDefault="004D0F3C" w:rsidP="00A56457">
            <w:pPr>
              <w:pStyle w:val="142"/>
              <w:jc w:val="right"/>
            </w:pPr>
            <w:r w:rsidRPr="004D0F3C">
              <w:t>86.68</w:t>
            </w:r>
          </w:p>
        </w:tc>
        <w:tc>
          <w:tcPr>
            <w:tcW w:w="2133" w:type="dxa"/>
            <w:shd w:val="clear" w:color="auto" w:fill="auto"/>
            <w:noWrap/>
            <w:vAlign w:val="center"/>
          </w:tcPr>
          <w:p w:rsidR="004D0F3C" w:rsidRPr="004D0F3C" w:rsidRDefault="004D0F3C" w:rsidP="00A56457">
            <w:pPr>
              <w:pStyle w:val="142"/>
              <w:jc w:val="right"/>
            </w:pPr>
            <w:r w:rsidRPr="004D0F3C">
              <w:t>13,499</w:t>
            </w:r>
          </w:p>
        </w:tc>
        <w:tc>
          <w:tcPr>
            <w:tcW w:w="1836" w:type="dxa"/>
            <w:vAlign w:val="center"/>
          </w:tcPr>
          <w:p w:rsidR="004D0F3C" w:rsidRPr="004D0F3C" w:rsidRDefault="004D0F3C" w:rsidP="00A56457">
            <w:pPr>
              <w:pStyle w:val="142"/>
              <w:jc w:val="right"/>
            </w:pPr>
            <w:r w:rsidRPr="004D0F3C">
              <w:t>0.35</w:t>
            </w:r>
          </w:p>
        </w:tc>
      </w:tr>
    </w:tbl>
    <w:p w:rsidR="004D0F3C" w:rsidRPr="000656B3" w:rsidRDefault="004D0F3C" w:rsidP="004D0F3C">
      <w:pPr>
        <w:pStyle w:val="142"/>
        <w:ind w:leftChars="-101" w:left="930" w:rightChars="-100" w:right="-283" w:hangingChars="500" w:hanging="1216"/>
        <w:jc w:val="both"/>
        <w:rPr>
          <w:rFonts w:ascii="Times New Roman"/>
          <w:snapToGrid/>
          <w:szCs w:val="24"/>
        </w:rPr>
      </w:pPr>
      <w:r>
        <w:rPr>
          <w:rFonts w:ascii="Times New Roman" w:hint="eastAsia"/>
          <w:snapToGrid/>
          <w:szCs w:val="24"/>
        </w:rPr>
        <w:t>說</w:t>
      </w:r>
      <w:r>
        <w:rPr>
          <w:rFonts w:ascii="Times New Roman" w:hint="eastAsia"/>
          <w:snapToGrid/>
          <w:szCs w:val="24"/>
        </w:rPr>
        <w:t xml:space="preserve">    </w:t>
      </w:r>
      <w:r>
        <w:rPr>
          <w:rFonts w:ascii="Times New Roman" w:hint="eastAsia"/>
          <w:snapToGrid/>
          <w:szCs w:val="24"/>
        </w:rPr>
        <w:t>明</w:t>
      </w:r>
      <w:r w:rsidRPr="006C601C">
        <w:rPr>
          <w:rFonts w:ascii="Times New Roman" w:hint="eastAsia"/>
          <w:snapToGrid/>
          <w:szCs w:val="24"/>
        </w:rPr>
        <w:t>：</w:t>
      </w:r>
      <w:r w:rsidRPr="00DE769A">
        <w:rPr>
          <w:rFonts w:hint="eastAsia"/>
        </w:rPr>
        <w:t>經洽保險局表示，有關住宅火災保險尚無全國房屋投保率及貸款戶件數等資料，考量政府自91年4月1日起實施住宅火災及地震基本保險制度，即住宅火災保險單自動涵蓋地震基本保險，且參考相關期刊亦以住宅地震保險之投保率論述住宅火災保險之投保概況，爰請該局提供住宅地震保險之投保率及貸款戶件數以大致了解住宅火災保險之投保概況，據該局提供資料顯示，該2類保險於110至113年度總簽單件數之差距僅介於0.12%至1.07%間。</w:t>
      </w:r>
    </w:p>
    <w:p w:rsidR="004D0F3C" w:rsidRDefault="004D0F3C" w:rsidP="004D0F3C">
      <w:pPr>
        <w:pStyle w:val="142"/>
        <w:ind w:leftChars="-101" w:left="930" w:rightChars="-100" w:right="-283" w:hangingChars="500" w:hanging="1216"/>
        <w:rPr>
          <w:rFonts w:ascii="Times New Roman"/>
          <w:snapToGrid/>
          <w:szCs w:val="24"/>
        </w:rPr>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：金管會保險局提供。</w:t>
      </w:r>
    </w:p>
    <w:p w:rsidR="004D0F3C" w:rsidRDefault="004D0F3C" w:rsidP="00F406F7">
      <w:pPr>
        <w:pStyle w:val="142"/>
        <w:spacing w:line="500" w:lineRule="exact"/>
        <w:ind w:leftChars="-100" w:left="-283" w:rightChars="-301" w:right="-852"/>
        <w:rPr>
          <w:rFonts w:hint="eastAsia"/>
          <w:snapToGrid/>
        </w:rPr>
      </w:pPr>
      <w:r>
        <w:rPr>
          <w:rFonts w:hint="eastAsia"/>
          <w:b/>
          <w:sz w:val="28"/>
        </w:rPr>
        <w:t>表2  110至113年</w:t>
      </w:r>
      <w:r w:rsidRPr="000B3E75">
        <w:rPr>
          <w:rFonts w:hint="eastAsia"/>
          <w:b/>
          <w:sz w:val="28"/>
        </w:rPr>
        <w:t>度</w:t>
      </w:r>
      <w:r>
        <w:rPr>
          <w:rFonts w:hint="eastAsia"/>
          <w:b/>
          <w:sz w:val="28"/>
        </w:rPr>
        <w:t>機動車輛附加颱風、洪水險概況表</w:t>
      </w:r>
      <w:r w:rsidR="00F406F7">
        <w:rPr>
          <w:rFonts w:hint="eastAsia"/>
          <w:b/>
          <w:sz w:val="28"/>
        </w:rPr>
        <w:t xml:space="preserve"> </w:t>
      </w:r>
      <w:r>
        <w:rPr>
          <w:rFonts w:hint="eastAsia"/>
          <w:b/>
          <w:sz w:val="28"/>
        </w:rPr>
        <w:t xml:space="preserve"> </w:t>
      </w:r>
      <w:r w:rsidRPr="005E55E3">
        <w:rPr>
          <w:rFonts w:hint="eastAsia"/>
          <w:snapToGrid/>
          <w:szCs w:val="24"/>
        </w:rPr>
        <w:t>單位：</w:t>
      </w:r>
      <w:r>
        <w:rPr>
          <w:rFonts w:hint="eastAsia"/>
          <w:snapToGrid/>
          <w:szCs w:val="24"/>
        </w:rPr>
        <w:t>輛；件；%</w:t>
      </w:r>
      <w:r>
        <w:rPr>
          <w:rFonts w:hint="eastAsia"/>
          <w:snapToGrid/>
        </w:rPr>
        <w:t xml:space="preserve"> </w:t>
      </w:r>
    </w:p>
    <w:tbl>
      <w:tblPr>
        <w:tblW w:w="9016" w:type="dxa"/>
        <w:tblInd w:w="-19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85" w:type="dxa"/>
          <w:right w:w="85" w:type="dxa"/>
        </w:tblCellMar>
        <w:tblLook w:val="04A0" w:firstRow="1" w:lastRow="0" w:firstColumn="1" w:lastColumn="0" w:noHBand="0" w:noVBand="1"/>
      </w:tblPr>
      <w:tblGrid>
        <w:gridCol w:w="1361"/>
        <w:gridCol w:w="1417"/>
        <w:gridCol w:w="1418"/>
        <w:gridCol w:w="1205"/>
        <w:gridCol w:w="1205"/>
        <w:gridCol w:w="1205"/>
        <w:gridCol w:w="1205"/>
      </w:tblGrid>
      <w:tr w:rsidR="004D0F3C" w:rsidRPr="004D0F3C" w:rsidTr="00F406F7">
        <w:trPr>
          <w:trHeight w:val="340"/>
          <w:tblHeader/>
        </w:trPr>
        <w:tc>
          <w:tcPr>
            <w:tcW w:w="1361" w:type="dxa"/>
            <w:vMerge w:val="restart"/>
            <w:tcBorders>
              <w:top w:val="single" w:sz="12" w:space="0" w:color="000000"/>
              <w:bottom w:val="single" w:sz="6" w:space="0" w:color="000000"/>
              <w:tl2br w:val="single" w:sz="6" w:space="0" w:color="000000"/>
            </w:tcBorders>
            <w:shd w:val="clear" w:color="auto" w:fill="auto"/>
            <w:vAlign w:val="center"/>
            <w:hideMark/>
          </w:tcPr>
          <w:p w:rsidR="004D0F3C" w:rsidRPr="002512F3" w:rsidRDefault="004D0F3C" w:rsidP="004D0F3C">
            <w:pPr>
              <w:pStyle w:val="142"/>
              <w:rPr>
                <w:b/>
                <w:bCs/>
              </w:rPr>
            </w:pPr>
            <w:r w:rsidRPr="002512F3">
              <w:rPr>
                <w:rFonts w:hint="eastAsia"/>
                <w:b/>
                <w:bCs/>
              </w:rPr>
              <w:t xml:space="preserve">    項目</w:t>
            </w:r>
          </w:p>
          <w:p w:rsidR="004D0F3C" w:rsidRPr="002512F3" w:rsidRDefault="004D0F3C" w:rsidP="004D0F3C">
            <w:pPr>
              <w:pStyle w:val="142"/>
              <w:rPr>
                <w:b/>
                <w:bCs/>
              </w:rPr>
            </w:pPr>
          </w:p>
          <w:p w:rsidR="004D0F3C" w:rsidRPr="002512F3" w:rsidRDefault="004D0F3C" w:rsidP="004D0F3C">
            <w:pPr>
              <w:pStyle w:val="142"/>
              <w:rPr>
                <w:b/>
                <w:bCs/>
              </w:rPr>
            </w:pPr>
            <w:r w:rsidRPr="002512F3">
              <w:rPr>
                <w:rFonts w:hint="eastAsia"/>
                <w:b/>
                <w:bCs/>
              </w:rPr>
              <w:t>年度</w:t>
            </w:r>
          </w:p>
        </w:tc>
        <w:tc>
          <w:tcPr>
            <w:tcW w:w="2835" w:type="dxa"/>
            <w:gridSpan w:val="2"/>
            <w:shd w:val="clear" w:color="auto" w:fill="auto"/>
            <w:noWrap/>
            <w:vAlign w:val="center"/>
          </w:tcPr>
          <w:p w:rsidR="004D0F3C" w:rsidRPr="002512F3" w:rsidRDefault="004D0F3C" w:rsidP="002512F3">
            <w:pPr>
              <w:pStyle w:val="142"/>
              <w:jc w:val="center"/>
              <w:rPr>
                <w:b/>
                <w:bCs/>
              </w:rPr>
            </w:pPr>
            <w:r w:rsidRPr="002512F3">
              <w:rPr>
                <w:rFonts w:hint="eastAsia"/>
                <w:b/>
                <w:bCs/>
              </w:rPr>
              <w:t>交通部機動車輛登記數</w:t>
            </w:r>
          </w:p>
        </w:tc>
        <w:tc>
          <w:tcPr>
            <w:tcW w:w="4820" w:type="dxa"/>
            <w:gridSpan w:val="4"/>
            <w:shd w:val="clear" w:color="auto" w:fill="auto"/>
            <w:vAlign w:val="center"/>
          </w:tcPr>
          <w:p w:rsidR="004D0F3C" w:rsidRPr="002512F3" w:rsidRDefault="004D0F3C" w:rsidP="002512F3">
            <w:pPr>
              <w:pStyle w:val="142"/>
              <w:jc w:val="center"/>
              <w:rPr>
                <w:rFonts w:hint="eastAsia"/>
                <w:b/>
                <w:bCs/>
              </w:rPr>
            </w:pPr>
            <w:r w:rsidRPr="002512F3">
              <w:rPr>
                <w:rFonts w:hint="eastAsia"/>
                <w:b/>
                <w:bCs/>
              </w:rPr>
              <w:t>附加投保颱風、洪水險(詳說明)</w:t>
            </w:r>
          </w:p>
        </w:tc>
      </w:tr>
      <w:tr w:rsidR="004D0F3C" w:rsidRPr="004D0F3C" w:rsidTr="00F406F7">
        <w:trPr>
          <w:trHeight w:val="340"/>
          <w:tblHeader/>
        </w:trPr>
        <w:tc>
          <w:tcPr>
            <w:tcW w:w="1361" w:type="dxa"/>
            <w:vMerge/>
            <w:tcBorders>
              <w:top w:val="single" w:sz="6" w:space="0" w:color="000000"/>
              <w:bottom w:val="single" w:sz="6" w:space="0" w:color="000000"/>
              <w:tl2br w:val="single" w:sz="6" w:space="0" w:color="000000"/>
            </w:tcBorders>
            <w:shd w:val="clear" w:color="auto" w:fill="auto"/>
            <w:vAlign w:val="center"/>
          </w:tcPr>
          <w:p w:rsidR="004D0F3C" w:rsidRPr="002512F3" w:rsidRDefault="004D0F3C" w:rsidP="004D0F3C">
            <w:pPr>
              <w:pStyle w:val="142"/>
              <w:rPr>
                <w:rFonts w:hint="eastAsia"/>
                <w:b/>
                <w:bCs/>
              </w:rPr>
            </w:pPr>
          </w:p>
        </w:tc>
        <w:tc>
          <w:tcPr>
            <w:tcW w:w="1417" w:type="dxa"/>
            <w:shd w:val="clear" w:color="auto" w:fill="auto"/>
            <w:noWrap/>
            <w:vAlign w:val="center"/>
          </w:tcPr>
          <w:p w:rsidR="004D0F3C" w:rsidRPr="002512F3" w:rsidRDefault="004D0F3C" w:rsidP="002512F3">
            <w:pPr>
              <w:pStyle w:val="142"/>
              <w:jc w:val="center"/>
              <w:rPr>
                <w:b/>
                <w:bCs/>
              </w:rPr>
            </w:pPr>
            <w:r w:rsidRPr="002512F3">
              <w:rPr>
                <w:rFonts w:hint="eastAsia"/>
                <w:b/>
                <w:bCs/>
              </w:rPr>
              <w:t>汽車</w:t>
            </w:r>
          </w:p>
          <w:p w:rsidR="004D0F3C" w:rsidRPr="002512F3" w:rsidRDefault="004D0F3C" w:rsidP="002512F3">
            <w:pPr>
              <w:pStyle w:val="142"/>
              <w:jc w:val="center"/>
              <w:rPr>
                <w:rFonts w:hint="eastAsia"/>
                <w:b/>
                <w:bCs/>
              </w:rPr>
            </w:pPr>
            <w:r w:rsidRPr="002512F3">
              <w:rPr>
                <w:rFonts w:hint="eastAsia"/>
                <w:b/>
                <w:bCs/>
              </w:rPr>
              <w:t>(A)</w:t>
            </w:r>
          </w:p>
        </w:tc>
        <w:tc>
          <w:tcPr>
            <w:tcW w:w="1418" w:type="dxa"/>
            <w:shd w:val="clear" w:color="auto" w:fill="auto"/>
            <w:vAlign w:val="center"/>
          </w:tcPr>
          <w:p w:rsidR="004D0F3C" w:rsidRPr="002512F3" w:rsidRDefault="004D0F3C" w:rsidP="002512F3">
            <w:pPr>
              <w:pStyle w:val="142"/>
              <w:jc w:val="center"/>
              <w:rPr>
                <w:b/>
                <w:bCs/>
              </w:rPr>
            </w:pPr>
            <w:r w:rsidRPr="002512F3">
              <w:rPr>
                <w:rFonts w:hint="eastAsia"/>
                <w:b/>
                <w:bCs/>
              </w:rPr>
              <w:t>機車</w:t>
            </w:r>
          </w:p>
          <w:p w:rsidR="004D0F3C" w:rsidRPr="002512F3" w:rsidRDefault="004D0F3C" w:rsidP="002512F3">
            <w:pPr>
              <w:pStyle w:val="142"/>
              <w:jc w:val="center"/>
              <w:rPr>
                <w:rFonts w:hint="eastAsia"/>
                <w:b/>
                <w:bCs/>
              </w:rPr>
            </w:pPr>
            <w:r w:rsidRPr="002512F3">
              <w:rPr>
                <w:rFonts w:hint="eastAsia"/>
                <w:b/>
                <w:bCs/>
              </w:rPr>
              <w:t>(B)</w:t>
            </w:r>
          </w:p>
        </w:tc>
        <w:tc>
          <w:tcPr>
            <w:tcW w:w="1205" w:type="dxa"/>
            <w:shd w:val="clear" w:color="auto" w:fill="auto"/>
            <w:vAlign w:val="center"/>
          </w:tcPr>
          <w:p w:rsidR="004D0F3C" w:rsidRPr="002512F3" w:rsidRDefault="004D0F3C" w:rsidP="002512F3">
            <w:pPr>
              <w:pStyle w:val="142"/>
              <w:jc w:val="center"/>
              <w:rPr>
                <w:b/>
                <w:bCs/>
              </w:rPr>
            </w:pPr>
            <w:r w:rsidRPr="002512F3">
              <w:rPr>
                <w:rFonts w:hint="eastAsia"/>
                <w:b/>
                <w:bCs/>
              </w:rPr>
              <w:t>汽車</w:t>
            </w:r>
          </w:p>
          <w:p w:rsidR="004D0F3C" w:rsidRPr="002512F3" w:rsidRDefault="004D0F3C" w:rsidP="002512F3">
            <w:pPr>
              <w:pStyle w:val="142"/>
              <w:jc w:val="center"/>
              <w:rPr>
                <w:rFonts w:hint="eastAsia"/>
                <w:b/>
                <w:bCs/>
              </w:rPr>
            </w:pPr>
            <w:r w:rsidRPr="002512F3">
              <w:rPr>
                <w:rFonts w:hint="eastAsia"/>
                <w:b/>
                <w:bCs/>
              </w:rPr>
              <w:t>(C)</w:t>
            </w:r>
          </w:p>
        </w:tc>
        <w:tc>
          <w:tcPr>
            <w:tcW w:w="1205" w:type="dxa"/>
            <w:shd w:val="clear" w:color="auto" w:fill="auto"/>
            <w:vAlign w:val="center"/>
          </w:tcPr>
          <w:p w:rsidR="004D0F3C" w:rsidRPr="002512F3" w:rsidRDefault="004D0F3C" w:rsidP="002512F3">
            <w:pPr>
              <w:pStyle w:val="142"/>
              <w:jc w:val="center"/>
              <w:rPr>
                <w:rFonts w:hint="eastAsia"/>
                <w:b/>
                <w:bCs/>
              </w:rPr>
            </w:pPr>
            <w:r w:rsidRPr="002512F3">
              <w:rPr>
                <w:rFonts w:hint="eastAsia"/>
                <w:b/>
                <w:bCs/>
              </w:rPr>
              <w:t>占比(C)/(A)</w:t>
            </w:r>
          </w:p>
        </w:tc>
        <w:tc>
          <w:tcPr>
            <w:tcW w:w="1205" w:type="dxa"/>
            <w:vAlign w:val="center"/>
          </w:tcPr>
          <w:p w:rsidR="004D0F3C" w:rsidRPr="002512F3" w:rsidRDefault="004D0F3C" w:rsidP="002512F3">
            <w:pPr>
              <w:pStyle w:val="142"/>
              <w:jc w:val="center"/>
              <w:rPr>
                <w:b/>
                <w:bCs/>
              </w:rPr>
            </w:pPr>
            <w:r w:rsidRPr="002512F3">
              <w:rPr>
                <w:rFonts w:hint="eastAsia"/>
                <w:b/>
                <w:bCs/>
              </w:rPr>
              <w:t>機車</w:t>
            </w:r>
          </w:p>
          <w:p w:rsidR="004D0F3C" w:rsidRPr="002512F3" w:rsidRDefault="004D0F3C" w:rsidP="002512F3">
            <w:pPr>
              <w:pStyle w:val="142"/>
              <w:jc w:val="center"/>
              <w:rPr>
                <w:rFonts w:hint="eastAsia"/>
                <w:b/>
                <w:bCs/>
              </w:rPr>
            </w:pPr>
            <w:r w:rsidRPr="002512F3">
              <w:rPr>
                <w:rFonts w:hint="eastAsia"/>
                <w:b/>
                <w:bCs/>
              </w:rPr>
              <w:t>(D)</w:t>
            </w:r>
          </w:p>
        </w:tc>
        <w:tc>
          <w:tcPr>
            <w:tcW w:w="1205" w:type="dxa"/>
            <w:vAlign w:val="center"/>
          </w:tcPr>
          <w:p w:rsidR="004D0F3C" w:rsidRPr="002512F3" w:rsidRDefault="004D0F3C" w:rsidP="002512F3">
            <w:pPr>
              <w:pStyle w:val="142"/>
              <w:jc w:val="center"/>
              <w:rPr>
                <w:rFonts w:hint="eastAsia"/>
                <w:b/>
                <w:bCs/>
              </w:rPr>
            </w:pPr>
            <w:r w:rsidRPr="002512F3">
              <w:rPr>
                <w:rFonts w:hint="eastAsia"/>
                <w:b/>
                <w:bCs/>
              </w:rPr>
              <w:t>占比(D)/(</w:t>
            </w:r>
            <w:r w:rsidRPr="002512F3">
              <w:rPr>
                <w:b/>
                <w:bCs/>
              </w:rPr>
              <w:t>B</w:t>
            </w:r>
            <w:r w:rsidRPr="002512F3">
              <w:rPr>
                <w:rFonts w:hint="eastAsia"/>
                <w:b/>
                <w:bCs/>
              </w:rPr>
              <w:t>)</w:t>
            </w:r>
          </w:p>
        </w:tc>
      </w:tr>
      <w:tr w:rsidR="004D0F3C" w:rsidRPr="004D0F3C" w:rsidTr="00F406F7">
        <w:trPr>
          <w:trHeight w:val="340"/>
        </w:trPr>
        <w:tc>
          <w:tcPr>
            <w:tcW w:w="1361" w:type="dxa"/>
            <w:shd w:val="clear" w:color="auto" w:fill="auto"/>
            <w:vAlign w:val="center"/>
          </w:tcPr>
          <w:p w:rsidR="004D0F3C" w:rsidRPr="004D0F3C" w:rsidRDefault="004D0F3C" w:rsidP="002512F3">
            <w:pPr>
              <w:pStyle w:val="142"/>
              <w:jc w:val="center"/>
              <w:rPr>
                <w:rFonts w:hint="eastAsia"/>
              </w:rPr>
            </w:pPr>
            <w:r w:rsidRPr="004D0F3C">
              <w:rPr>
                <w:rFonts w:hint="eastAsia"/>
              </w:rPr>
              <w:t>110</w:t>
            </w:r>
          </w:p>
        </w:tc>
        <w:tc>
          <w:tcPr>
            <w:tcW w:w="1417" w:type="dxa"/>
            <w:shd w:val="clear" w:color="auto" w:fill="auto"/>
            <w:noWrap/>
            <w:vAlign w:val="center"/>
          </w:tcPr>
          <w:p w:rsidR="004D0F3C" w:rsidRPr="004D0F3C" w:rsidRDefault="004D0F3C" w:rsidP="002512F3">
            <w:pPr>
              <w:pStyle w:val="142"/>
              <w:jc w:val="right"/>
            </w:pPr>
            <w:r w:rsidRPr="004D0F3C">
              <w:t>8,330,774</w:t>
            </w:r>
          </w:p>
        </w:tc>
        <w:tc>
          <w:tcPr>
            <w:tcW w:w="1418" w:type="dxa"/>
            <w:vAlign w:val="center"/>
          </w:tcPr>
          <w:p w:rsidR="004D0F3C" w:rsidRPr="004D0F3C" w:rsidRDefault="004D0F3C" w:rsidP="002512F3">
            <w:pPr>
              <w:pStyle w:val="142"/>
              <w:jc w:val="right"/>
            </w:pPr>
            <w:r w:rsidRPr="004D0F3C">
              <w:t>14,266,920</w:t>
            </w:r>
          </w:p>
        </w:tc>
        <w:tc>
          <w:tcPr>
            <w:tcW w:w="1205" w:type="dxa"/>
            <w:shd w:val="clear" w:color="auto" w:fill="auto"/>
            <w:noWrap/>
            <w:vAlign w:val="center"/>
          </w:tcPr>
          <w:p w:rsidR="004D0F3C" w:rsidRPr="004D0F3C" w:rsidRDefault="004D0F3C" w:rsidP="002512F3">
            <w:pPr>
              <w:pStyle w:val="142"/>
              <w:jc w:val="right"/>
            </w:pPr>
            <w:r w:rsidRPr="004D0F3C">
              <w:t>44,382</w:t>
            </w:r>
          </w:p>
        </w:tc>
        <w:tc>
          <w:tcPr>
            <w:tcW w:w="1205" w:type="dxa"/>
            <w:vAlign w:val="center"/>
          </w:tcPr>
          <w:p w:rsidR="004D0F3C" w:rsidRPr="004D0F3C" w:rsidRDefault="004D0F3C" w:rsidP="002512F3">
            <w:pPr>
              <w:pStyle w:val="142"/>
              <w:jc w:val="right"/>
            </w:pPr>
            <w:r w:rsidRPr="004D0F3C">
              <w:t>0.53</w:t>
            </w:r>
          </w:p>
        </w:tc>
        <w:tc>
          <w:tcPr>
            <w:tcW w:w="1205" w:type="dxa"/>
            <w:vAlign w:val="center"/>
          </w:tcPr>
          <w:p w:rsidR="004D0F3C" w:rsidRPr="004D0F3C" w:rsidRDefault="004D0F3C" w:rsidP="002512F3">
            <w:pPr>
              <w:pStyle w:val="142"/>
              <w:jc w:val="right"/>
            </w:pPr>
            <w:r w:rsidRPr="004D0F3C">
              <w:t>109</w:t>
            </w:r>
          </w:p>
        </w:tc>
        <w:tc>
          <w:tcPr>
            <w:tcW w:w="1205" w:type="dxa"/>
            <w:vAlign w:val="center"/>
          </w:tcPr>
          <w:p w:rsidR="004D0F3C" w:rsidRPr="004D0F3C" w:rsidRDefault="004D0F3C" w:rsidP="002512F3">
            <w:pPr>
              <w:pStyle w:val="142"/>
              <w:jc w:val="right"/>
            </w:pPr>
            <w:r w:rsidRPr="004D0F3C">
              <w:t>0.00</w:t>
            </w:r>
          </w:p>
        </w:tc>
      </w:tr>
      <w:tr w:rsidR="004D0F3C" w:rsidRPr="004D0F3C" w:rsidTr="00F406F7">
        <w:trPr>
          <w:trHeight w:val="340"/>
        </w:trPr>
        <w:tc>
          <w:tcPr>
            <w:tcW w:w="1361" w:type="dxa"/>
            <w:shd w:val="clear" w:color="auto" w:fill="auto"/>
            <w:vAlign w:val="center"/>
          </w:tcPr>
          <w:p w:rsidR="004D0F3C" w:rsidRPr="004D0F3C" w:rsidRDefault="004D0F3C" w:rsidP="002512F3">
            <w:pPr>
              <w:pStyle w:val="142"/>
              <w:jc w:val="center"/>
              <w:rPr>
                <w:rFonts w:hint="eastAsia"/>
              </w:rPr>
            </w:pPr>
            <w:r w:rsidRPr="004D0F3C">
              <w:rPr>
                <w:rFonts w:hint="eastAsia"/>
              </w:rPr>
              <w:t>111</w:t>
            </w:r>
          </w:p>
        </w:tc>
        <w:tc>
          <w:tcPr>
            <w:tcW w:w="1417" w:type="dxa"/>
            <w:shd w:val="clear" w:color="auto" w:fill="auto"/>
            <w:noWrap/>
            <w:vAlign w:val="center"/>
          </w:tcPr>
          <w:p w:rsidR="004D0F3C" w:rsidRPr="004D0F3C" w:rsidRDefault="004D0F3C" w:rsidP="002512F3">
            <w:pPr>
              <w:pStyle w:val="142"/>
              <w:jc w:val="right"/>
            </w:pPr>
            <w:r w:rsidRPr="004D0F3C">
              <w:t>8,453,420</w:t>
            </w:r>
          </w:p>
        </w:tc>
        <w:tc>
          <w:tcPr>
            <w:tcW w:w="1418" w:type="dxa"/>
            <w:vAlign w:val="center"/>
          </w:tcPr>
          <w:p w:rsidR="004D0F3C" w:rsidRPr="004D0F3C" w:rsidRDefault="004D0F3C" w:rsidP="002512F3">
            <w:pPr>
              <w:pStyle w:val="142"/>
              <w:jc w:val="right"/>
            </w:pPr>
            <w:r w:rsidRPr="004D0F3C">
              <w:t>14,390,626</w:t>
            </w:r>
          </w:p>
        </w:tc>
        <w:tc>
          <w:tcPr>
            <w:tcW w:w="1205" w:type="dxa"/>
            <w:shd w:val="clear" w:color="auto" w:fill="auto"/>
            <w:noWrap/>
            <w:vAlign w:val="center"/>
          </w:tcPr>
          <w:p w:rsidR="004D0F3C" w:rsidRPr="004D0F3C" w:rsidRDefault="004D0F3C" w:rsidP="002512F3">
            <w:pPr>
              <w:pStyle w:val="142"/>
              <w:jc w:val="right"/>
            </w:pPr>
            <w:r w:rsidRPr="004D0F3C">
              <w:t>47,554</w:t>
            </w:r>
          </w:p>
        </w:tc>
        <w:tc>
          <w:tcPr>
            <w:tcW w:w="1205" w:type="dxa"/>
            <w:vAlign w:val="center"/>
          </w:tcPr>
          <w:p w:rsidR="004D0F3C" w:rsidRPr="004D0F3C" w:rsidRDefault="004D0F3C" w:rsidP="002512F3">
            <w:pPr>
              <w:pStyle w:val="142"/>
              <w:jc w:val="right"/>
            </w:pPr>
            <w:r w:rsidRPr="004D0F3C">
              <w:t>0.56</w:t>
            </w:r>
          </w:p>
        </w:tc>
        <w:tc>
          <w:tcPr>
            <w:tcW w:w="1205" w:type="dxa"/>
            <w:vAlign w:val="center"/>
          </w:tcPr>
          <w:p w:rsidR="004D0F3C" w:rsidRPr="004D0F3C" w:rsidRDefault="004D0F3C" w:rsidP="002512F3">
            <w:pPr>
              <w:pStyle w:val="142"/>
              <w:jc w:val="right"/>
            </w:pPr>
            <w:r w:rsidRPr="004D0F3C">
              <w:t>78</w:t>
            </w:r>
          </w:p>
        </w:tc>
        <w:tc>
          <w:tcPr>
            <w:tcW w:w="1205" w:type="dxa"/>
            <w:vAlign w:val="center"/>
          </w:tcPr>
          <w:p w:rsidR="004D0F3C" w:rsidRPr="004D0F3C" w:rsidRDefault="004D0F3C" w:rsidP="002512F3">
            <w:pPr>
              <w:pStyle w:val="142"/>
              <w:jc w:val="right"/>
            </w:pPr>
            <w:r w:rsidRPr="004D0F3C">
              <w:t>0.00</w:t>
            </w:r>
          </w:p>
        </w:tc>
      </w:tr>
      <w:tr w:rsidR="004D0F3C" w:rsidRPr="004D0F3C" w:rsidTr="00F406F7">
        <w:trPr>
          <w:trHeight w:val="340"/>
        </w:trPr>
        <w:tc>
          <w:tcPr>
            <w:tcW w:w="1361" w:type="dxa"/>
            <w:shd w:val="clear" w:color="auto" w:fill="auto"/>
            <w:vAlign w:val="center"/>
          </w:tcPr>
          <w:p w:rsidR="004D0F3C" w:rsidRPr="004D0F3C" w:rsidRDefault="004D0F3C" w:rsidP="002512F3">
            <w:pPr>
              <w:pStyle w:val="142"/>
              <w:jc w:val="center"/>
              <w:rPr>
                <w:rFonts w:hint="eastAsia"/>
              </w:rPr>
            </w:pPr>
            <w:r w:rsidRPr="004D0F3C">
              <w:rPr>
                <w:rFonts w:hint="eastAsia"/>
              </w:rPr>
              <w:t>112</w:t>
            </w:r>
          </w:p>
        </w:tc>
        <w:tc>
          <w:tcPr>
            <w:tcW w:w="1417" w:type="dxa"/>
            <w:shd w:val="clear" w:color="auto" w:fill="auto"/>
            <w:noWrap/>
            <w:vAlign w:val="center"/>
          </w:tcPr>
          <w:p w:rsidR="004D0F3C" w:rsidRPr="004D0F3C" w:rsidRDefault="004D0F3C" w:rsidP="002512F3">
            <w:pPr>
              <w:pStyle w:val="142"/>
              <w:jc w:val="right"/>
            </w:pPr>
            <w:r w:rsidRPr="004D0F3C">
              <w:t>8,590,732</w:t>
            </w:r>
          </w:p>
        </w:tc>
        <w:tc>
          <w:tcPr>
            <w:tcW w:w="1418" w:type="dxa"/>
            <w:vAlign w:val="center"/>
          </w:tcPr>
          <w:p w:rsidR="004D0F3C" w:rsidRPr="004D0F3C" w:rsidRDefault="004D0F3C" w:rsidP="002512F3">
            <w:pPr>
              <w:pStyle w:val="142"/>
              <w:jc w:val="right"/>
            </w:pPr>
            <w:r w:rsidRPr="004D0F3C">
              <w:t>14,545,338</w:t>
            </w:r>
          </w:p>
        </w:tc>
        <w:tc>
          <w:tcPr>
            <w:tcW w:w="1205" w:type="dxa"/>
            <w:shd w:val="clear" w:color="auto" w:fill="auto"/>
            <w:noWrap/>
            <w:vAlign w:val="center"/>
          </w:tcPr>
          <w:p w:rsidR="004D0F3C" w:rsidRPr="004D0F3C" w:rsidRDefault="004D0F3C" w:rsidP="002512F3">
            <w:pPr>
              <w:pStyle w:val="142"/>
              <w:jc w:val="right"/>
            </w:pPr>
            <w:r w:rsidRPr="004D0F3C">
              <w:t>56,989</w:t>
            </w:r>
          </w:p>
        </w:tc>
        <w:tc>
          <w:tcPr>
            <w:tcW w:w="1205" w:type="dxa"/>
            <w:vAlign w:val="center"/>
          </w:tcPr>
          <w:p w:rsidR="004D0F3C" w:rsidRPr="004D0F3C" w:rsidRDefault="004D0F3C" w:rsidP="002512F3">
            <w:pPr>
              <w:pStyle w:val="142"/>
              <w:jc w:val="right"/>
            </w:pPr>
            <w:r w:rsidRPr="004D0F3C">
              <w:t>0.66</w:t>
            </w:r>
          </w:p>
        </w:tc>
        <w:tc>
          <w:tcPr>
            <w:tcW w:w="1205" w:type="dxa"/>
            <w:vAlign w:val="center"/>
          </w:tcPr>
          <w:p w:rsidR="004D0F3C" w:rsidRPr="004D0F3C" w:rsidRDefault="004D0F3C" w:rsidP="002512F3">
            <w:pPr>
              <w:pStyle w:val="142"/>
              <w:jc w:val="right"/>
            </w:pPr>
            <w:r w:rsidRPr="004D0F3C">
              <w:t>108</w:t>
            </w:r>
          </w:p>
        </w:tc>
        <w:tc>
          <w:tcPr>
            <w:tcW w:w="1205" w:type="dxa"/>
            <w:vAlign w:val="center"/>
          </w:tcPr>
          <w:p w:rsidR="004D0F3C" w:rsidRPr="004D0F3C" w:rsidRDefault="004D0F3C" w:rsidP="002512F3">
            <w:pPr>
              <w:pStyle w:val="142"/>
              <w:jc w:val="right"/>
            </w:pPr>
            <w:r w:rsidRPr="004D0F3C">
              <w:t>0.00</w:t>
            </w:r>
          </w:p>
        </w:tc>
      </w:tr>
      <w:tr w:rsidR="004D0F3C" w:rsidRPr="004D0F3C" w:rsidTr="00F406F7">
        <w:trPr>
          <w:trHeight w:val="340"/>
        </w:trPr>
        <w:tc>
          <w:tcPr>
            <w:tcW w:w="1361" w:type="dxa"/>
            <w:shd w:val="clear" w:color="auto" w:fill="auto"/>
            <w:vAlign w:val="center"/>
          </w:tcPr>
          <w:p w:rsidR="004D0F3C" w:rsidRPr="004D0F3C" w:rsidRDefault="004D0F3C" w:rsidP="002512F3">
            <w:pPr>
              <w:pStyle w:val="142"/>
              <w:jc w:val="center"/>
              <w:rPr>
                <w:rFonts w:hint="eastAsia"/>
              </w:rPr>
            </w:pPr>
            <w:r w:rsidRPr="004D0F3C">
              <w:rPr>
                <w:rFonts w:hint="eastAsia"/>
              </w:rPr>
              <w:t>113</w:t>
            </w:r>
          </w:p>
        </w:tc>
        <w:tc>
          <w:tcPr>
            <w:tcW w:w="1417" w:type="dxa"/>
            <w:shd w:val="clear" w:color="auto" w:fill="auto"/>
            <w:noWrap/>
            <w:vAlign w:val="center"/>
          </w:tcPr>
          <w:p w:rsidR="004D0F3C" w:rsidRPr="004D0F3C" w:rsidRDefault="004D0F3C" w:rsidP="002512F3">
            <w:pPr>
              <w:pStyle w:val="142"/>
              <w:jc w:val="right"/>
            </w:pPr>
            <w:r w:rsidRPr="004D0F3C">
              <w:t>8,679,866</w:t>
            </w:r>
          </w:p>
        </w:tc>
        <w:tc>
          <w:tcPr>
            <w:tcW w:w="1418" w:type="dxa"/>
            <w:vAlign w:val="center"/>
          </w:tcPr>
          <w:p w:rsidR="004D0F3C" w:rsidRPr="004D0F3C" w:rsidRDefault="004D0F3C" w:rsidP="002512F3">
            <w:pPr>
              <w:pStyle w:val="142"/>
              <w:jc w:val="right"/>
            </w:pPr>
            <w:r w:rsidRPr="004D0F3C">
              <w:t>14,656,084</w:t>
            </w:r>
          </w:p>
        </w:tc>
        <w:tc>
          <w:tcPr>
            <w:tcW w:w="1205" w:type="dxa"/>
            <w:shd w:val="clear" w:color="auto" w:fill="auto"/>
            <w:noWrap/>
            <w:vAlign w:val="center"/>
          </w:tcPr>
          <w:p w:rsidR="004D0F3C" w:rsidRPr="004D0F3C" w:rsidRDefault="004D0F3C" w:rsidP="002512F3">
            <w:pPr>
              <w:pStyle w:val="142"/>
              <w:jc w:val="right"/>
            </w:pPr>
            <w:r w:rsidRPr="004D0F3C">
              <w:t>71,016</w:t>
            </w:r>
          </w:p>
        </w:tc>
        <w:tc>
          <w:tcPr>
            <w:tcW w:w="1205" w:type="dxa"/>
            <w:vAlign w:val="center"/>
          </w:tcPr>
          <w:p w:rsidR="004D0F3C" w:rsidRPr="004D0F3C" w:rsidRDefault="004D0F3C" w:rsidP="002512F3">
            <w:pPr>
              <w:pStyle w:val="142"/>
              <w:jc w:val="right"/>
            </w:pPr>
            <w:r w:rsidRPr="004D0F3C">
              <w:t>0.82</w:t>
            </w:r>
          </w:p>
        </w:tc>
        <w:tc>
          <w:tcPr>
            <w:tcW w:w="1205" w:type="dxa"/>
            <w:vAlign w:val="center"/>
          </w:tcPr>
          <w:p w:rsidR="004D0F3C" w:rsidRPr="004D0F3C" w:rsidRDefault="004D0F3C" w:rsidP="002512F3">
            <w:pPr>
              <w:pStyle w:val="142"/>
              <w:jc w:val="right"/>
            </w:pPr>
            <w:r w:rsidRPr="004D0F3C">
              <w:t>82</w:t>
            </w:r>
          </w:p>
        </w:tc>
        <w:tc>
          <w:tcPr>
            <w:tcW w:w="1205" w:type="dxa"/>
            <w:vAlign w:val="center"/>
          </w:tcPr>
          <w:p w:rsidR="004D0F3C" w:rsidRPr="004D0F3C" w:rsidRDefault="004D0F3C" w:rsidP="002512F3">
            <w:pPr>
              <w:pStyle w:val="142"/>
              <w:jc w:val="right"/>
            </w:pPr>
            <w:r w:rsidRPr="004D0F3C">
              <w:t>0.00</w:t>
            </w:r>
          </w:p>
        </w:tc>
      </w:tr>
    </w:tbl>
    <w:p w:rsidR="004D0F3C" w:rsidRDefault="004D0F3C" w:rsidP="00F406F7">
      <w:pPr>
        <w:pStyle w:val="142"/>
        <w:ind w:leftChars="-101" w:left="930" w:rightChars="-100" w:right="-283" w:hangingChars="500" w:hanging="1216"/>
        <w:rPr>
          <w:rFonts w:ascii="Times New Roman"/>
          <w:snapToGrid/>
          <w:szCs w:val="24"/>
        </w:rPr>
      </w:pPr>
      <w:r>
        <w:rPr>
          <w:rFonts w:ascii="Times New Roman" w:hint="eastAsia"/>
          <w:snapToGrid/>
          <w:szCs w:val="24"/>
        </w:rPr>
        <w:t>說</w:t>
      </w:r>
      <w:r>
        <w:rPr>
          <w:rFonts w:ascii="Times New Roman" w:hint="eastAsia"/>
          <w:snapToGrid/>
          <w:szCs w:val="24"/>
        </w:rPr>
        <w:t xml:space="preserve">    </w:t>
      </w:r>
      <w:r>
        <w:rPr>
          <w:rFonts w:ascii="Times New Roman" w:hint="eastAsia"/>
          <w:snapToGrid/>
          <w:szCs w:val="24"/>
        </w:rPr>
        <w:t>明</w:t>
      </w:r>
      <w:r w:rsidRPr="006C601C">
        <w:rPr>
          <w:rFonts w:ascii="Times New Roman" w:hint="eastAsia"/>
          <w:snapToGrid/>
          <w:szCs w:val="24"/>
        </w:rPr>
        <w:t>：</w:t>
      </w:r>
      <w:r w:rsidRPr="00281D9B">
        <w:rPr>
          <w:rFonts w:ascii="Times New Roman" w:hint="eastAsia"/>
          <w:snapToGrid/>
          <w:szCs w:val="24"/>
        </w:rPr>
        <w:t>本表所稱附加投保颱風、洪水險係指車體損失險之颱風、地震、海嘯、冰雹、洪水或因雨積水附加條款。</w:t>
      </w:r>
    </w:p>
    <w:p w:rsidR="004D0F3C" w:rsidRDefault="004D0F3C" w:rsidP="00F406F7">
      <w:pPr>
        <w:pStyle w:val="142"/>
        <w:ind w:leftChars="-101" w:left="930" w:rightChars="-100" w:right="-283" w:hangingChars="500" w:hanging="1216"/>
        <w:rPr>
          <w:rFonts w:ascii="Times New Roman"/>
          <w:snapToGrid/>
          <w:szCs w:val="24"/>
        </w:rPr>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：金管會保險局提供及交通部網站</w:t>
      </w:r>
      <w:r w:rsidRPr="00B41C6D">
        <w:rPr>
          <w:szCs w:val="24"/>
        </w:rPr>
        <w:t>https://www.motc.gov.tw (最後瀏覽日：114</w:t>
      </w:r>
      <w:r>
        <w:rPr>
          <w:rFonts w:hint="eastAsia"/>
          <w:szCs w:val="24"/>
        </w:rPr>
        <w:t>年1</w:t>
      </w:r>
      <w:r w:rsidR="002512F3">
        <w:rPr>
          <w:rFonts w:hint="eastAsia"/>
          <w:szCs w:val="24"/>
        </w:rPr>
        <w:t>2</w:t>
      </w:r>
      <w:r>
        <w:rPr>
          <w:rFonts w:hint="eastAsia"/>
          <w:szCs w:val="24"/>
        </w:rPr>
        <w:t>月</w:t>
      </w:r>
      <w:r w:rsidR="002512F3">
        <w:rPr>
          <w:rFonts w:hint="eastAsia"/>
          <w:szCs w:val="24"/>
        </w:rPr>
        <w:t>22</w:t>
      </w:r>
      <w:r>
        <w:rPr>
          <w:rFonts w:hint="eastAsia"/>
          <w:szCs w:val="24"/>
        </w:rPr>
        <w:t>日)</w:t>
      </w:r>
      <w:r w:rsidRPr="00CA261A">
        <w:rPr>
          <w:rFonts w:ascii="Times New Roman" w:hint="eastAsia"/>
          <w:snapToGrid/>
          <w:szCs w:val="24"/>
        </w:rPr>
        <w:t>。</w:t>
      </w:r>
    </w:p>
    <w:p w:rsidR="004D0F3C" w:rsidRPr="00E13F49" w:rsidRDefault="004D0F3C" w:rsidP="004D0F3C">
      <w:pPr>
        <w:pStyle w:val="a4"/>
        <w:ind w:left="849" w:hanging="283"/>
        <w:rPr>
          <w:b/>
          <w:bCs/>
        </w:rPr>
      </w:pPr>
      <w:r w:rsidRPr="003D6A4C">
        <w:rPr>
          <w:rFonts w:hint="eastAsia"/>
          <w:b/>
          <w:bCs/>
        </w:rPr>
        <w:t>(</w:t>
      </w:r>
      <w:r>
        <w:rPr>
          <w:rFonts w:hint="eastAsia"/>
          <w:b/>
          <w:bCs/>
        </w:rPr>
        <w:t>二</w:t>
      </w:r>
      <w:r w:rsidRPr="003D6A4C">
        <w:rPr>
          <w:rFonts w:hint="eastAsia"/>
          <w:b/>
          <w:bCs/>
        </w:rPr>
        <w:t>)</w:t>
      </w:r>
      <w:r w:rsidRPr="00BA38DE">
        <w:rPr>
          <w:rFonts w:hint="eastAsia"/>
          <w:b/>
          <w:bCs/>
        </w:rPr>
        <w:t>近年住宅</w:t>
      </w:r>
      <w:r w:rsidRPr="0084223D">
        <w:rPr>
          <w:rFonts w:hint="eastAsia"/>
          <w:b/>
          <w:bCs/>
        </w:rPr>
        <w:t>火災保險</w:t>
      </w:r>
      <w:r w:rsidRPr="00BA38DE">
        <w:rPr>
          <w:rFonts w:hint="eastAsia"/>
          <w:b/>
          <w:bCs/>
        </w:rPr>
        <w:t>加保「超額颱風及洪水保險附加條款」及汽(機)車附加投保颱風、洪水險之損失率均偏低</w:t>
      </w:r>
    </w:p>
    <w:p w:rsidR="004D0F3C" w:rsidRDefault="004D0F3C" w:rsidP="004D0F3C">
      <w:pPr>
        <w:pStyle w:val="22"/>
        <w:ind w:left="850" w:firstLine="566"/>
      </w:pPr>
      <w:r w:rsidRPr="008A31B8">
        <w:rPr>
          <w:rFonts w:hint="eastAsia"/>
        </w:rPr>
        <w:t>依保險</w:t>
      </w:r>
      <w:r>
        <w:rPr>
          <w:rFonts w:hint="eastAsia"/>
        </w:rPr>
        <w:t>商品銷售前程序作業準則規定</w:t>
      </w:r>
      <w:r w:rsidR="00F406F7">
        <w:rPr>
          <w:rFonts w:hint="eastAsia"/>
        </w:rPr>
        <w:t>略以</w:t>
      </w:r>
      <w:r w:rsidRPr="008A31B8">
        <w:rPr>
          <w:rFonts w:hint="eastAsia"/>
        </w:rPr>
        <w:t>，</w:t>
      </w:r>
      <w:r>
        <w:rPr>
          <w:rFonts w:hint="eastAsia"/>
        </w:rPr>
        <w:t>保險商品銷售後，保險業應定期召開保險商品管理小組會議，檢視保險商品訂價合理性分析，包含費用(率)適足性，並因應實際經驗發生率等因素，採取必要之調整修正</w:t>
      </w:r>
      <w:r>
        <w:rPr>
          <w:rStyle w:val="af7"/>
        </w:rPr>
        <w:footnoteReference w:id="6"/>
      </w:r>
      <w:r>
        <w:rPr>
          <w:rFonts w:hint="eastAsia"/>
        </w:rPr>
        <w:t>。檢視近年</w:t>
      </w:r>
      <w:r w:rsidRPr="0077228A">
        <w:rPr>
          <w:rFonts w:hint="eastAsia"/>
        </w:rPr>
        <w:t>颱風洪水相關保險</w:t>
      </w:r>
      <w:r>
        <w:rPr>
          <w:rFonts w:hint="eastAsia"/>
        </w:rPr>
        <w:t>之損失率概況，</w:t>
      </w:r>
      <w:r w:rsidR="002512F3">
        <w:rPr>
          <w:rFonts w:hint="eastAsia"/>
        </w:rPr>
        <w:t>於住宅火險加保</w:t>
      </w:r>
      <w:r w:rsidRPr="0077228A">
        <w:rPr>
          <w:rFonts w:hint="eastAsia"/>
        </w:rPr>
        <w:t>「超額颱風及洪水保險附加條款」</w:t>
      </w:r>
      <w:r>
        <w:rPr>
          <w:rFonts w:hint="eastAsia"/>
        </w:rPr>
        <w:t>部分，110至11</w:t>
      </w:r>
      <w:r w:rsidR="002512F3">
        <w:rPr>
          <w:rFonts w:hint="eastAsia"/>
        </w:rPr>
        <w:t>3</w:t>
      </w:r>
      <w:r>
        <w:rPr>
          <w:rFonts w:hint="eastAsia"/>
        </w:rPr>
        <w:t>年</w:t>
      </w:r>
      <w:r w:rsidR="002512F3">
        <w:rPr>
          <w:rFonts w:hint="eastAsia"/>
        </w:rPr>
        <w:t>度</w:t>
      </w:r>
      <w:r>
        <w:rPr>
          <w:rFonts w:hint="eastAsia"/>
        </w:rPr>
        <w:t>損失率介於0.</w:t>
      </w:r>
      <w:r w:rsidR="002512F3">
        <w:rPr>
          <w:rFonts w:hint="eastAsia"/>
        </w:rPr>
        <w:t>32</w:t>
      </w:r>
      <w:r>
        <w:rPr>
          <w:rFonts w:hint="eastAsia"/>
        </w:rPr>
        <w:t>%至44.13%間，而有關汽(機)車附加投保</w:t>
      </w:r>
      <w:r w:rsidRPr="00C961A0">
        <w:rPr>
          <w:rFonts w:hint="eastAsia"/>
        </w:rPr>
        <w:t>颱風、洪水險</w:t>
      </w:r>
      <w:r>
        <w:rPr>
          <w:rFonts w:hint="eastAsia"/>
        </w:rPr>
        <w:t>之損失率於該期間亦僅介於0.37%至7.92%間，比率皆偏低(詳表3及4)。詢據金管會表示，各保險公司除依過往損失經驗釐訂費率外，因颱風洪水險係屬巨災性質，具有損失頻率低但損失幅度高之特性，爰國際再保人之報價成本亦為業者釐訂費率之考量因素</w:t>
      </w:r>
      <w:r w:rsidR="009F3C69">
        <w:rPr>
          <w:rFonts w:hint="eastAsia"/>
        </w:rPr>
        <w:t>。</w:t>
      </w:r>
    </w:p>
    <w:p w:rsidR="00F406F7" w:rsidRDefault="00F406F7" w:rsidP="004D0F3C">
      <w:pPr>
        <w:pStyle w:val="22"/>
        <w:ind w:left="850" w:firstLine="566"/>
      </w:pPr>
    </w:p>
    <w:p w:rsidR="00F406F7" w:rsidRDefault="00F406F7" w:rsidP="004D0F3C">
      <w:pPr>
        <w:pStyle w:val="22"/>
        <w:ind w:left="850" w:firstLine="566"/>
        <w:rPr>
          <w:rFonts w:hint="eastAsia"/>
        </w:rPr>
      </w:pPr>
    </w:p>
    <w:p w:rsidR="004D0F3C" w:rsidRDefault="004D0F3C" w:rsidP="00825F01">
      <w:pPr>
        <w:pStyle w:val="22"/>
        <w:spacing w:beforeLines="20" w:before="100" w:line="360" w:lineRule="exact"/>
        <w:ind w:leftChars="-50" w:left="652" w:rightChars="-100" w:right="-283" w:hangingChars="280" w:hanging="794"/>
        <w:rPr>
          <w:rFonts w:hint="eastAsia"/>
          <w:snapToGrid/>
        </w:rPr>
      </w:pPr>
      <w:r>
        <w:rPr>
          <w:rFonts w:hint="eastAsia"/>
          <w:b/>
        </w:rPr>
        <w:t>表3  110至11</w:t>
      </w:r>
      <w:r w:rsidR="00825F01">
        <w:rPr>
          <w:rFonts w:hint="eastAsia"/>
          <w:b/>
        </w:rPr>
        <w:t>3年</w:t>
      </w:r>
      <w:r w:rsidR="00825F01" w:rsidRPr="000B3E75">
        <w:rPr>
          <w:rFonts w:hint="eastAsia"/>
          <w:b/>
        </w:rPr>
        <w:t>度</w:t>
      </w:r>
      <w:r w:rsidRPr="002E085A">
        <w:rPr>
          <w:rFonts w:hint="eastAsia"/>
          <w:b/>
        </w:rPr>
        <w:t>「超額颱風及洪水保險附加條款」</w:t>
      </w:r>
      <w:r>
        <w:rPr>
          <w:rFonts w:hint="eastAsia"/>
          <w:b/>
        </w:rPr>
        <w:t>保費收入及理賠概況</w:t>
      </w:r>
      <w:r w:rsidR="00825F01">
        <w:rPr>
          <w:rFonts w:hint="eastAsia"/>
          <w:b/>
        </w:rPr>
        <w:t>一覽</w:t>
      </w:r>
      <w:r>
        <w:rPr>
          <w:rFonts w:hint="eastAsia"/>
          <w:b/>
        </w:rPr>
        <w:t xml:space="preserve">表                   </w:t>
      </w:r>
      <w:r w:rsidR="00825F01">
        <w:rPr>
          <w:rFonts w:hint="eastAsia"/>
          <w:b/>
        </w:rPr>
        <w:t xml:space="preserve">      </w:t>
      </w:r>
      <w:r>
        <w:rPr>
          <w:rFonts w:hint="eastAsia"/>
          <w:b/>
        </w:rPr>
        <w:t xml:space="preserve">   </w:t>
      </w:r>
      <w:r w:rsidRPr="00626B98">
        <w:rPr>
          <w:rFonts w:hint="eastAsia"/>
          <w:snapToGrid/>
          <w:sz w:val="24"/>
          <w:szCs w:val="24"/>
        </w:rPr>
        <w:t>單位：件；新臺幣千元；%</w:t>
      </w:r>
      <w:r>
        <w:rPr>
          <w:rFonts w:hint="eastAsia"/>
          <w:snapToGrid/>
        </w:rPr>
        <w:t xml:space="preserve"> </w:t>
      </w:r>
    </w:p>
    <w:tbl>
      <w:tblPr>
        <w:tblW w:w="8903" w:type="dxa"/>
        <w:tblInd w:w="-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1390"/>
        <w:gridCol w:w="1418"/>
        <w:gridCol w:w="1559"/>
        <w:gridCol w:w="1276"/>
        <w:gridCol w:w="1559"/>
        <w:gridCol w:w="1701"/>
      </w:tblGrid>
      <w:tr w:rsidR="004D0F3C" w:rsidRPr="004D0F3C" w:rsidTr="009F3C69">
        <w:trPr>
          <w:trHeight w:val="117"/>
          <w:tblHeader/>
        </w:trPr>
        <w:tc>
          <w:tcPr>
            <w:tcW w:w="1390" w:type="dxa"/>
            <w:tcBorders>
              <w:top w:val="single" w:sz="12" w:space="0" w:color="000000"/>
              <w:bottom w:val="single" w:sz="6" w:space="0" w:color="000000"/>
              <w:tl2br w:val="single" w:sz="6" w:space="0" w:color="000000"/>
            </w:tcBorders>
            <w:shd w:val="clear" w:color="auto" w:fill="auto"/>
          </w:tcPr>
          <w:p w:rsidR="004D0F3C" w:rsidRPr="009F3C69" w:rsidRDefault="004D0F3C" w:rsidP="004D0F3C">
            <w:pPr>
              <w:pStyle w:val="142"/>
              <w:rPr>
                <w:b/>
                <w:bCs/>
              </w:rPr>
            </w:pPr>
            <w:r w:rsidRPr="009F3C69">
              <w:rPr>
                <w:rFonts w:hint="eastAsia"/>
                <w:b/>
                <w:bCs/>
              </w:rPr>
              <w:t xml:space="preserve">      項目</w:t>
            </w:r>
          </w:p>
          <w:p w:rsidR="004D0F3C" w:rsidRPr="009F3C69" w:rsidRDefault="004D0F3C" w:rsidP="004D0F3C">
            <w:pPr>
              <w:pStyle w:val="142"/>
              <w:rPr>
                <w:rFonts w:hint="eastAsia"/>
                <w:b/>
                <w:bCs/>
              </w:rPr>
            </w:pPr>
            <w:r w:rsidRPr="009F3C69">
              <w:rPr>
                <w:rFonts w:hint="eastAsia"/>
                <w:b/>
                <w:bCs/>
              </w:rPr>
              <w:t>年度</w:t>
            </w:r>
          </w:p>
        </w:tc>
        <w:tc>
          <w:tcPr>
            <w:tcW w:w="1418" w:type="dxa"/>
            <w:tcBorders>
              <w:top w:val="single" w:sz="12" w:space="0" w:color="000000"/>
              <w:bottom w:val="single" w:sz="6" w:space="0" w:color="000000"/>
            </w:tcBorders>
            <w:shd w:val="clear" w:color="auto" w:fill="auto"/>
            <w:vAlign w:val="center"/>
          </w:tcPr>
          <w:p w:rsidR="004D0F3C" w:rsidRPr="009F3C69" w:rsidRDefault="004D0F3C" w:rsidP="009F3C69">
            <w:pPr>
              <w:pStyle w:val="142"/>
              <w:jc w:val="center"/>
              <w:rPr>
                <w:rFonts w:hint="eastAsia"/>
                <w:b/>
                <w:bCs/>
              </w:rPr>
            </w:pPr>
            <w:r w:rsidRPr="009F3C69">
              <w:rPr>
                <w:rFonts w:hint="eastAsia"/>
                <w:b/>
                <w:bCs/>
              </w:rPr>
              <w:t>簽單件數</w:t>
            </w:r>
          </w:p>
        </w:tc>
        <w:tc>
          <w:tcPr>
            <w:tcW w:w="1559" w:type="dxa"/>
            <w:tcBorders>
              <w:top w:val="single" w:sz="12" w:space="0" w:color="000000"/>
              <w:bottom w:val="single" w:sz="6" w:space="0" w:color="000000"/>
            </w:tcBorders>
            <w:shd w:val="clear" w:color="auto" w:fill="auto"/>
            <w:vAlign w:val="center"/>
          </w:tcPr>
          <w:p w:rsidR="004D0F3C" w:rsidRPr="009F3C69" w:rsidRDefault="004D0F3C" w:rsidP="009F3C69">
            <w:pPr>
              <w:pStyle w:val="142"/>
              <w:jc w:val="center"/>
              <w:rPr>
                <w:rFonts w:hint="eastAsia"/>
                <w:b/>
                <w:bCs/>
              </w:rPr>
            </w:pPr>
            <w:r w:rsidRPr="009F3C69">
              <w:rPr>
                <w:rFonts w:hint="eastAsia"/>
                <w:b/>
                <w:bCs/>
              </w:rPr>
              <w:t>保費收入(A)</w:t>
            </w:r>
          </w:p>
        </w:tc>
        <w:tc>
          <w:tcPr>
            <w:tcW w:w="1276" w:type="dxa"/>
            <w:tcBorders>
              <w:top w:val="single" w:sz="12" w:space="0" w:color="000000"/>
              <w:bottom w:val="single" w:sz="6" w:space="0" w:color="000000"/>
            </w:tcBorders>
            <w:vAlign w:val="center"/>
          </w:tcPr>
          <w:p w:rsidR="004D0F3C" w:rsidRPr="009F3C69" w:rsidRDefault="004D0F3C" w:rsidP="009F3C69">
            <w:pPr>
              <w:pStyle w:val="142"/>
              <w:jc w:val="center"/>
              <w:rPr>
                <w:rFonts w:hint="eastAsia"/>
                <w:b/>
                <w:bCs/>
              </w:rPr>
            </w:pPr>
            <w:r w:rsidRPr="009F3C69">
              <w:rPr>
                <w:rFonts w:hint="eastAsia"/>
                <w:b/>
                <w:bCs/>
              </w:rPr>
              <w:t>理賠件數</w:t>
            </w:r>
          </w:p>
        </w:tc>
        <w:tc>
          <w:tcPr>
            <w:tcW w:w="1559" w:type="dxa"/>
            <w:tcBorders>
              <w:top w:val="single" w:sz="12" w:space="0" w:color="000000"/>
              <w:bottom w:val="single" w:sz="6" w:space="0" w:color="000000"/>
            </w:tcBorders>
            <w:vAlign w:val="center"/>
          </w:tcPr>
          <w:p w:rsidR="004D0F3C" w:rsidRPr="009F3C69" w:rsidRDefault="004D0F3C" w:rsidP="009F3C69">
            <w:pPr>
              <w:pStyle w:val="142"/>
              <w:jc w:val="center"/>
              <w:rPr>
                <w:rFonts w:hint="eastAsia"/>
                <w:b/>
                <w:bCs/>
              </w:rPr>
            </w:pPr>
            <w:r w:rsidRPr="009F3C69">
              <w:rPr>
                <w:rFonts w:hint="eastAsia"/>
                <w:b/>
                <w:bCs/>
              </w:rPr>
              <w:t>理賠金額(B)</w:t>
            </w:r>
          </w:p>
        </w:tc>
        <w:tc>
          <w:tcPr>
            <w:tcW w:w="1701" w:type="dxa"/>
            <w:tcBorders>
              <w:top w:val="single" w:sz="12" w:space="0" w:color="000000"/>
              <w:bottom w:val="single" w:sz="6" w:space="0" w:color="000000"/>
            </w:tcBorders>
            <w:vAlign w:val="center"/>
          </w:tcPr>
          <w:p w:rsidR="004D0F3C" w:rsidRPr="009F3C69" w:rsidRDefault="004D0F3C" w:rsidP="009F3C69">
            <w:pPr>
              <w:pStyle w:val="142"/>
              <w:jc w:val="center"/>
              <w:rPr>
                <w:b/>
                <w:bCs/>
              </w:rPr>
            </w:pPr>
            <w:r w:rsidRPr="009F3C69">
              <w:rPr>
                <w:rFonts w:hint="eastAsia"/>
                <w:b/>
                <w:bCs/>
              </w:rPr>
              <w:t>損失率</w:t>
            </w:r>
          </w:p>
          <w:p w:rsidR="004D0F3C" w:rsidRPr="009F3C69" w:rsidRDefault="004D0F3C" w:rsidP="009F3C69">
            <w:pPr>
              <w:pStyle w:val="142"/>
              <w:jc w:val="center"/>
              <w:rPr>
                <w:rFonts w:hint="eastAsia"/>
                <w:b/>
                <w:bCs/>
              </w:rPr>
            </w:pPr>
            <w:r w:rsidRPr="009F3C69">
              <w:rPr>
                <w:rFonts w:hint="eastAsia"/>
                <w:b/>
                <w:bCs/>
              </w:rPr>
              <w:t>(B)/(A)×100%</w:t>
            </w:r>
          </w:p>
        </w:tc>
      </w:tr>
      <w:tr w:rsidR="004D0F3C" w:rsidRPr="004D0F3C" w:rsidTr="009F3C69">
        <w:trPr>
          <w:trHeight w:val="340"/>
        </w:trPr>
        <w:tc>
          <w:tcPr>
            <w:tcW w:w="1390" w:type="dxa"/>
            <w:tcBorders>
              <w:top w:val="single" w:sz="6" w:space="0" w:color="000000"/>
              <w:bottom w:val="single" w:sz="6"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110</w:t>
            </w:r>
          </w:p>
        </w:tc>
        <w:tc>
          <w:tcPr>
            <w:tcW w:w="1418" w:type="dxa"/>
            <w:tcBorders>
              <w:top w:val="single" w:sz="6" w:space="0" w:color="000000"/>
              <w:bottom w:val="single" w:sz="6" w:space="0" w:color="000000"/>
            </w:tcBorders>
            <w:shd w:val="clear" w:color="auto" w:fill="auto"/>
            <w:noWrap/>
            <w:vAlign w:val="center"/>
          </w:tcPr>
          <w:p w:rsidR="004D0F3C" w:rsidRPr="004D0F3C" w:rsidRDefault="004D0F3C" w:rsidP="009F3C69">
            <w:pPr>
              <w:pStyle w:val="142"/>
              <w:jc w:val="right"/>
            </w:pPr>
            <w:r w:rsidRPr="004D0F3C">
              <w:t>6,487</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9,981</w:t>
            </w:r>
          </w:p>
        </w:tc>
        <w:tc>
          <w:tcPr>
            <w:tcW w:w="1276" w:type="dxa"/>
            <w:tcBorders>
              <w:top w:val="single" w:sz="6" w:space="0" w:color="000000"/>
              <w:bottom w:val="single" w:sz="6" w:space="0" w:color="000000"/>
            </w:tcBorders>
            <w:vAlign w:val="center"/>
          </w:tcPr>
          <w:p w:rsidR="004D0F3C" w:rsidRPr="004D0F3C" w:rsidRDefault="004D0F3C" w:rsidP="009F3C69">
            <w:pPr>
              <w:pStyle w:val="142"/>
              <w:jc w:val="right"/>
            </w:pPr>
            <w:r w:rsidRPr="004D0F3C">
              <w:t>6</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217</w:t>
            </w:r>
          </w:p>
        </w:tc>
        <w:tc>
          <w:tcPr>
            <w:tcW w:w="1701" w:type="dxa"/>
            <w:tcBorders>
              <w:top w:val="single" w:sz="6" w:space="0" w:color="000000"/>
              <w:bottom w:val="single" w:sz="6" w:space="0" w:color="000000"/>
            </w:tcBorders>
            <w:vAlign w:val="center"/>
          </w:tcPr>
          <w:p w:rsidR="004D0F3C" w:rsidRPr="004D0F3C" w:rsidRDefault="004D0F3C" w:rsidP="009F3C69">
            <w:pPr>
              <w:pStyle w:val="142"/>
              <w:jc w:val="right"/>
            </w:pPr>
            <w:r w:rsidRPr="004D0F3C">
              <w:t>2.17</w:t>
            </w:r>
          </w:p>
        </w:tc>
      </w:tr>
      <w:tr w:rsidR="004D0F3C" w:rsidRPr="004D0F3C" w:rsidTr="009F3C69">
        <w:trPr>
          <w:trHeight w:val="340"/>
        </w:trPr>
        <w:tc>
          <w:tcPr>
            <w:tcW w:w="1390" w:type="dxa"/>
            <w:tcBorders>
              <w:top w:val="single" w:sz="6" w:space="0" w:color="000000"/>
              <w:bottom w:val="single" w:sz="6"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111</w:t>
            </w:r>
          </w:p>
        </w:tc>
        <w:tc>
          <w:tcPr>
            <w:tcW w:w="1418" w:type="dxa"/>
            <w:tcBorders>
              <w:top w:val="single" w:sz="6" w:space="0" w:color="000000"/>
              <w:bottom w:val="single" w:sz="6" w:space="0" w:color="000000"/>
            </w:tcBorders>
            <w:shd w:val="clear" w:color="auto" w:fill="auto"/>
            <w:noWrap/>
            <w:vAlign w:val="center"/>
          </w:tcPr>
          <w:p w:rsidR="004D0F3C" w:rsidRPr="004D0F3C" w:rsidRDefault="004D0F3C" w:rsidP="009F3C69">
            <w:pPr>
              <w:pStyle w:val="142"/>
              <w:jc w:val="right"/>
            </w:pPr>
            <w:r w:rsidRPr="004D0F3C">
              <w:t>6,380</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9,334</w:t>
            </w:r>
          </w:p>
        </w:tc>
        <w:tc>
          <w:tcPr>
            <w:tcW w:w="1276" w:type="dxa"/>
            <w:tcBorders>
              <w:top w:val="single" w:sz="6" w:space="0" w:color="000000"/>
              <w:bottom w:val="single" w:sz="6" w:space="0" w:color="000000"/>
            </w:tcBorders>
            <w:vAlign w:val="center"/>
          </w:tcPr>
          <w:p w:rsidR="004D0F3C" w:rsidRPr="004D0F3C" w:rsidRDefault="004D0F3C" w:rsidP="009F3C69">
            <w:pPr>
              <w:pStyle w:val="142"/>
              <w:jc w:val="right"/>
            </w:pPr>
            <w:r w:rsidRPr="004D0F3C">
              <w:t>1</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30</w:t>
            </w:r>
          </w:p>
        </w:tc>
        <w:tc>
          <w:tcPr>
            <w:tcW w:w="1701" w:type="dxa"/>
            <w:tcBorders>
              <w:top w:val="single" w:sz="6" w:space="0" w:color="000000"/>
              <w:bottom w:val="single" w:sz="6" w:space="0" w:color="000000"/>
            </w:tcBorders>
            <w:vAlign w:val="center"/>
          </w:tcPr>
          <w:p w:rsidR="004D0F3C" w:rsidRPr="004D0F3C" w:rsidRDefault="004D0F3C" w:rsidP="009F3C69">
            <w:pPr>
              <w:pStyle w:val="142"/>
              <w:jc w:val="right"/>
            </w:pPr>
            <w:r w:rsidRPr="004D0F3C">
              <w:t>0.32</w:t>
            </w:r>
          </w:p>
        </w:tc>
      </w:tr>
      <w:tr w:rsidR="004D0F3C" w:rsidRPr="004D0F3C" w:rsidTr="009F3C69">
        <w:trPr>
          <w:trHeight w:val="340"/>
        </w:trPr>
        <w:tc>
          <w:tcPr>
            <w:tcW w:w="1390" w:type="dxa"/>
            <w:tcBorders>
              <w:top w:val="single" w:sz="6" w:space="0" w:color="000000"/>
              <w:bottom w:val="single" w:sz="6"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112</w:t>
            </w:r>
          </w:p>
        </w:tc>
        <w:tc>
          <w:tcPr>
            <w:tcW w:w="1418" w:type="dxa"/>
            <w:tcBorders>
              <w:top w:val="single" w:sz="6" w:space="0" w:color="000000"/>
              <w:bottom w:val="single" w:sz="6" w:space="0" w:color="000000"/>
            </w:tcBorders>
            <w:shd w:val="clear" w:color="auto" w:fill="auto"/>
            <w:noWrap/>
            <w:vAlign w:val="center"/>
          </w:tcPr>
          <w:p w:rsidR="004D0F3C" w:rsidRPr="004D0F3C" w:rsidRDefault="004D0F3C" w:rsidP="009F3C69">
            <w:pPr>
              <w:pStyle w:val="142"/>
              <w:jc w:val="right"/>
            </w:pPr>
            <w:r w:rsidRPr="004D0F3C">
              <w:t>8,039</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10,774</w:t>
            </w:r>
          </w:p>
        </w:tc>
        <w:tc>
          <w:tcPr>
            <w:tcW w:w="1276" w:type="dxa"/>
            <w:tcBorders>
              <w:top w:val="single" w:sz="6" w:space="0" w:color="000000"/>
              <w:bottom w:val="single" w:sz="6" w:space="0" w:color="000000"/>
            </w:tcBorders>
            <w:vAlign w:val="center"/>
          </w:tcPr>
          <w:p w:rsidR="004D0F3C" w:rsidRPr="004D0F3C" w:rsidRDefault="004D0F3C" w:rsidP="009F3C69">
            <w:pPr>
              <w:pStyle w:val="142"/>
              <w:jc w:val="right"/>
            </w:pPr>
            <w:r w:rsidRPr="004D0F3C">
              <w:t>21</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3,417</w:t>
            </w:r>
          </w:p>
        </w:tc>
        <w:tc>
          <w:tcPr>
            <w:tcW w:w="1701" w:type="dxa"/>
            <w:tcBorders>
              <w:top w:val="single" w:sz="6" w:space="0" w:color="000000"/>
              <w:bottom w:val="single" w:sz="6" w:space="0" w:color="000000"/>
            </w:tcBorders>
            <w:vAlign w:val="center"/>
          </w:tcPr>
          <w:p w:rsidR="004D0F3C" w:rsidRPr="004D0F3C" w:rsidRDefault="004D0F3C" w:rsidP="009F3C69">
            <w:pPr>
              <w:pStyle w:val="142"/>
              <w:jc w:val="right"/>
            </w:pPr>
            <w:r w:rsidRPr="004D0F3C">
              <w:t>31.72</w:t>
            </w:r>
          </w:p>
        </w:tc>
      </w:tr>
      <w:tr w:rsidR="004D0F3C" w:rsidRPr="004D0F3C" w:rsidTr="009F3C69">
        <w:trPr>
          <w:trHeight w:val="340"/>
        </w:trPr>
        <w:tc>
          <w:tcPr>
            <w:tcW w:w="1390" w:type="dxa"/>
            <w:tcBorders>
              <w:top w:val="single" w:sz="6" w:space="0" w:color="000000"/>
              <w:bottom w:val="single" w:sz="12"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113</w:t>
            </w:r>
          </w:p>
        </w:tc>
        <w:tc>
          <w:tcPr>
            <w:tcW w:w="1418" w:type="dxa"/>
            <w:tcBorders>
              <w:top w:val="single" w:sz="6" w:space="0" w:color="000000"/>
              <w:bottom w:val="single" w:sz="12" w:space="0" w:color="000000"/>
            </w:tcBorders>
            <w:shd w:val="clear" w:color="auto" w:fill="auto"/>
            <w:noWrap/>
            <w:vAlign w:val="center"/>
          </w:tcPr>
          <w:p w:rsidR="004D0F3C" w:rsidRPr="004D0F3C" w:rsidRDefault="004D0F3C" w:rsidP="009F3C69">
            <w:pPr>
              <w:pStyle w:val="142"/>
              <w:jc w:val="right"/>
            </w:pPr>
            <w:r w:rsidRPr="004D0F3C">
              <w:t>13,499</w:t>
            </w:r>
          </w:p>
        </w:tc>
        <w:tc>
          <w:tcPr>
            <w:tcW w:w="1559" w:type="dxa"/>
            <w:tcBorders>
              <w:top w:val="single" w:sz="6" w:space="0" w:color="000000"/>
              <w:bottom w:val="single" w:sz="12" w:space="0" w:color="000000"/>
            </w:tcBorders>
            <w:vAlign w:val="center"/>
          </w:tcPr>
          <w:p w:rsidR="004D0F3C" w:rsidRPr="004D0F3C" w:rsidRDefault="004D0F3C" w:rsidP="009F3C69">
            <w:pPr>
              <w:pStyle w:val="142"/>
              <w:jc w:val="right"/>
            </w:pPr>
            <w:r w:rsidRPr="004D0F3C">
              <w:t>15,538</w:t>
            </w:r>
          </w:p>
        </w:tc>
        <w:tc>
          <w:tcPr>
            <w:tcW w:w="1276" w:type="dxa"/>
            <w:tcBorders>
              <w:top w:val="single" w:sz="6" w:space="0" w:color="000000"/>
              <w:bottom w:val="single" w:sz="12" w:space="0" w:color="000000"/>
            </w:tcBorders>
            <w:vAlign w:val="center"/>
          </w:tcPr>
          <w:p w:rsidR="004D0F3C" w:rsidRPr="004D0F3C" w:rsidRDefault="004D0F3C" w:rsidP="009F3C69">
            <w:pPr>
              <w:pStyle w:val="142"/>
              <w:jc w:val="right"/>
            </w:pPr>
            <w:r w:rsidRPr="004D0F3C">
              <w:t>345</w:t>
            </w:r>
          </w:p>
        </w:tc>
        <w:tc>
          <w:tcPr>
            <w:tcW w:w="1559" w:type="dxa"/>
            <w:tcBorders>
              <w:top w:val="single" w:sz="6" w:space="0" w:color="000000"/>
              <w:bottom w:val="single" w:sz="12" w:space="0" w:color="000000"/>
            </w:tcBorders>
            <w:vAlign w:val="center"/>
          </w:tcPr>
          <w:p w:rsidR="004D0F3C" w:rsidRPr="004D0F3C" w:rsidRDefault="004D0F3C" w:rsidP="009F3C69">
            <w:pPr>
              <w:pStyle w:val="142"/>
              <w:jc w:val="right"/>
            </w:pPr>
            <w:r w:rsidRPr="004D0F3C">
              <w:t>6,857</w:t>
            </w:r>
          </w:p>
        </w:tc>
        <w:tc>
          <w:tcPr>
            <w:tcW w:w="1701" w:type="dxa"/>
            <w:tcBorders>
              <w:top w:val="single" w:sz="6" w:space="0" w:color="000000"/>
              <w:bottom w:val="single" w:sz="12" w:space="0" w:color="000000"/>
            </w:tcBorders>
            <w:vAlign w:val="center"/>
          </w:tcPr>
          <w:p w:rsidR="004D0F3C" w:rsidRPr="004D0F3C" w:rsidRDefault="004D0F3C" w:rsidP="009F3C69">
            <w:pPr>
              <w:pStyle w:val="142"/>
              <w:jc w:val="right"/>
            </w:pPr>
            <w:r w:rsidRPr="004D0F3C">
              <w:t>44.13</w:t>
            </w:r>
          </w:p>
        </w:tc>
      </w:tr>
    </w:tbl>
    <w:p w:rsidR="004D0F3C" w:rsidRDefault="004D0F3C" w:rsidP="00851348">
      <w:pPr>
        <w:pStyle w:val="142"/>
        <w:ind w:leftChars="-50" w:left="1074" w:rightChars="-100" w:right="-283" w:hangingChars="500" w:hanging="1216"/>
      </w:pPr>
      <w:r>
        <w:rPr>
          <w:rFonts w:hint="eastAsia"/>
        </w:rPr>
        <w:t>說    明：據保險局提供說明，</w:t>
      </w:r>
      <w:r w:rsidRPr="00CA35EB">
        <w:rPr>
          <w:rFonts w:hint="eastAsia"/>
        </w:rPr>
        <w:t>完整年度之理賠件數及理賠金額係以已發生賠款作為基準。</w:t>
      </w:r>
    </w:p>
    <w:p w:rsidR="004D0F3C" w:rsidRPr="00EA25D2" w:rsidRDefault="004D0F3C" w:rsidP="004D0F3C">
      <w:pPr>
        <w:pStyle w:val="142"/>
        <w:ind w:leftChars="-50" w:left="1074" w:rightChars="-50" w:right="-142" w:hangingChars="500" w:hanging="1216"/>
        <w:rPr>
          <w:rFonts w:hint="eastAsia"/>
        </w:rPr>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w:t>
      </w:r>
      <w:r w:rsidRPr="00CA261A">
        <w:rPr>
          <w:rFonts w:ascii="Times New Roman" w:hint="eastAsia"/>
          <w:snapToGrid/>
          <w:szCs w:val="24"/>
        </w:rPr>
        <w:t>。</w:t>
      </w:r>
    </w:p>
    <w:p w:rsidR="004D0F3C" w:rsidRDefault="004D0F3C" w:rsidP="00825F01">
      <w:pPr>
        <w:pStyle w:val="22"/>
        <w:spacing w:beforeLines="20" w:before="100" w:line="360" w:lineRule="exact"/>
        <w:ind w:leftChars="-50" w:left="652" w:rightChars="-100" w:right="-283" w:hangingChars="280" w:hanging="794"/>
        <w:rPr>
          <w:rFonts w:hint="eastAsia"/>
          <w:snapToGrid/>
        </w:rPr>
      </w:pPr>
      <w:r>
        <w:rPr>
          <w:rFonts w:hint="eastAsia"/>
          <w:b/>
        </w:rPr>
        <w:t>表4</w:t>
      </w:r>
      <w:r w:rsidR="00825F01">
        <w:rPr>
          <w:rFonts w:hint="eastAsia"/>
          <w:b/>
        </w:rPr>
        <w:t xml:space="preserve">  110至113年</w:t>
      </w:r>
      <w:r w:rsidR="00825F01" w:rsidRPr="000B3E75">
        <w:rPr>
          <w:rFonts w:hint="eastAsia"/>
          <w:b/>
        </w:rPr>
        <w:t>度</w:t>
      </w:r>
      <w:r>
        <w:rPr>
          <w:rFonts w:hint="eastAsia"/>
          <w:b/>
        </w:rPr>
        <w:t>機動車輛附加颱風、洪水險之保費收入及理賠概況</w:t>
      </w:r>
      <w:r w:rsidR="00825F01">
        <w:rPr>
          <w:rFonts w:hint="eastAsia"/>
          <w:b/>
        </w:rPr>
        <w:t>一覽</w:t>
      </w:r>
      <w:r>
        <w:rPr>
          <w:rFonts w:hint="eastAsia"/>
          <w:b/>
        </w:rPr>
        <w:t xml:space="preserve">表            </w:t>
      </w:r>
      <w:r w:rsidR="00825F01">
        <w:rPr>
          <w:rFonts w:hint="eastAsia"/>
          <w:b/>
        </w:rPr>
        <w:t xml:space="preserve">         </w:t>
      </w:r>
      <w:r>
        <w:rPr>
          <w:rFonts w:hint="eastAsia"/>
          <w:b/>
        </w:rPr>
        <w:t xml:space="preserve">           </w:t>
      </w:r>
      <w:r w:rsidRPr="00626B98">
        <w:rPr>
          <w:rFonts w:hint="eastAsia"/>
          <w:snapToGrid/>
          <w:sz w:val="24"/>
          <w:szCs w:val="24"/>
        </w:rPr>
        <w:t xml:space="preserve">單位：件；新臺幣千元；% </w:t>
      </w:r>
    </w:p>
    <w:tbl>
      <w:tblPr>
        <w:tblW w:w="8903" w:type="dxa"/>
        <w:tblInd w:w="-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1390"/>
        <w:gridCol w:w="1418"/>
        <w:gridCol w:w="1559"/>
        <w:gridCol w:w="1276"/>
        <w:gridCol w:w="1559"/>
        <w:gridCol w:w="1701"/>
      </w:tblGrid>
      <w:tr w:rsidR="004D0F3C" w:rsidRPr="004D0F3C" w:rsidTr="009F3C69">
        <w:trPr>
          <w:trHeight w:val="20"/>
          <w:tblHeader/>
        </w:trPr>
        <w:tc>
          <w:tcPr>
            <w:tcW w:w="1390" w:type="dxa"/>
            <w:tcBorders>
              <w:top w:val="single" w:sz="12" w:space="0" w:color="000000"/>
              <w:bottom w:val="single" w:sz="6" w:space="0" w:color="000000"/>
              <w:tl2br w:val="single" w:sz="6" w:space="0" w:color="000000"/>
            </w:tcBorders>
            <w:shd w:val="clear" w:color="auto" w:fill="auto"/>
          </w:tcPr>
          <w:p w:rsidR="004D0F3C" w:rsidRPr="009F3C69" w:rsidRDefault="004D0F3C" w:rsidP="004D0F3C">
            <w:pPr>
              <w:pStyle w:val="142"/>
              <w:rPr>
                <w:b/>
                <w:bCs/>
              </w:rPr>
            </w:pPr>
            <w:r w:rsidRPr="009F3C69">
              <w:rPr>
                <w:rFonts w:hint="eastAsia"/>
                <w:b/>
                <w:bCs/>
              </w:rPr>
              <w:t xml:space="preserve">      項目</w:t>
            </w:r>
          </w:p>
          <w:p w:rsidR="004D0F3C" w:rsidRPr="009F3C69" w:rsidRDefault="004D0F3C" w:rsidP="004D0F3C">
            <w:pPr>
              <w:pStyle w:val="142"/>
              <w:rPr>
                <w:rFonts w:hint="eastAsia"/>
                <w:b/>
                <w:bCs/>
              </w:rPr>
            </w:pPr>
            <w:r w:rsidRPr="009F3C69">
              <w:rPr>
                <w:rFonts w:hint="eastAsia"/>
                <w:b/>
                <w:bCs/>
              </w:rPr>
              <w:t>年度</w:t>
            </w:r>
          </w:p>
        </w:tc>
        <w:tc>
          <w:tcPr>
            <w:tcW w:w="1418" w:type="dxa"/>
            <w:tcBorders>
              <w:top w:val="single" w:sz="12" w:space="0" w:color="000000"/>
              <w:bottom w:val="single" w:sz="6" w:space="0" w:color="000000"/>
            </w:tcBorders>
            <w:shd w:val="clear" w:color="auto" w:fill="auto"/>
            <w:vAlign w:val="center"/>
          </w:tcPr>
          <w:p w:rsidR="004D0F3C" w:rsidRPr="009F3C69" w:rsidRDefault="004D0F3C" w:rsidP="009F3C69">
            <w:pPr>
              <w:pStyle w:val="142"/>
              <w:jc w:val="center"/>
              <w:rPr>
                <w:rFonts w:hint="eastAsia"/>
                <w:b/>
                <w:bCs/>
              </w:rPr>
            </w:pPr>
            <w:r w:rsidRPr="009F3C69">
              <w:rPr>
                <w:rFonts w:hint="eastAsia"/>
                <w:b/>
                <w:bCs/>
              </w:rPr>
              <w:t>簽單件數</w:t>
            </w:r>
          </w:p>
        </w:tc>
        <w:tc>
          <w:tcPr>
            <w:tcW w:w="1559" w:type="dxa"/>
            <w:tcBorders>
              <w:top w:val="single" w:sz="12" w:space="0" w:color="000000"/>
              <w:bottom w:val="single" w:sz="6" w:space="0" w:color="000000"/>
            </w:tcBorders>
            <w:shd w:val="clear" w:color="auto" w:fill="auto"/>
            <w:vAlign w:val="center"/>
          </w:tcPr>
          <w:p w:rsidR="004D0F3C" w:rsidRPr="009F3C69" w:rsidRDefault="004D0F3C" w:rsidP="009F3C69">
            <w:pPr>
              <w:pStyle w:val="142"/>
              <w:jc w:val="center"/>
              <w:rPr>
                <w:rFonts w:hint="eastAsia"/>
                <w:b/>
                <w:bCs/>
              </w:rPr>
            </w:pPr>
            <w:r w:rsidRPr="009F3C69">
              <w:rPr>
                <w:rFonts w:hint="eastAsia"/>
                <w:b/>
                <w:bCs/>
              </w:rPr>
              <w:t>保費收入(A)</w:t>
            </w:r>
          </w:p>
        </w:tc>
        <w:tc>
          <w:tcPr>
            <w:tcW w:w="1276" w:type="dxa"/>
            <w:tcBorders>
              <w:top w:val="single" w:sz="12" w:space="0" w:color="000000"/>
              <w:bottom w:val="single" w:sz="6" w:space="0" w:color="000000"/>
            </w:tcBorders>
            <w:vAlign w:val="center"/>
          </w:tcPr>
          <w:p w:rsidR="004D0F3C" w:rsidRPr="009F3C69" w:rsidRDefault="004D0F3C" w:rsidP="009F3C69">
            <w:pPr>
              <w:pStyle w:val="142"/>
              <w:jc w:val="center"/>
              <w:rPr>
                <w:rFonts w:hint="eastAsia"/>
                <w:b/>
                <w:bCs/>
              </w:rPr>
            </w:pPr>
            <w:r w:rsidRPr="009F3C69">
              <w:rPr>
                <w:rFonts w:hint="eastAsia"/>
                <w:b/>
                <w:bCs/>
              </w:rPr>
              <w:t>理賠件數</w:t>
            </w:r>
          </w:p>
        </w:tc>
        <w:tc>
          <w:tcPr>
            <w:tcW w:w="1559" w:type="dxa"/>
            <w:tcBorders>
              <w:top w:val="single" w:sz="12" w:space="0" w:color="000000"/>
              <w:bottom w:val="single" w:sz="6" w:space="0" w:color="000000"/>
            </w:tcBorders>
            <w:vAlign w:val="center"/>
          </w:tcPr>
          <w:p w:rsidR="004D0F3C" w:rsidRPr="009F3C69" w:rsidRDefault="004D0F3C" w:rsidP="009F3C69">
            <w:pPr>
              <w:pStyle w:val="142"/>
              <w:jc w:val="center"/>
              <w:rPr>
                <w:rFonts w:hint="eastAsia"/>
                <w:b/>
                <w:bCs/>
              </w:rPr>
            </w:pPr>
            <w:r w:rsidRPr="009F3C69">
              <w:rPr>
                <w:rFonts w:hint="eastAsia"/>
                <w:b/>
                <w:bCs/>
              </w:rPr>
              <w:t>理賠金額(B)</w:t>
            </w:r>
          </w:p>
        </w:tc>
        <w:tc>
          <w:tcPr>
            <w:tcW w:w="1701" w:type="dxa"/>
            <w:tcBorders>
              <w:top w:val="single" w:sz="12" w:space="0" w:color="000000"/>
              <w:bottom w:val="single" w:sz="6" w:space="0" w:color="000000"/>
            </w:tcBorders>
            <w:vAlign w:val="center"/>
          </w:tcPr>
          <w:p w:rsidR="004D0F3C" w:rsidRPr="009F3C69" w:rsidRDefault="004D0F3C" w:rsidP="009F3C69">
            <w:pPr>
              <w:pStyle w:val="142"/>
              <w:jc w:val="center"/>
              <w:rPr>
                <w:b/>
                <w:bCs/>
              </w:rPr>
            </w:pPr>
            <w:r w:rsidRPr="009F3C69">
              <w:rPr>
                <w:rFonts w:hint="eastAsia"/>
                <w:b/>
                <w:bCs/>
              </w:rPr>
              <w:t>損失率</w:t>
            </w:r>
          </w:p>
          <w:p w:rsidR="004D0F3C" w:rsidRPr="009F3C69" w:rsidRDefault="004D0F3C" w:rsidP="009F3C69">
            <w:pPr>
              <w:pStyle w:val="142"/>
              <w:jc w:val="center"/>
              <w:rPr>
                <w:rFonts w:hint="eastAsia"/>
                <w:b/>
                <w:bCs/>
              </w:rPr>
            </w:pPr>
            <w:r w:rsidRPr="009F3C69">
              <w:rPr>
                <w:rFonts w:hint="eastAsia"/>
                <w:b/>
                <w:bCs/>
              </w:rPr>
              <w:t>(B)/(A)×100%</w:t>
            </w:r>
          </w:p>
        </w:tc>
      </w:tr>
      <w:tr w:rsidR="004D0F3C" w:rsidRPr="004D0F3C" w:rsidTr="009F3C69">
        <w:trPr>
          <w:trHeight w:val="340"/>
        </w:trPr>
        <w:tc>
          <w:tcPr>
            <w:tcW w:w="1390" w:type="dxa"/>
            <w:tcBorders>
              <w:top w:val="single" w:sz="6" w:space="0" w:color="000000"/>
              <w:bottom w:val="single" w:sz="6"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110</w:t>
            </w:r>
          </w:p>
        </w:tc>
        <w:tc>
          <w:tcPr>
            <w:tcW w:w="1418" w:type="dxa"/>
            <w:tcBorders>
              <w:top w:val="single" w:sz="6" w:space="0" w:color="000000"/>
              <w:bottom w:val="single" w:sz="6" w:space="0" w:color="000000"/>
            </w:tcBorders>
            <w:shd w:val="clear" w:color="auto" w:fill="auto"/>
            <w:noWrap/>
            <w:vAlign w:val="center"/>
          </w:tcPr>
          <w:p w:rsidR="004D0F3C" w:rsidRPr="004D0F3C" w:rsidRDefault="004D0F3C" w:rsidP="009F3C69">
            <w:pPr>
              <w:pStyle w:val="142"/>
              <w:jc w:val="right"/>
            </w:pPr>
            <w:r w:rsidRPr="004D0F3C">
              <w:t>44,491</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200,746</w:t>
            </w:r>
          </w:p>
        </w:tc>
        <w:tc>
          <w:tcPr>
            <w:tcW w:w="1276" w:type="dxa"/>
            <w:tcBorders>
              <w:top w:val="single" w:sz="6" w:space="0" w:color="000000"/>
              <w:bottom w:val="single" w:sz="6" w:space="0" w:color="000000"/>
            </w:tcBorders>
            <w:vAlign w:val="center"/>
          </w:tcPr>
          <w:p w:rsidR="004D0F3C" w:rsidRPr="004D0F3C" w:rsidRDefault="004D0F3C" w:rsidP="009F3C69">
            <w:pPr>
              <w:pStyle w:val="142"/>
              <w:jc w:val="right"/>
            </w:pPr>
            <w:r w:rsidRPr="004D0F3C">
              <w:t>16</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8,317</w:t>
            </w:r>
          </w:p>
        </w:tc>
        <w:tc>
          <w:tcPr>
            <w:tcW w:w="1701" w:type="dxa"/>
            <w:tcBorders>
              <w:top w:val="single" w:sz="6" w:space="0" w:color="000000"/>
              <w:bottom w:val="single" w:sz="6" w:space="0" w:color="000000"/>
            </w:tcBorders>
            <w:vAlign w:val="center"/>
          </w:tcPr>
          <w:p w:rsidR="004D0F3C" w:rsidRPr="004D0F3C" w:rsidRDefault="004D0F3C" w:rsidP="009F3C69">
            <w:pPr>
              <w:pStyle w:val="142"/>
              <w:jc w:val="right"/>
            </w:pPr>
            <w:r w:rsidRPr="004D0F3C">
              <w:t>4.14</w:t>
            </w:r>
          </w:p>
        </w:tc>
      </w:tr>
      <w:tr w:rsidR="004D0F3C" w:rsidRPr="004D0F3C" w:rsidTr="009F3C69">
        <w:trPr>
          <w:trHeight w:val="340"/>
        </w:trPr>
        <w:tc>
          <w:tcPr>
            <w:tcW w:w="1390" w:type="dxa"/>
            <w:tcBorders>
              <w:top w:val="single" w:sz="6" w:space="0" w:color="000000"/>
              <w:bottom w:val="single" w:sz="6"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111</w:t>
            </w:r>
          </w:p>
        </w:tc>
        <w:tc>
          <w:tcPr>
            <w:tcW w:w="1418" w:type="dxa"/>
            <w:tcBorders>
              <w:top w:val="single" w:sz="6" w:space="0" w:color="000000"/>
              <w:bottom w:val="single" w:sz="6" w:space="0" w:color="000000"/>
            </w:tcBorders>
            <w:shd w:val="clear" w:color="auto" w:fill="auto"/>
            <w:noWrap/>
            <w:vAlign w:val="center"/>
          </w:tcPr>
          <w:p w:rsidR="004D0F3C" w:rsidRPr="004D0F3C" w:rsidRDefault="004D0F3C" w:rsidP="009F3C69">
            <w:pPr>
              <w:pStyle w:val="142"/>
              <w:jc w:val="right"/>
            </w:pPr>
            <w:r w:rsidRPr="004D0F3C">
              <w:t>47,632</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230,969</w:t>
            </w:r>
          </w:p>
        </w:tc>
        <w:tc>
          <w:tcPr>
            <w:tcW w:w="1276" w:type="dxa"/>
            <w:tcBorders>
              <w:top w:val="single" w:sz="6" w:space="0" w:color="000000"/>
              <w:bottom w:val="single" w:sz="6" w:space="0" w:color="000000"/>
            </w:tcBorders>
            <w:vAlign w:val="center"/>
          </w:tcPr>
          <w:p w:rsidR="004D0F3C" w:rsidRPr="004D0F3C" w:rsidRDefault="004D0F3C" w:rsidP="009F3C69">
            <w:pPr>
              <w:pStyle w:val="142"/>
              <w:jc w:val="right"/>
            </w:pPr>
            <w:r w:rsidRPr="004D0F3C">
              <w:t>8</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865</w:t>
            </w:r>
          </w:p>
        </w:tc>
        <w:tc>
          <w:tcPr>
            <w:tcW w:w="1701" w:type="dxa"/>
            <w:tcBorders>
              <w:top w:val="single" w:sz="6" w:space="0" w:color="000000"/>
              <w:bottom w:val="single" w:sz="6" w:space="0" w:color="000000"/>
            </w:tcBorders>
            <w:vAlign w:val="center"/>
          </w:tcPr>
          <w:p w:rsidR="004D0F3C" w:rsidRPr="004D0F3C" w:rsidRDefault="004D0F3C" w:rsidP="009F3C69">
            <w:pPr>
              <w:pStyle w:val="142"/>
              <w:jc w:val="right"/>
            </w:pPr>
            <w:r w:rsidRPr="004D0F3C">
              <w:t>0.37</w:t>
            </w:r>
          </w:p>
        </w:tc>
      </w:tr>
      <w:tr w:rsidR="004D0F3C" w:rsidRPr="004D0F3C" w:rsidTr="009F3C69">
        <w:trPr>
          <w:trHeight w:val="340"/>
        </w:trPr>
        <w:tc>
          <w:tcPr>
            <w:tcW w:w="1390" w:type="dxa"/>
            <w:tcBorders>
              <w:top w:val="single" w:sz="6" w:space="0" w:color="000000"/>
              <w:bottom w:val="single" w:sz="6"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112</w:t>
            </w:r>
          </w:p>
        </w:tc>
        <w:tc>
          <w:tcPr>
            <w:tcW w:w="1418" w:type="dxa"/>
            <w:tcBorders>
              <w:top w:val="single" w:sz="6" w:space="0" w:color="000000"/>
              <w:bottom w:val="single" w:sz="6" w:space="0" w:color="000000"/>
            </w:tcBorders>
            <w:shd w:val="clear" w:color="auto" w:fill="auto"/>
            <w:noWrap/>
            <w:vAlign w:val="center"/>
          </w:tcPr>
          <w:p w:rsidR="004D0F3C" w:rsidRPr="004D0F3C" w:rsidRDefault="004D0F3C" w:rsidP="009F3C69">
            <w:pPr>
              <w:pStyle w:val="142"/>
              <w:jc w:val="right"/>
            </w:pPr>
            <w:r w:rsidRPr="004D0F3C">
              <w:t>57,097</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331,261</w:t>
            </w:r>
          </w:p>
        </w:tc>
        <w:tc>
          <w:tcPr>
            <w:tcW w:w="1276" w:type="dxa"/>
            <w:tcBorders>
              <w:top w:val="single" w:sz="6" w:space="0" w:color="000000"/>
              <w:bottom w:val="single" w:sz="6" w:space="0" w:color="000000"/>
            </w:tcBorders>
            <w:vAlign w:val="center"/>
          </w:tcPr>
          <w:p w:rsidR="004D0F3C" w:rsidRPr="004D0F3C" w:rsidRDefault="004D0F3C" w:rsidP="009F3C69">
            <w:pPr>
              <w:pStyle w:val="142"/>
              <w:jc w:val="right"/>
            </w:pPr>
            <w:r w:rsidRPr="004D0F3C">
              <w:t>44</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3,130</w:t>
            </w:r>
          </w:p>
        </w:tc>
        <w:tc>
          <w:tcPr>
            <w:tcW w:w="1701" w:type="dxa"/>
            <w:tcBorders>
              <w:top w:val="single" w:sz="6" w:space="0" w:color="000000"/>
              <w:bottom w:val="single" w:sz="6" w:space="0" w:color="000000"/>
            </w:tcBorders>
            <w:vAlign w:val="center"/>
          </w:tcPr>
          <w:p w:rsidR="004D0F3C" w:rsidRPr="004D0F3C" w:rsidRDefault="004D0F3C" w:rsidP="009F3C69">
            <w:pPr>
              <w:pStyle w:val="142"/>
              <w:jc w:val="right"/>
            </w:pPr>
            <w:r w:rsidRPr="004D0F3C">
              <w:t>0.94</w:t>
            </w:r>
          </w:p>
        </w:tc>
      </w:tr>
      <w:tr w:rsidR="004D0F3C" w:rsidRPr="004D0F3C" w:rsidTr="009F3C69">
        <w:trPr>
          <w:trHeight w:val="340"/>
        </w:trPr>
        <w:tc>
          <w:tcPr>
            <w:tcW w:w="1390" w:type="dxa"/>
            <w:tcBorders>
              <w:top w:val="single" w:sz="6" w:space="0" w:color="000000"/>
              <w:bottom w:val="single" w:sz="12"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113</w:t>
            </w:r>
          </w:p>
        </w:tc>
        <w:tc>
          <w:tcPr>
            <w:tcW w:w="1418" w:type="dxa"/>
            <w:tcBorders>
              <w:top w:val="single" w:sz="6" w:space="0" w:color="000000"/>
              <w:bottom w:val="single" w:sz="12" w:space="0" w:color="000000"/>
            </w:tcBorders>
            <w:shd w:val="clear" w:color="auto" w:fill="auto"/>
            <w:noWrap/>
            <w:vAlign w:val="center"/>
          </w:tcPr>
          <w:p w:rsidR="004D0F3C" w:rsidRPr="004D0F3C" w:rsidRDefault="004D0F3C" w:rsidP="009F3C69">
            <w:pPr>
              <w:pStyle w:val="142"/>
              <w:jc w:val="right"/>
            </w:pPr>
            <w:r w:rsidRPr="004D0F3C">
              <w:t>71,098</w:t>
            </w:r>
          </w:p>
        </w:tc>
        <w:tc>
          <w:tcPr>
            <w:tcW w:w="1559" w:type="dxa"/>
            <w:tcBorders>
              <w:top w:val="single" w:sz="6" w:space="0" w:color="000000"/>
              <w:bottom w:val="single" w:sz="12" w:space="0" w:color="000000"/>
            </w:tcBorders>
            <w:vAlign w:val="center"/>
          </w:tcPr>
          <w:p w:rsidR="004D0F3C" w:rsidRPr="004D0F3C" w:rsidRDefault="004D0F3C" w:rsidP="009F3C69">
            <w:pPr>
              <w:pStyle w:val="142"/>
              <w:jc w:val="right"/>
            </w:pPr>
            <w:r w:rsidRPr="004D0F3C">
              <w:t>445,587</w:t>
            </w:r>
          </w:p>
        </w:tc>
        <w:tc>
          <w:tcPr>
            <w:tcW w:w="1276" w:type="dxa"/>
            <w:tcBorders>
              <w:top w:val="single" w:sz="6" w:space="0" w:color="000000"/>
              <w:bottom w:val="single" w:sz="12" w:space="0" w:color="000000"/>
            </w:tcBorders>
            <w:vAlign w:val="center"/>
          </w:tcPr>
          <w:p w:rsidR="004D0F3C" w:rsidRPr="004D0F3C" w:rsidRDefault="004D0F3C" w:rsidP="009F3C69">
            <w:pPr>
              <w:pStyle w:val="142"/>
              <w:jc w:val="right"/>
            </w:pPr>
            <w:r w:rsidRPr="004D0F3C">
              <w:t>229</w:t>
            </w:r>
          </w:p>
        </w:tc>
        <w:tc>
          <w:tcPr>
            <w:tcW w:w="1559" w:type="dxa"/>
            <w:tcBorders>
              <w:top w:val="single" w:sz="6" w:space="0" w:color="000000"/>
              <w:bottom w:val="single" w:sz="12" w:space="0" w:color="000000"/>
            </w:tcBorders>
            <w:vAlign w:val="center"/>
          </w:tcPr>
          <w:p w:rsidR="004D0F3C" w:rsidRPr="004D0F3C" w:rsidRDefault="004D0F3C" w:rsidP="009F3C69">
            <w:pPr>
              <w:pStyle w:val="142"/>
              <w:jc w:val="right"/>
            </w:pPr>
            <w:r w:rsidRPr="004D0F3C">
              <w:t>35,291</w:t>
            </w:r>
          </w:p>
        </w:tc>
        <w:tc>
          <w:tcPr>
            <w:tcW w:w="1701" w:type="dxa"/>
            <w:tcBorders>
              <w:top w:val="single" w:sz="6" w:space="0" w:color="000000"/>
              <w:bottom w:val="single" w:sz="12" w:space="0" w:color="000000"/>
            </w:tcBorders>
            <w:vAlign w:val="center"/>
          </w:tcPr>
          <w:p w:rsidR="004D0F3C" w:rsidRPr="004D0F3C" w:rsidRDefault="004D0F3C" w:rsidP="009F3C69">
            <w:pPr>
              <w:pStyle w:val="142"/>
              <w:jc w:val="right"/>
            </w:pPr>
            <w:r w:rsidRPr="004D0F3C">
              <w:t>7.92</w:t>
            </w:r>
          </w:p>
        </w:tc>
      </w:tr>
    </w:tbl>
    <w:p w:rsidR="004D0F3C" w:rsidRDefault="004D0F3C" w:rsidP="004D0F3C">
      <w:pPr>
        <w:pStyle w:val="142"/>
        <w:ind w:leftChars="-50" w:left="1244" w:rightChars="-100" w:right="-283" w:hangingChars="570" w:hanging="1386"/>
        <w:rPr>
          <w:rFonts w:ascii="Times New Roman"/>
          <w:snapToGrid/>
          <w:szCs w:val="24"/>
        </w:rPr>
      </w:pPr>
      <w:r>
        <w:rPr>
          <w:rFonts w:ascii="Times New Roman" w:hint="eastAsia"/>
          <w:snapToGrid/>
          <w:szCs w:val="24"/>
        </w:rPr>
        <w:t>說</w:t>
      </w:r>
      <w:r>
        <w:rPr>
          <w:rFonts w:ascii="Times New Roman" w:hint="eastAsia"/>
          <w:snapToGrid/>
          <w:szCs w:val="24"/>
        </w:rPr>
        <w:t xml:space="preserve">    </w:t>
      </w:r>
      <w:r>
        <w:rPr>
          <w:rFonts w:ascii="Times New Roman" w:hint="eastAsia"/>
          <w:snapToGrid/>
          <w:szCs w:val="24"/>
        </w:rPr>
        <w:t>明</w:t>
      </w:r>
      <w:r w:rsidRPr="006C601C">
        <w:rPr>
          <w:rFonts w:ascii="Times New Roman" w:hint="eastAsia"/>
          <w:snapToGrid/>
          <w:szCs w:val="24"/>
        </w:rPr>
        <w:t>：</w:t>
      </w:r>
      <w:r>
        <w:rPr>
          <w:rFonts w:ascii="Times New Roman" w:hint="eastAsia"/>
          <w:snapToGrid/>
          <w:szCs w:val="24"/>
        </w:rPr>
        <w:t>1.</w:t>
      </w:r>
      <w:r>
        <w:rPr>
          <w:rFonts w:ascii="Times New Roman" w:hint="eastAsia"/>
          <w:snapToGrid/>
          <w:szCs w:val="24"/>
        </w:rPr>
        <w:t>本表所稱附加投保颱風、洪水險係</w:t>
      </w:r>
      <w:r w:rsidRPr="00F53F39">
        <w:rPr>
          <w:rFonts w:ascii="Times New Roman" w:hint="eastAsia"/>
          <w:snapToGrid/>
          <w:szCs w:val="24"/>
        </w:rPr>
        <w:t>指車體損失險</w:t>
      </w:r>
      <w:r>
        <w:rPr>
          <w:rFonts w:ascii="Times New Roman" w:hint="eastAsia"/>
          <w:snapToGrid/>
          <w:szCs w:val="24"/>
        </w:rPr>
        <w:t>之</w:t>
      </w:r>
      <w:r w:rsidRPr="00F53F39">
        <w:rPr>
          <w:rFonts w:ascii="Times New Roman" w:hint="eastAsia"/>
          <w:snapToGrid/>
          <w:szCs w:val="24"/>
        </w:rPr>
        <w:t>颱風、地震、海嘯、冰雹、洪水或因雨積水附加條款。</w:t>
      </w:r>
    </w:p>
    <w:p w:rsidR="004D0F3C" w:rsidRPr="00CA35EB" w:rsidRDefault="004D0F3C" w:rsidP="004D0F3C">
      <w:pPr>
        <w:pStyle w:val="142"/>
        <w:ind w:leftChars="-50" w:left="1244" w:rightChars="-100" w:right="-283" w:hangingChars="570" w:hanging="1386"/>
        <w:rPr>
          <w:rFonts w:ascii="Times New Roman" w:hint="eastAsia"/>
          <w:snapToGrid/>
          <w:szCs w:val="24"/>
        </w:rPr>
      </w:pPr>
      <w:r>
        <w:rPr>
          <w:rFonts w:ascii="Times New Roman" w:hint="eastAsia"/>
          <w:snapToGrid/>
          <w:szCs w:val="24"/>
        </w:rPr>
        <w:t xml:space="preserve">          2.</w:t>
      </w:r>
      <w:r>
        <w:rPr>
          <w:rFonts w:hint="eastAsia"/>
        </w:rPr>
        <w:t>據保險局提供說明，</w:t>
      </w:r>
      <w:r w:rsidRPr="00CA35EB">
        <w:rPr>
          <w:rFonts w:hint="eastAsia"/>
        </w:rPr>
        <w:t>完整年度之理賠件數及理賠金額係以已發生賠款作為基準。</w:t>
      </w:r>
    </w:p>
    <w:p w:rsidR="004D0F3C" w:rsidRPr="00EA25D2" w:rsidRDefault="004D0F3C" w:rsidP="004D0F3C">
      <w:pPr>
        <w:pStyle w:val="142"/>
        <w:ind w:leftChars="-50" w:left="1074" w:rightChars="-50" w:right="-142" w:hangingChars="500" w:hanging="1216"/>
        <w:rPr>
          <w:rFonts w:hint="eastAsia"/>
        </w:rPr>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w:t>
      </w:r>
      <w:r w:rsidR="00825F01">
        <w:rPr>
          <w:rFonts w:ascii="Times New Roman" w:hint="eastAsia"/>
          <w:snapToGrid/>
          <w:szCs w:val="24"/>
        </w:rPr>
        <w:t>。</w:t>
      </w:r>
    </w:p>
    <w:p w:rsidR="002512F3" w:rsidRPr="001E1507" w:rsidRDefault="009F3C69" w:rsidP="002512F3">
      <w:pPr>
        <w:pStyle w:val="a4"/>
        <w:ind w:left="849" w:hanging="283"/>
        <w:rPr>
          <w:b/>
          <w:bCs/>
        </w:rPr>
      </w:pPr>
      <w:r w:rsidRPr="001E1507">
        <w:rPr>
          <w:rFonts w:hint="eastAsia"/>
          <w:b/>
          <w:bCs/>
        </w:rPr>
        <w:t>(三</w:t>
      </w:r>
      <w:r w:rsidR="001E1507" w:rsidRPr="001E1507">
        <w:rPr>
          <w:rFonts w:hint="eastAsia"/>
          <w:b/>
          <w:bCs/>
        </w:rPr>
        <w:t>)鑒於近年受全球氣候變遷影響，極端氣候</w:t>
      </w:r>
      <w:r w:rsidR="00F406F7">
        <w:rPr>
          <w:rFonts w:hint="eastAsia"/>
          <w:b/>
          <w:bCs/>
        </w:rPr>
        <w:t>致災</w:t>
      </w:r>
      <w:r w:rsidR="001E1507" w:rsidRPr="001E1507">
        <w:rPr>
          <w:rFonts w:hint="eastAsia"/>
          <w:b/>
          <w:bCs/>
        </w:rPr>
        <w:t>事件頻仍，除持續鼓勵民眾踴躍投保，並督導業者確實依相關規定</w:t>
      </w:r>
      <w:r w:rsidR="00851348">
        <w:rPr>
          <w:rFonts w:hint="eastAsia"/>
          <w:b/>
          <w:bCs/>
        </w:rPr>
        <w:t>釐訂</w:t>
      </w:r>
      <w:r w:rsidR="001E1507" w:rsidRPr="001E1507">
        <w:rPr>
          <w:rFonts w:hint="eastAsia"/>
          <w:b/>
          <w:bCs/>
        </w:rPr>
        <w:t>費率外，允宜適時研修相關制度與配套措施，持續精進</w:t>
      </w:r>
      <w:r w:rsidR="001E1507" w:rsidRPr="001E1507">
        <w:rPr>
          <w:b/>
          <w:bCs/>
        </w:rPr>
        <w:t xml:space="preserve"> </w:t>
      </w:r>
    </w:p>
    <w:p w:rsidR="00C02CAE" w:rsidRDefault="00CA78C6" w:rsidP="005E0895">
      <w:pPr>
        <w:pStyle w:val="22"/>
        <w:ind w:left="850" w:firstLine="566"/>
      </w:pPr>
      <w:r w:rsidRPr="000C536C">
        <w:rPr>
          <w:rFonts w:hint="eastAsia"/>
        </w:rPr>
        <w:t>天</w:t>
      </w:r>
      <w:r>
        <w:rPr>
          <w:rFonts w:hint="eastAsia"/>
        </w:rPr>
        <w:t>災雖難以預測，然</w:t>
      </w:r>
      <w:r w:rsidR="00B27426">
        <w:rPr>
          <w:rFonts w:hint="eastAsia"/>
        </w:rPr>
        <w:t>透過</w:t>
      </w:r>
      <w:r>
        <w:rPr>
          <w:rFonts w:hint="eastAsia"/>
        </w:rPr>
        <w:t>完善</w:t>
      </w:r>
      <w:r w:rsidR="00B27426">
        <w:rPr>
          <w:rFonts w:hint="eastAsia"/>
        </w:rPr>
        <w:t>相關</w:t>
      </w:r>
      <w:r w:rsidRPr="00B65261">
        <w:rPr>
          <w:rFonts w:hint="eastAsia"/>
        </w:rPr>
        <w:t>防災規劃</w:t>
      </w:r>
      <w:r w:rsidR="004379A4">
        <w:rPr>
          <w:rFonts w:hint="eastAsia"/>
        </w:rPr>
        <w:t>及推動</w:t>
      </w:r>
      <w:r w:rsidR="00B27426">
        <w:rPr>
          <w:rFonts w:hint="eastAsia"/>
        </w:rPr>
        <w:t>保險</w:t>
      </w:r>
      <w:r>
        <w:rPr>
          <w:rFonts w:hint="eastAsia"/>
        </w:rPr>
        <w:t>機制</w:t>
      </w:r>
      <w:r w:rsidR="00B27426">
        <w:rPr>
          <w:rFonts w:hint="eastAsia"/>
        </w:rPr>
        <w:t>等措施，</w:t>
      </w:r>
      <w:r w:rsidR="004379A4">
        <w:rPr>
          <w:rFonts w:hint="eastAsia"/>
        </w:rPr>
        <w:t>皆可</w:t>
      </w:r>
      <w:r>
        <w:rPr>
          <w:rFonts w:hint="eastAsia"/>
        </w:rPr>
        <w:t>強化</w:t>
      </w:r>
      <w:r w:rsidR="00B27426">
        <w:rPr>
          <w:rFonts w:hint="eastAsia"/>
        </w:rPr>
        <w:t>對</w:t>
      </w:r>
      <w:r>
        <w:rPr>
          <w:rFonts w:hint="eastAsia"/>
        </w:rPr>
        <w:t>民眾財產安全之保障，</w:t>
      </w:r>
      <w:r w:rsidR="004379A4">
        <w:rPr>
          <w:rFonts w:hint="eastAsia"/>
        </w:rPr>
        <w:t>亦有助於</w:t>
      </w:r>
      <w:r>
        <w:rPr>
          <w:rFonts w:hint="eastAsia"/>
        </w:rPr>
        <w:t>減輕政府因天災所致之財政負擔</w:t>
      </w:r>
      <w:r w:rsidR="007F1AA5">
        <w:rPr>
          <w:rFonts w:hint="eastAsia"/>
        </w:rPr>
        <w:t>。</w:t>
      </w:r>
      <w:r w:rsidR="00B27426">
        <w:rPr>
          <w:rFonts w:hint="eastAsia"/>
        </w:rPr>
        <w:t>爰</w:t>
      </w:r>
      <w:r w:rsidR="009806F9">
        <w:rPr>
          <w:rFonts w:hint="eastAsia"/>
        </w:rPr>
        <w:t>我國</w:t>
      </w:r>
      <w:r w:rsidR="00B27426">
        <w:rPr>
          <w:rFonts w:hint="eastAsia"/>
        </w:rPr>
        <w:t>自921大地震造成嚴重災情後，於90年增訂保險法第138條之1，</w:t>
      </w:r>
      <w:r w:rsidR="00314900">
        <w:rPr>
          <w:rFonts w:hint="eastAsia"/>
        </w:rPr>
        <w:t>財政部</w:t>
      </w:r>
      <w:r w:rsidR="004379A4">
        <w:rPr>
          <w:rFonts w:hint="eastAsia"/>
        </w:rPr>
        <w:t>復</w:t>
      </w:r>
      <w:r w:rsidR="00B27426">
        <w:rPr>
          <w:rFonts w:hint="eastAsia"/>
        </w:rPr>
        <w:t>據</w:t>
      </w:r>
      <w:r w:rsidR="00F32511">
        <w:rPr>
          <w:rFonts w:hint="eastAsia"/>
        </w:rPr>
        <w:t>以</w:t>
      </w:r>
      <w:r w:rsidR="00B27426">
        <w:rPr>
          <w:rFonts w:hint="eastAsia"/>
        </w:rPr>
        <w:t>頒訂住宅地震保險共保及危險承擔機制實施辦法</w:t>
      </w:r>
      <w:r w:rsidR="00A74D19">
        <w:rPr>
          <w:rStyle w:val="af7"/>
        </w:rPr>
        <w:footnoteReference w:id="7"/>
      </w:r>
      <w:r w:rsidR="00F32511">
        <w:rPr>
          <w:rFonts w:hint="eastAsia"/>
        </w:rPr>
        <w:t>，以建構危險分散機制</w:t>
      </w:r>
      <w:r w:rsidR="00B27426">
        <w:rPr>
          <w:rFonts w:hint="eastAsia"/>
        </w:rPr>
        <w:t>，</w:t>
      </w:r>
      <w:r w:rsidR="00D3291D">
        <w:rPr>
          <w:rFonts w:hint="eastAsia"/>
        </w:rPr>
        <w:t>並</w:t>
      </w:r>
      <w:r w:rsidR="009806F9">
        <w:rPr>
          <w:rFonts w:hint="eastAsia"/>
        </w:rPr>
        <w:t>於</w:t>
      </w:r>
      <w:r w:rsidR="00B27426">
        <w:rPr>
          <w:rFonts w:hint="eastAsia"/>
        </w:rPr>
        <w:t>91年4月1日起，</w:t>
      </w:r>
      <w:r w:rsidR="009806F9">
        <w:rPr>
          <w:rFonts w:hint="eastAsia"/>
        </w:rPr>
        <w:t>住宅火災保險單下自動涵蓋住宅地震基本保險；該</w:t>
      </w:r>
      <w:r w:rsidR="00F97AD2">
        <w:rPr>
          <w:rFonts w:hint="eastAsia"/>
        </w:rPr>
        <w:t>制度</w:t>
      </w:r>
      <w:r w:rsidR="00F32511">
        <w:rPr>
          <w:rFonts w:hint="eastAsia"/>
        </w:rPr>
        <w:t>實施初期，總責任承擔限額為500億元、每一保險標的物之保險金額最高為120萬元，並採單一費率</w:t>
      </w:r>
      <w:r w:rsidR="00F406F7">
        <w:rPr>
          <w:rFonts w:hint="eastAsia"/>
        </w:rPr>
        <w:t>、</w:t>
      </w:r>
      <w:r w:rsidR="00F32511">
        <w:rPr>
          <w:rFonts w:hint="eastAsia"/>
        </w:rPr>
        <w:t>每年保費為1,459元，</w:t>
      </w:r>
      <w:r w:rsidR="00F97AD2">
        <w:rPr>
          <w:rFonts w:hint="eastAsia"/>
        </w:rPr>
        <w:t>其後</w:t>
      </w:r>
      <w:r w:rsidR="00F32511">
        <w:rPr>
          <w:rFonts w:hint="eastAsia"/>
        </w:rPr>
        <w:t>經金管會多</w:t>
      </w:r>
      <w:r w:rsidR="00F32511" w:rsidRPr="00C45993">
        <w:rPr>
          <w:rFonts w:hint="eastAsia"/>
        </w:rPr>
        <w:t>次</w:t>
      </w:r>
      <w:r w:rsidR="00F97AD2">
        <w:rPr>
          <w:rFonts w:hint="eastAsia"/>
        </w:rPr>
        <w:t>檢討</w:t>
      </w:r>
      <w:r w:rsidR="00F32511" w:rsidRPr="00C45993">
        <w:rPr>
          <w:rFonts w:hint="eastAsia"/>
        </w:rPr>
        <w:t>修訂相關規定</w:t>
      </w:r>
      <w:r w:rsidR="00F32511">
        <w:rPr>
          <w:rFonts w:hint="eastAsia"/>
        </w:rPr>
        <w:t>，現承擔限額已調高至1,200億元、保險金額</w:t>
      </w:r>
      <w:r w:rsidR="009806F9">
        <w:rPr>
          <w:rFonts w:hint="eastAsia"/>
        </w:rPr>
        <w:t>上限調增至</w:t>
      </w:r>
      <w:r w:rsidR="00F32511">
        <w:rPr>
          <w:rFonts w:hint="eastAsia"/>
        </w:rPr>
        <w:t>150萬元</w:t>
      </w:r>
      <w:r w:rsidR="00F406F7">
        <w:rPr>
          <w:rFonts w:hint="eastAsia"/>
        </w:rPr>
        <w:t>，</w:t>
      </w:r>
      <w:r w:rsidR="00F32511">
        <w:rPr>
          <w:rFonts w:hint="eastAsia"/>
        </w:rPr>
        <w:t>每年保費</w:t>
      </w:r>
      <w:r w:rsidR="004B3FFB">
        <w:rPr>
          <w:rFonts w:hint="eastAsia"/>
        </w:rPr>
        <w:t>則</w:t>
      </w:r>
      <w:r w:rsidR="00F32511">
        <w:rPr>
          <w:rFonts w:hint="eastAsia"/>
        </w:rPr>
        <w:t>降為1,350元，</w:t>
      </w:r>
      <w:r w:rsidR="005E0895">
        <w:rPr>
          <w:rFonts w:hint="eastAsia"/>
        </w:rPr>
        <w:t>並陸續擴大臨時住宿費用之金額</w:t>
      </w:r>
      <w:r w:rsidR="009806F9">
        <w:rPr>
          <w:rFonts w:hint="eastAsia"/>
        </w:rPr>
        <w:t>及</w:t>
      </w:r>
      <w:r w:rsidR="005E0895">
        <w:rPr>
          <w:rFonts w:hint="eastAsia"/>
        </w:rPr>
        <w:t>給付範圍等。</w:t>
      </w:r>
    </w:p>
    <w:p w:rsidR="002512F3" w:rsidRPr="002512F3" w:rsidRDefault="00F406F7" w:rsidP="00C02CAE">
      <w:pPr>
        <w:pStyle w:val="22"/>
        <w:ind w:left="850" w:firstLine="566"/>
      </w:pPr>
      <w:r>
        <w:rPr>
          <w:rFonts w:hint="eastAsia"/>
        </w:rPr>
        <w:t>至</w:t>
      </w:r>
      <w:r w:rsidR="005E0895">
        <w:rPr>
          <w:rFonts w:hint="eastAsia"/>
        </w:rPr>
        <w:t>同為巨災性質之颱風洪水</w:t>
      </w:r>
      <w:r w:rsidR="00FC7BB5">
        <w:rPr>
          <w:rFonts w:hint="eastAsia"/>
        </w:rPr>
        <w:t>部分，則係自</w:t>
      </w:r>
      <w:r w:rsidR="005E0895">
        <w:rPr>
          <w:rFonts w:hint="eastAsia"/>
        </w:rPr>
        <w:t>109年</w:t>
      </w:r>
      <w:r w:rsidR="00FC7BB5">
        <w:rPr>
          <w:rFonts w:hint="eastAsia"/>
        </w:rPr>
        <w:t>起於</w:t>
      </w:r>
      <w:r w:rsidR="005E0895">
        <w:rPr>
          <w:rFonts w:hint="eastAsia"/>
        </w:rPr>
        <w:t>住宅火災保險中</w:t>
      </w:r>
      <w:r w:rsidR="00EF66E9">
        <w:rPr>
          <w:rFonts w:hint="eastAsia"/>
        </w:rPr>
        <w:t>納入</w:t>
      </w:r>
      <w:r w:rsidR="005E0895">
        <w:rPr>
          <w:rFonts w:hint="eastAsia"/>
        </w:rPr>
        <w:t>「住宅颱風及洪水災害補償保險」</w:t>
      </w:r>
      <w:r w:rsidR="00FC7BB5">
        <w:rPr>
          <w:rFonts w:hint="eastAsia"/>
        </w:rPr>
        <w:t>，</w:t>
      </w:r>
      <w:r w:rsidR="00F97AD2">
        <w:rPr>
          <w:rFonts w:hint="eastAsia"/>
        </w:rPr>
        <w:t>以</w:t>
      </w:r>
      <w:r w:rsidR="005E0895">
        <w:rPr>
          <w:rFonts w:hint="eastAsia"/>
        </w:rPr>
        <w:t>提供7,000至9,000</w:t>
      </w:r>
      <w:r>
        <w:rPr>
          <w:rFonts w:hint="eastAsia"/>
        </w:rPr>
        <w:t>元</w:t>
      </w:r>
      <w:r w:rsidR="009806F9">
        <w:rPr>
          <w:rFonts w:hint="eastAsia"/>
        </w:rPr>
        <w:t>之</w:t>
      </w:r>
      <w:r w:rsidR="005E0895">
        <w:rPr>
          <w:rFonts w:hint="eastAsia"/>
        </w:rPr>
        <w:t>基本保障，</w:t>
      </w:r>
      <w:r w:rsidR="009806F9">
        <w:rPr>
          <w:rFonts w:hint="eastAsia"/>
        </w:rPr>
        <w:t>惟近年物價指數逐年</w:t>
      </w:r>
      <w:r w:rsidR="003E0B6F">
        <w:rPr>
          <w:rFonts w:hint="eastAsia"/>
        </w:rPr>
        <w:t>成長</w:t>
      </w:r>
      <w:r w:rsidR="00EF66E9">
        <w:rPr>
          <w:rStyle w:val="af7"/>
        </w:rPr>
        <w:footnoteReference w:id="8"/>
      </w:r>
      <w:r w:rsidR="00EF66E9">
        <w:rPr>
          <w:rFonts w:hint="eastAsia"/>
        </w:rPr>
        <w:t>，</w:t>
      </w:r>
      <w:r w:rsidR="009806F9">
        <w:rPr>
          <w:rFonts w:hint="eastAsia"/>
          <w:lang w:eastAsia="zh-HK"/>
        </w:rPr>
        <w:t>民眾雖可</w:t>
      </w:r>
      <w:r w:rsidR="009806F9" w:rsidRPr="00F44521">
        <w:rPr>
          <w:rFonts w:hint="eastAsia"/>
        </w:rPr>
        <w:t>視需求額外加保「超額颱風及洪水保險附加條款」</w:t>
      </w:r>
      <w:r w:rsidR="009806F9">
        <w:rPr>
          <w:rFonts w:hint="eastAsia"/>
        </w:rPr>
        <w:t>，</w:t>
      </w:r>
      <w:r w:rsidR="003E0B6F">
        <w:rPr>
          <w:rFonts w:hint="eastAsia"/>
        </w:rPr>
        <w:t>然</w:t>
      </w:r>
      <w:r w:rsidR="009806F9">
        <w:rPr>
          <w:rFonts w:hint="eastAsia"/>
        </w:rPr>
        <w:t>投保率尚低，且</w:t>
      </w:r>
      <w:r w:rsidR="00EF66E9" w:rsidRPr="00EF66E9">
        <w:rPr>
          <w:rFonts w:hint="eastAsia"/>
          <w:lang w:eastAsia="zh-HK"/>
        </w:rPr>
        <w:t>受全球氣候變遷影響，極端氣候</w:t>
      </w:r>
      <w:r>
        <w:rPr>
          <w:rFonts w:hint="eastAsia"/>
          <w:lang w:eastAsia="zh-HK"/>
        </w:rPr>
        <w:t>致災</w:t>
      </w:r>
      <w:r w:rsidR="00EF66E9" w:rsidRPr="00EF66E9">
        <w:rPr>
          <w:rFonts w:hint="eastAsia"/>
          <w:lang w:eastAsia="zh-HK"/>
        </w:rPr>
        <w:t>事件頻仍</w:t>
      </w:r>
      <w:r w:rsidR="009806F9">
        <w:rPr>
          <w:rFonts w:hint="eastAsia"/>
          <w:lang w:eastAsia="zh-HK"/>
        </w:rPr>
        <w:t>，</w:t>
      </w:r>
      <w:r w:rsidR="009806F9">
        <w:rPr>
          <w:rFonts w:hint="eastAsia"/>
        </w:rPr>
        <w:t>114</w:t>
      </w:r>
      <w:r w:rsidR="009806F9">
        <w:rPr>
          <w:rFonts w:hint="eastAsia"/>
          <w:lang w:eastAsia="zh-HK"/>
        </w:rPr>
        <w:t>年以來，</w:t>
      </w:r>
      <w:r w:rsidR="00EF66E9">
        <w:rPr>
          <w:rFonts w:hint="eastAsia"/>
        </w:rPr>
        <w:t>政府</w:t>
      </w:r>
      <w:r w:rsidR="009806F9">
        <w:rPr>
          <w:rFonts w:hint="eastAsia"/>
          <w:lang w:eastAsia="zh-HK"/>
        </w:rPr>
        <w:t>為應颱風及豪雨</w:t>
      </w:r>
      <w:r w:rsidR="00EF66E9">
        <w:rPr>
          <w:rFonts w:hint="eastAsia"/>
          <w:lang w:eastAsia="zh-HK"/>
        </w:rPr>
        <w:t>災</w:t>
      </w:r>
      <w:r w:rsidR="00EF66E9">
        <w:rPr>
          <w:rFonts w:hint="eastAsia"/>
        </w:rPr>
        <w:t>害復原需求</w:t>
      </w:r>
      <w:r w:rsidR="009806F9">
        <w:rPr>
          <w:rFonts w:hint="eastAsia"/>
          <w:lang w:eastAsia="zh-HK"/>
        </w:rPr>
        <w:t>，已先後編列「丹娜絲颱風及七二八豪雨災後復原重建特別預算」及「</w:t>
      </w:r>
      <w:r w:rsidR="009806F9" w:rsidRPr="00F02A16">
        <w:rPr>
          <w:rFonts w:hint="eastAsia"/>
          <w:lang w:eastAsia="zh-HK"/>
        </w:rPr>
        <w:t>花蓮馬太鞍溪堰塞湖災後重建</w:t>
      </w:r>
      <w:r w:rsidR="009806F9">
        <w:rPr>
          <w:rFonts w:hint="eastAsia"/>
          <w:lang w:eastAsia="zh-HK"/>
        </w:rPr>
        <w:t>特別預算」，預算</w:t>
      </w:r>
      <w:r w:rsidR="00C10619">
        <w:rPr>
          <w:rFonts w:hint="eastAsia"/>
        </w:rPr>
        <w:t>規模</w:t>
      </w:r>
      <w:r w:rsidR="009806F9">
        <w:rPr>
          <w:rFonts w:hint="eastAsia"/>
          <w:lang w:eastAsia="zh-HK"/>
        </w:rPr>
        <w:t>超逾數百億元，金額甚鉅</w:t>
      </w:r>
      <w:r>
        <w:rPr>
          <w:rFonts w:hint="eastAsia"/>
        </w:rPr>
        <w:t>。</w:t>
      </w:r>
      <w:r w:rsidR="00C02CAE">
        <w:rPr>
          <w:rFonts w:hint="eastAsia"/>
        </w:rPr>
        <w:t>爰除持續</w:t>
      </w:r>
      <w:r w:rsidR="00C10619">
        <w:rPr>
          <w:rFonts w:hint="eastAsia"/>
        </w:rPr>
        <w:t>鼓勵民眾踴躍並充分投保，</w:t>
      </w:r>
      <w:r w:rsidR="00C02CAE">
        <w:rPr>
          <w:rFonts w:hint="eastAsia"/>
        </w:rPr>
        <w:t>並</w:t>
      </w:r>
      <w:r w:rsidR="00C10619">
        <w:rPr>
          <w:rFonts w:hint="eastAsia"/>
        </w:rPr>
        <w:t>督導業者確實依相關規定</w:t>
      </w:r>
      <w:r w:rsidR="006C35AF">
        <w:rPr>
          <w:rFonts w:hint="eastAsia"/>
        </w:rPr>
        <w:t>釐訂並檢討費率</w:t>
      </w:r>
      <w:r w:rsidR="00C02CAE">
        <w:rPr>
          <w:rFonts w:hint="eastAsia"/>
        </w:rPr>
        <w:t>外，允宜</w:t>
      </w:r>
      <w:r w:rsidR="007D2965">
        <w:rPr>
          <w:rFonts w:hint="eastAsia"/>
        </w:rPr>
        <w:t>適時</w:t>
      </w:r>
      <w:r w:rsidR="001E1507">
        <w:rPr>
          <w:rFonts w:hint="eastAsia"/>
        </w:rPr>
        <w:t>評估</w:t>
      </w:r>
      <w:r w:rsidR="007D2965">
        <w:rPr>
          <w:rFonts w:hint="eastAsia"/>
        </w:rPr>
        <w:t>研修</w:t>
      </w:r>
      <w:r>
        <w:rPr>
          <w:rFonts w:hint="eastAsia"/>
        </w:rPr>
        <w:t>並持續精進</w:t>
      </w:r>
      <w:r w:rsidR="00C02CAE">
        <w:rPr>
          <w:rFonts w:hint="eastAsia"/>
        </w:rPr>
        <w:t>相關</w:t>
      </w:r>
      <w:r w:rsidR="00C10619">
        <w:rPr>
          <w:rFonts w:hint="eastAsia"/>
        </w:rPr>
        <w:t>制度</w:t>
      </w:r>
      <w:r w:rsidR="001E1507">
        <w:rPr>
          <w:rFonts w:hint="eastAsia"/>
        </w:rPr>
        <w:t>，</w:t>
      </w:r>
      <w:r w:rsidR="00C02CAE">
        <w:rPr>
          <w:rFonts w:hint="eastAsia"/>
        </w:rPr>
        <w:t>俾提升民眾財產保障</w:t>
      </w:r>
      <w:r w:rsidR="00C10619" w:rsidRPr="00C10619">
        <w:rPr>
          <w:rFonts w:hint="eastAsia"/>
        </w:rPr>
        <w:t>並</w:t>
      </w:r>
      <w:r>
        <w:rPr>
          <w:rFonts w:hint="eastAsia"/>
        </w:rPr>
        <w:t>減少</w:t>
      </w:r>
      <w:r w:rsidR="001E1507">
        <w:rPr>
          <w:rFonts w:hint="eastAsia"/>
        </w:rPr>
        <w:t>政府</w:t>
      </w:r>
      <w:r w:rsidR="00C10619" w:rsidRPr="00C10619">
        <w:rPr>
          <w:rFonts w:hint="eastAsia"/>
        </w:rPr>
        <w:t>財政</w:t>
      </w:r>
      <w:r>
        <w:rPr>
          <w:rFonts w:hint="eastAsia"/>
        </w:rPr>
        <w:t>負擔</w:t>
      </w:r>
      <w:r w:rsidR="00C02CAE">
        <w:rPr>
          <w:rFonts w:hint="eastAsia"/>
        </w:rPr>
        <w:t>。</w:t>
      </w:r>
    </w:p>
    <w:p w:rsidR="006C35AF" w:rsidRDefault="004D0F3C" w:rsidP="00274746">
      <w:pPr>
        <w:ind w:left="566" w:firstLine="566"/>
      </w:pPr>
      <w:r>
        <w:rPr>
          <w:rFonts w:hint="eastAsia"/>
        </w:rPr>
        <w:t>綜上，</w:t>
      </w:r>
      <w:r w:rsidR="006C35AF">
        <w:rPr>
          <w:rFonts w:hint="eastAsia"/>
        </w:rPr>
        <w:t>我國民眾</w:t>
      </w:r>
      <w:r w:rsidR="00E5738F">
        <w:rPr>
          <w:rFonts w:hint="eastAsia"/>
        </w:rPr>
        <w:t>投</w:t>
      </w:r>
      <w:r w:rsidR="00F406F7">
        <w:rPr>
          <w:rFonts w:hint="eastAsia"/>
        </w:rPr>
        <w:t>保</w:t>
      </w:r>
      <w:r w:rsidR="006C35AF">
        <w:rPr>
          <w:rFonts w:hint="eastAsia"/>
        </w:rPr>
        <w:t>房屋、汽(機)車投保颱風洪水相關保險之比率偏低，且近年住宅火災保險加保</w:t>
      </w:r>
      <w:r w:rsidR="006C35AF" w:rsidRPr="006D7F39">
        <w:rPr>
          <w:rFonts w:hint="eastAsia"/>
        </w:rPr>
        <w:t>「超額颱風及洪水保險附加條款」</w:t>
      </w:r>
      <w:r w:rsidR="006C35AF">
        <w:rPr>
          <w:rFonts w:hint="eastAsia"/>
        </w:rPr>
        <w:t>及汽(機)車附加投保</w:t>
      </w:r>
      <w:r w:rsidR="006C35AF" w:rsidRPr="00C961A0">
        <w:rPr>
          <w:rFonts w:hint="eastAsia"/>
        </w:rPr>
        <w:t>颱風、洪水險</w:t>
      </w:r>
      <w:r w:rsidR="006C35AF">
        <w:rPr>
          <w:rFonts w:hint="eastAsia"/>
        </w:rPr>
        <w:t>之損失率亦有偏低情形，鑒於受</w:t>
      </w:r>
      <w:r w:rsidR="006C35AF" w:rsidRPr="00EF66E9">
        <w:rPr>
          <w:rFonts w:hint="eastAsia"/>
          <w:lang w:eastAsia="zh-HK"/>
        </w:rPr>
        <w:t>全球氣候變遷影響，極端氣候</w:t>
      </w:r>
      <w:r w:rsidR="00F406F7">
        <w:rPr>
          <w:rFonts w:hint="eastAsia"/>
          <w:lang w:eastAsia="zh-HK"/>
        </w:rPr>
        <w:t>致災</w:t>
      </w:r>
      <w:r w:rsidR="006C35AF" w:rsidRPr="00EF66E9">
        <w:rPr>
          <w:rFonts w:hint="eastAsia"/>
          <w:lang w:eastAsia="zh-HK"/>
        </w:rPr>
        <w:t>事件頻仍</w:t>
      </w:r>
      <w:r w:rsidR="006C35AF">
        <w:rPr>
          <w:rFonts w:hint="eastAsia"/>
          <w:lang w:eastAsia="zh-HK"/>
        </w:rPr>
        <w:t>，除</w:t>
      </w:r>
      <w:r w:rsidR="006C35AF">
        <w:rPr>
          <w:rFonts w:hint="eastAsia"/>
        </w:rPr>
        <w:t>持續鼓勵民眾踴躍並充分投保，並督導業者確實依相關規定釐訂並檢討費率外，允宜適時</w:t>
      </w:r>
      <w:r w:rsidR="001E1507">
        <w:rPr>
          <w:rFonts w:hint="eastAsia"/>
        </w:rPr>
        <w:t>研修</w:t>
      </w:r>
      <w:r w:rsidR="00F406F7">
        <w:rPr>
          <w:rFonts w:hint="eastAsia"/>
        </w:rPr>
        <w:t>並持續精進</w:t>
      </w:r>
      <w:r w:rsidR="006C35AF">
        <w:rPr>
          <w:rFonts w:hint="eastAsia"/>
        </w:rPr>
        <w:t>相關制度與</w:t>
      </w:r>
      <w:r w:rsidR="001E1507">
        <w:rPr>
          <w:rFonts w:hint="eastAsia"/>
        </w:rPr>
        <w:t>配套</w:t>
      </w:r>
      <w:r w:rsidR="006C35AF">
        <w:rPr>
          <w:rFonts w:hint="eastAsia"/>
        </w:rPr>
        <w:t>措施</w:t>
      </w:r>
      <w:r w:rsidR="001E1507">
        <w:rPr>
          <w:rFonts w:hint="eastAsia"/>
        </w:rPr>
        <w:t>，</w:t>
      </w:r>
      <w:r w:rsidR="006C35AF">
        <w:rPr>
          <w:rFonts w:hint="eastAsia"/>
        </w:rPr>
        <w:t>俾提升民眾財產保障</w:t>
      </w:r>
      <w:r w:rsidR="00F406F7">
        <w:rPr>
          <w:rFonts w:hint="eastAsia"/>
        </w:rPr>
        <w:t>及減少</w:t>
      </w:r>
      <w:r w:rsidR="003E0B6F">
        <w:rPr>
          <w:rFonts w:hint="eastAsia"/>
        </w:rPr>
        <w:t>政府</w:t>
      </w:r>
      <w:r w:rsidR="006C35AF" w:rsidRPr="00C10619">
        <w:rPr>
          <w:rFonts w:hint="eastAsia"/>
        </w:rPr>
        <w:t>財政</w:t>
      </w:r>
      <w:r w:rsidR="00F406F7">
        <w:rPr>
          <w:rFonts w:hint="eastAsia"/>
        </w:rPr>
        <w:t>負擔</w:t>
      </w:r>
      <w:r w:rsidR="006C35AF">
        <w:rPr>
          <w:rFonts w:hint="eastAsia"/>
        </w:rPr>
        <w:t>。</w:t>
      </w:r>
    </w:p>
    <w:p w:rsidR="002234C0" w:rsidRPr="00880E76" w:rsidRDefault="00880E76" w:rsidP="007D6D5A">
      <w:pPr>
        <w:pStyle w:val="ac"/>
        <w:rPr>
          <w:color w:val="000000"/>
        </w:rPr>
      </w:pPr>
      <w:r w:rsidRPr="005E5FCF">
        <w:rPr>
          <w:rFonts w:hint="eastAsia"/>
          <w:color w:val="000000"/>
        </w:rPr>
        <w:t>（分機：</w:t>
      </w:r>
      <w:r>
        <w:rPr>
          <w:rFonts w:hint="eastAsia"/>
          <w:color w:val="000000"/>
        </w:rPr>
        <w:t>8660</w:t>
      </w:r>
      <w:r w:rsidRPr="005E5FCF">
        <w:rPr>
          <w:rFonts w:hint="eastAsia"/>
          <w:color w:val="000000"/>
        </w:rPr>
        <w:t xml:space="preserve"> </w:t>
      </w:r>
      <w:r>
        <w:rPr>
          <w:rFonts w:hint="eastAsia"/>
          <w:color w:val="000000"/>
        </w:rPr>
        <w:t>翁珮珊</w:t>
      </w:r>
      <w:r w:rsidRPr="005E5FCF">
        <w:rPr>
          <w:rFonts w:hint="eastAsia"/>
          <w:color w:val="000000"/>
        </w:rPr>
        <w:t>）</w:t>
      </w:r>
    </w:p>
    <w:sectPr w:rsidR="002234C0" w:rsidRPr="00880E76" w:rsidSect="00DF32CA">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EE1" w:rsidRDefault="00264EE1" w:rsidP="00E92BAD">
      <w:pPr>
        <w:spacing w:line="240" w:lineRule="auto"/>
        <w:ind w:left="560" w:firstLine="560"/>
      </w:pPr>
      <w:r>
        <w:separator/>
      </w:r>
    </w:p>
  </w:endnote>
  <w:endnote w:type="continuationSeparator" w:id="0">
    <w:p w:rsidR="00264EE1" w:rsidRDefault="00264EE1" w:rsidP="00E92B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rsidP="006A4F67">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0033D9" w:rsidRDefault="000033D9">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Pr="00567CB2" w:rsidRDefault="000033D9" w:rsidP="001A5A69">
    <w:pPr>
      <w:pStyle w:val="af2"/>
      <w:framePr w:wrap="around" w:vAnchor="text" w:hAnchor="margin" w:xAlign="center" w:y="1"/>
      <w:ind w:leftChars="0" w:left="0" w:firstLineChars="0" w:firstLine="0"/>
      <w:jc w:val="center"/>
      <w:rPr>
        <w:rStyle w:val="af4"/>
        <w:rFonts w:ascii="標楷體" w:hAnsi="標楷體"/>
      </w:rPr>
    </w:pPr>
    <w:r w:rsidRPr="00567CB2">
      <w:rPr>
        <w:rStyle w:val="af4"/>
        <w:rFonts w:ascii="標楷體" w:hAnsi="標楷體"/>
      </w:rPr>
      <w:fldChar w:fldCharType="begin"/>
    </w:r>
    <w:r w:rsidRPr="00567CB2">
      <w:rPr>
        <w:rStyle w:val="af4"/>
        <w:rFonts w:ascii="標楷體" w:hAnsi="標楷體"/>
      </w:rPr>
      <w:instrText xml:space="preserve">PAGE  </w:instrText>
    </w:r>
    <w:r w:rsidRPr="00567CB2">
      <w:rPr>
        <w:rStyle w:val="af4"/>
        <w:rFonts w:ascii="標楷體" w:hAnsi="標楷體"/>
      </w:rPr>
      <w:fldChar w:fldCharType="separate"/>
    </w:r>
    <w:r w:rsidR="00377A53">
      <w:rPr>
        <w:rStyle w:val="af4"/>
        <w:rFonts w:ascii="標楷體" w:hAnsi="標楷體"/>
        <w:noProof/>
      </w:rPr>
      <w:t>1</w:t>
    </w:r>
    <w:r w:rsidRPr="00567CB2">
      <w:rPr>
        <w:rStyle w:val="af4"/>
        <w:rFonts w:ascii="標楷體" w:hAnsi="標楷體"/>
      </w:rPr>
      <w:fldChar w:fldCharType="end"/>
    </w:r>
  </w:p>
  <w:p w:rsidR="000033D9" w:rsidRPr="00657357" w:rsidRDefault="000033D9" w:rsidP="00BE16E8">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EE1" w:rsidRDefault="00264EE1" w:rsidP="000A7B0C">
      <w:pPr>
        <w:pStyle w:val="142"/>
      </w:pPr>
      <w:r>
        <w:separator/>
      </w:r>
    </w:p>
  </w:footnote>
  <w:footnote w:type="continuationSeparator" w:id="0">
    <w:p w:rsidR="00264EE1" w:rsidRPr="000A7B0C" w:rsidRDefault="00264EE1" w:rsidP="000A7B0C">
      <w:pPr>
        <w:pStyle w:val="142"/>
      </w:pPr>
      <w:r w:rsidRPr="000A7B0C">
        <w:continuationSeparator/>
      </w:r>
    </w:p>
  </w:footnote>
  <w:footnote w:type="continuationNotice" w:id="1">
    <w:p w:rsidR="00264EE1" w:rsidRPr="000A7B0C" w:rsidRDefault="00264EE1" w:rsidP="000A7B0C">
      <w:pPr>
        <w:pStyle w:val="142"/>
      </w:pPr>
    </w:p>
  </w:footnote>
  <w:footnote w:id="2">
    <w:p w:rsidR="00F92877" w:rsidRDefault="00F92877" w:rsidP="00F92877">
      <w:pPr>
        <w:pStyle w:val="142"/>
        <w:ind w:left="170" w:hangingChars="70" w:hanging="170"/>
        <w:rPr>
          <w:rFonts w:hint="eastAsia"/>
        </w:rPr>
      </w:pPr>
      <w:r>
        <w:rPr>
          <w:rStyle w:val="af7"/>
        </w:rPr>
        <w:footnoteRef/>
      </w:r>
      <w:r>
        <w:t xml:space="preserve"> </w:t>
      </w:r>
      <w:r w:rsidRPr="002272E9">
        <w:rPr>
          <w:rFonts w:hint="eastAsia"/>
        </w:rPr>
        <w:t>金融消費者保護法</w:t>
      </w:r>
      <w:r>
        <w:rPr>
          <w:rFonts w:hint="eastAsia"/>
        </w:rPr>
        <w:t>第13條第2項規定：「</w:t>
      </w:r>
      <w:r w:rsidRPr="002272E9">
        <w:rPr>
          <w:rFonts w:hint="eastAsia"/>
        </w:rPr>
        <w:t>金融消費者就金融消費爭議事件應先向金融服務業提出申訴，金融服務業應於收受申訴之日起</w:t>
      </w:r>
      <w:r w:rsidR="00F0296D">
        <w:rPr>
          <w:rFonts w:hint="eastAsia"/>
        </w:rPr>
        <w:t>30</w:t>
      </w:r>
      <w:r w:rsidRPr="002272E9">
        <w:rPr>
          <w:rFonts w:hint="eastAsia"/>
        </w:rPr>
        <w:t>日內為適當之處理，並將處理結果回覆提出申訴之金融消費者；</w:t>
      </w:r>
      <w:r w:rsidRPr="002272E9">
        <w:rPr>
          <w:rFonts w:hint="eastAsia"/>
          <w:u w:val="single"/>
        </w:rPr>
        <w:t>金融消費者不接受處理結果者或金融服務業逾上述期限不為處理者，金融消費者得於收受處理結果或期限屆滿之日起</w:t>
      </w:r>
      <w:r w:rsidR="00F0296D">
        <w:rPr>
          <w:rFonts w:hint="eastAsia"/>
          <w:u w:val="single"/>
        </w:rPr>
        <w:t>60</w:t>
      </w:r>
      <w:r w:rsidRPr="002272E9">
        <w:rPr>
          <w:rFonts w:hint="eastAsia"/>
          <w:u w:val="single"/>
        </w:rPr>
        <w:t>日內，向爭議處理機構申請評議</w:t>
      </w:r>
      <w:r w:rsidRPr="002272E9">
        <w:rPr>
          <w:rFonts w:hint="eastAsia"/>
        </w:rPr>
        <w:t>；金融消費者向爭議處理機構提出申訴者，爭議處理機構之金融消費者服務部門應將該申訴移交金融服務業處理</w:t>
      </w:r>
      <w:r>
        <w:rPr>
          <w:rFonts w:hint="eastAsia"/>
        </w:rPr>
        <w:t>。」</w:t>
      </w:r>
    </w:p>
  </w:footnote>
  <w:footnote w:id="3">
    <w:p w:rsidR="00182F9A" w:rsidRDefault="00182F9A" w:rsidP="005144D2">
      <w:pPr>
        <w:pStyle w:val="142"/>
        <w:ind w:left="170" w:hangingChars="70" w:hanging="170"/>
        <w:rPr>
          <w:rFonts w:hint="eastAsia"/>
        </w:rPr>
      </w:pPr>
      <w:r>
        <w:rPr>
          <w:rStyle w:val="af7"/>
        </w:rPr>
        <w:footnoteRef/>
      </w:r>
      <w:r>
        <w:t xml:space="preserve"> </w:t>
      </w:r>
      <w:r w:rsidR="005144D2" w:rsidRPr="005144D2">
        <w:rPr>
          <w:rFonts w:hint="eastAsia"/>
        </w:rPr>
        <w:t>據</w:t>
      </w:r>
      <w:r w:rsidR="005144D2">
        <w:rPr>
          <w:rFonts w:hint="eastAsia"/>
        </w:rPr>
        <w:t>金管會提供資料，</w:t>
      </w:r>
      <w:r w:rsidR="005144D2" w:rsidRPr="006D7ACE">
        <w:rPr>
          <w:rFonts w:hint="eastAsia"/>
        </w:rPr>
        <w:t>證券期貨局</w:t>
      </w:r>
      <w:r w:rsidR="005144D2">
        <w:rPr>
          <w:rFonts w:hint="eastAsia"/>
        </w:rPr>
        <w:t>114年度原編列1,324萬9千元辦理外牆修繕工程，復於工程進行過程中，發現有耐震補強之阻尼器鋼座鏽蝕問題，</w:t>
      </w:r>
      <w:r w:rsidR="002516E1">
        <w:rPr>
          <w:rFonts w:hint="eastAsia"/>
        </w:rPr>
        <w:t>該會</w:t>
      </w:r>
      <w:r w:rsidR="005144D2">
        <w:rPr>
          <w:rFonts w:hint="eastAsia"/>
        </w:rPr>
        <w:t>基於維護公共安全之必要性</w:t>
      </w:r>
      <w:r w:rsidR="00536FFB">
        <w:rPr>
          <w:rFonts w:hint="eastAsia"/>
        </w:rPr>
        <w:t>，而</w:t>
      </w:r>
      <w:r w:rsidR="005144D2">
        <w:rPr>
          <w:rFonts w:hint="eastAsia"/>
        </w:rPr>
        <w:t>辦理追加預算115萬1千元，</w:t>
      </w:r>
      <w:r w:rsidR="00536FFB">
        <w:rPr>
          <w:rFonts w:hint="eastAsia"/>
        </w:rPr>
        <w:t>爰</w:t>
      </w:r>
      <w:r w:rsidR="005144D2">
        <w:rPr>
          <w:rFonts w:hint="eastAsia"/>
        </w:rPr>
        <w:t>是項工程114年預算數共計為1,440萬元。</w:t>
      </w:r>
    </w:p>
  </w:footnote>
  <w:footnote w:id="4">
    <w:p w:rsidR="00EF66E9" w:rsidRDefault="00EF66E9" w:rsidP="00EF66E9">
      <w:pPr>
        <w:pStyle w:val="142"/>
        <w:ind w:left="195" w:hangingChars="80" w:hanging="195"/>
        <w:rPr>
          <w:rFonts w:hint="eastAsia"/>
        </w:rPr>
      </w:pPr>
      <w:r>
        <w:rPr>
          <w:rStyle w:val="af7"/>
        </w:rPr>
        <w:footnoteRef/>
      </w:r>
      <w:r>
        <w:t xml:space="preserve"> </w:t>
      </w:r>
      <w:r>
        <w:rPr>
          <w:rFonts w:hint="eastAsia"/>
        </w:rPr>
        <w:t>資料來源</w:t>
      </w:r>
      <w:r w:rsidR="001428A8">
        <w:rPr>
          <w:rFonts w:hint="eastAsia"/>
        </w:rPr>
        <w:t>：</w:t>
      </w:r>
      <w:r w:rsidR="00DF7754">
        <w:rPr>
          <w:rFonts w:hint="eastAsia"/>
        </w:rPr>
        <w:t>參考</w:t>
      </w:r>
      <w:r>
        <w:rPr>
          <w:rFonts w:hint="eastAsia"/>
        </w:rPr>
        <w:t>金管會108年10月22日及114年</w:t>
      </w:r>
      <w:r w:rsidR="00DF7754">
        <w:rPr>
          <w:rFonts w:hint="eastAsia"/>
        </w:rPr>
        <w:t>7</w:t>
      </w:r>
      <w:r>
        <w:rPr>
          <w:rFonts w:hint="eastAsia"/>
        </w:rPr>
        <w:t>月</w:t>
      </w:r>
      <w:r w:rsidR="00DF7754">
        <w:rPr>
          <w:rFonts w:hint="eastAsia"/>
        </w:rPr>
        <w:t>29</w:t>
      </w:r>
      <w:r>
        <w:rPr>
          <w:rFonts w:hint="eastAsia"/>
        </w:rPr>
        <w:t xml:space="preserve">日新聞稿 </w:t>
      </w:r>
      <w:r w:rsidRPr="00D732B7">
        <w:t>https://www.fsc.gov.tw</w:t>
      </w:r>
      <w:r w:rsidR="00DF7754" w:rsidRPr="00D732B7">
        <w:t xml:space="preserve"> </w:t>
      </w:r>
      <w:r w:rsidRPr="00D732B7">
        <w:t>(最後瀏覽日：114</w:t>
      </w:r>
      <w:r>
        <w:rPr>
          <w:rFonts w:hint="eastAsia"/>
        </w:rPr>
        <w:t>年</w:t>
      </w:r>
      <w:r w:rsidR="00DF7754">
        <w:rPr>
          <w:rFonts w:hint="eastAsia"/>
        </w:rPr>
        <w:t>12</w:t>
      </w:r>
      <w:r>
        <w:rPr>
          <w:rFonts w:hint="eastAsia"/>
        </w:rPr>
        <w:t>月</w:t>
      </w:r>
      <w:r w:rsidR="00DF7754">
        <w:rPr>
          <w:rFonts w:hint="eastAsia"/>
        </w:rPr>
        <w:t>22</w:t>
      </w:r>
      <w:r>
        <w:rPr>
          <w:rFonts w:hint="eastAsia"/>
        </w:rPr>
        <w:t>日)。</w:t>
      </w:r>
    </w:p>
  </w:footnote>
  <w:footnote w:id="5">
    <w:p w:rsidR="004D0F3C" w:rsidRDefault="004D0F3C" w:rsidP="004D0F3C">
      <w:pPr>
        <w:pStyle w:val="142"/>
        <w:ind w:left="195" w:hangingChars="80" w:hanging="195"/>
        <w:rPr>
          <w:rFonts w:hint="eastAsia"/>
        </w:rPr>
      </w:pPr>
      <w:r>
        <w:rPr>
          <w:rStyle w:val="af7"/>
        </w:rPr>
        <w:footnoteRef/>
      </w:r>
      <w:r>
        <w:t xml:space="preserve"> </w:t>
      </w:r>
      <w:r>
        <w:rPr>
          <w:rFonts w:hint="eastAsia"/>
        </w:rPr>
        <w:t>資料來源</w:t>
      </w:r>
      <w:r w:rsidR="001428A8">
        <w:rPr>
          <w:rFonts w:hint="eastAsia"/>
        </w:rPr>
        <w:t>：</w:t>
      </w:r>
      <w:r w:rsidR="00DF7754">
        <w:rPr>
          <w:rFonts w:hint="eastAsia"/>
        </w:rPr>
        <w:t>參考</w:t>
      </w:r>
      <w:r>
        <w:rPr>
          <w:rFonts w:hint="eastAsia"/>
        </w:rPr>
        <w:t xml:space="preserve">金管會114年8月7日新聞稿 </w:t>
      </w:r>
      <w:r w:rsidRPr="00D732B7">
        <w:t>https://www.fsc.gov.tw</w:t>
      </w:r>
      <w:r w:rsidR="00DF7754" w:rsidRPr="00D732B7">
        <w:t xml:space="preserve"> </w:t>
      </w:r>
      <w:r w:rsidRPr="00D732B7">
        <w:t>(最後瀏覽日：114</w:t>
      </w:r>
      <w:r>
        <w:rPr>
          <w:rFonts w:hint="eastAsia"/>
        </w:rPr>
        <w:t>年</w:t>
      </w:r>
      <w:r w:rsidR="00A56457">
        <w:rPr>
          <w:rFonts w:hint="eastAsia"/>
        </w:rPr>
        <w:t>12</w:t>
      </w:r>
      <w:r>
        <w:rPr>
          <w:rFonts w:hint="eastAsia"/>
        </w:rPr>
        <w:t>月</w:t>
      </w:r>
      <w:r w:rsidR="00A56457">
        <w:rPr>
          <w:rFonts w:hint="eastAsia"/>
        </w:rPr>
        <w:t>22</w:t>
      </w:r>
      <w:r>
        <w:rPr>
          <w:rFonts w:hint="eastAsia"/>
        </w:rPr>
        <w:t>日)。</w:t>
      </w:r>
    </w:p>
  </w:footnote>
  <w:footnote w:id="6">
    <w:p w:rsidR="004D0F3C" w:rsidRDefault="004D0F3C" w:rsidP="004D0F3C">
      <w:pPr>
        <w:pStyle w:val="142"/>
        <w:ind w:left="195" w:hangingChars="80" w:hanging="195"/>
        <w:rPr>
          <w:rFonts w:hint="eastAsia"/>
        </w:rPr>
      </w:pPr>
      <w:r>
        <w:rPr>
          <w:rStyle w:val="af7"/>
        </w:rPr>
        <w:footnoteRef/>
      </w:r>
      <w:r>
        <w:t xml:space="preserve"> </w:t>
      </w:r>
      <w:r>
        <w:rPr>
          <w:rFonts w:hint="eastAsia"/>
        </w:rPr>
        <w:t>資料來源：參考金管會依</w:t>
      </w:r>
      <w:r w:rsidRPr="0041052C">
        <w:rPr>
          <w:rFonts w:hint="eastAsia"/>
        </w:rPr>
        <w:t>本院</w:t>
      </w:r>
      <w:r>
        <w:rPr>
          <w:rFonts w:hint="eastAsia"/>
        </w:rPr>
        <w:t>財委會112年4月6日會議臨時提案於112年5月22日所提有關</w:t>
      </w:r>
      <w:r w:rsidRPr="0041052C">
        <w:rPr>
          <w:rFonts w:hint="eastAsia"/>
        </w:rPr>
        <w:t>「</w:t>
      </w:r>
      <w:r w:rsidRPr="00B56A87">
        <w:rPr>
          <w:rFonts w:hint="eastAsia"/>
        </w:rPr>
        <w:t>產險業之各類產險商品損失率與費率調整情形</w:t>
      </w:r>
      <w:r w:rsidRPr="0041052C">
        <w:t>」</w:t>
      </w:r>
      <w:r>
        <w:rPr>
          <w:rFonts w:hint="eastAsia"/>
        </w:rPr>
        <w:t>之</w:t>
      </w:r>
      <w:r w:rsidRPr="0041052C">
        <w:rPr>
          <w:rFonts w:hint="eastAsia"/>
        </w:rPr>
        <w:t>書面</w:t>
      </w:r>
      <w:r>
        <w:rPr>
          <w:rFonts w:hint="eastAsia"/>
        </w:rPr>
        <w:t>報告</w:t>
      </w:r>
      <w:r w:rsidRPr="0041052C">
        <w:rPr>
          <w:rFonts w:hint="eastAsia"/>
        </w:rPr>
        <w:t>。</w:t>
      </w:r>
    </w:p>
  </w:footnote>
  <w:footnote w:id="7">
    <w:p w:rsidR="00A74D19" w:rsidRPr="00A74D19" w:rsidRDefault="00A74D19" w:rsidP="003E0B6F">
      <w:pPr>
        <w:pStyle w:val="142"/>
        <w:ind w:left="170" w:hangingChars="70" w:hanging="170"/>
        <w:jc w:val="both"/>
        <w:rPr>
          <w:rFonts w:hint="eastAsia"/>
        </w:rPr>
      </w:pPr>
      <w:r>
        <w:rPr>
          <w:rStyle w:val="af7"/>
        </w:rPr>
        <w:footnoteRef/>
      </w:r>
      <w:r>
        <w:t xml:space="preserve"> </w:t>
      </w:r>
      <w:r w:rsidR="00314900" w:rsidRPr="00314900">
        <w:rPr>
          <w:rFonts w:hint="eastAsia"/>
        </w:rPr>
        <w:t>此處所述辦法非現行規範，該辦法</w:t>
      </w:r>
      <w:r w:rsidR="00314900">
        <w:rPr>
          <w:rFonts w:hint="eastAsia"/>
        </w:rPr>
        <w:t>於90年11月30訂定發布後，迄114年7月2日，共經過12次修正，其中係於96年</w:t>
      </w:r>
      <w:r w:rsidR="007C6B67">
        <w:rPr>
          <w:rFonts w:hint="eastAsia"/>
        </w:rPr>
        <w:t>11</w:t>
      </w:r>
      <w:r w:rsidR="00314900">
        <w:rPr>
          <w:rFonts w:hint="eastAsia"/>
        </w:rPr>
        <w:t>月</w:t>
      </w:r>
      <w:r w:rsidR="007C6B67">
        <w:rPr>
          <w:rFonts w:hint="eastAsia"/>
        </w:rPr>
        <w:t>26</w:t>
      </w:r>
      <w:r w:rsidR="00314900">
        <w:rPr>
          <w:rFonts w:hint="eastAsia"/>
        </w:rPr>
        <w:t>日修正更名為</w:t>
      </w:r>
      <w:r w:rsidR="00E0167A">
        <w:rPr>
          <w:rFonts w:hint="eastAsia"/>
        </w:rPr>
        <w:t>住宅地震保險分散機制實施</w:t>
      </w:r>
      <w:r w:rsidR="00314900" w:rsidRPr="00314900">
        <w:rPr>
          <w:rFonts w:hint="eastAsia"/>
        </w:rPr>
        <w:t>辦法。</w:t>
      </w:r>
    </w:p>
  </w:footnote>
  <w:footnote w:id="8">
    <w:p w:rsidR="00EF66E9" w:rsidRDefault="00EF66E9" w:rsidP="003E0B6F">
      <w:pPr>
        <w:pStyle w:val="142"/>
        <w:ind w:left="170" w:hangingChars="70" w:hanging="170"/>
        <w:rPr>
          <w:rFonts w:hint="eastAsia"/>
        </w:rPr>
      </w:pPr>
      <w:r>
        <w:rPr>
          <w:rStyle w:val="af7"/>
        </w:rPr>
        <w:footnoteRef/>
      </w:r>
      <w:r>
        <w:t xml:space="preserve"> </w:t>
      </w:r>
      <w:r w:rsidR="0071195E">
        <w:rPr>
          <w:rFonts w:hint="eastAsia"/>
        </w:rPr>
        <w:t>據</w:t>
      </w:r>
      <w:r w:rsidR="00C45993">
        <w:rPr>
          <w:rFonts w:hint="eastAsia"/>
        </w:rPr>
        <w:t>主計總處</w:t>
      </w:r>
      <w:r w:rsidR="0071195E">
        <w:rPr>
          <w:rFonts w:hint="eastAsia"/>
        </w:rPr>
        <w:t>統計資料顯示</w:t>
      </w:r>
      <w:r w:rsidR="00C45993">
        <w:rPr>
          <w:rFonts w:hint="eastAsia"/>
        </w:rPr>
        <w:t>，</w:t>
      </w:r>
      <w:r w:rsidR="0071195E">
        <w:rPr>
          <w:rFonts w:hint="eastAsia"/>
        </w:rPr>
        <w:t>若</w:t>
      </w:r>
      <w:r w:rsidR="000A7E34">
        <w:rPr>
          <w:rFonts w:hint="eastAsia"/>
        </w:rPr>
        <w:t>以110年</w:t>
      </w:r>
      <w:r w:rsidR="00C45993">
        <w:rPr>
          <w:rFonts w:hint="eastAsia"/>
        </w:rPr>
        <w:t>為基期，109至11</w:t>
      </w:r>
      <w:r w:rsidR="000A7E34">
        <w:rPr>
          <w:rFonts w:hint="eastAsia"/>
        </w:rPr>
        <w:t>3</w:t>
      </w:r>
      <w:r w:rsidR="00C45993">
        <w:rPr>
          <w:rFonts w:hint="eastAsia"/>
        </w:rPr>
        <w:t>年</w:t>
      </w:r>
      <w:r w:rsidR="000A7E34">
        <w:rPr>
          <w:rFonts w:hint="eastAsia"/>
        </w:rPr>
        <w:t>消費者物價指數(CPI)及營造工程物價指數(包含營造工程總指數、建築工程總指數及土木工程總指數)等皆呈逐年成長趨勢</w:t>
      </w:r>
      <w:r w:rsidR="008328B1">
        <w:rPr>
          <w:rFonts w:hint="eastAsia"/>
        </w:rPr>
        <w:t>【</w:t>
      </w:r>
      <w:r w:rsidR="00C45993">
        <w:rPr>
          <w:rFonts w:hint="eastAsia"/>
        </w:rPr>
        <w:t>資料來源：主計總處網站</w:t>
      </w:r>
      <w:r w:rsidR="00C45993" w:rsidRPr="008328B1">
        <w:t>https://www.dgbas.gov.tw</w:t>
      </w:r>
      <w:r w:rsidR="00C45993">
        <w:rPr>
          <w:rFonts w:hint="eastAsia"/>
        </w:rPr>
        <w:t xml:space="preserve"> (最後</w:t>
      </w:r>
      <w:r w:rsidR="008328B1">
        <w:rPr>
          <w:rFonts w:hint="eastAsia"/>
        </w:rPr>
        <w:t>瀏覽日：114年12月24日)】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rsidP="006A4F67">
    <w:pPr>
      <w:pStyle w:val="af0"/>
      <w:framePr w:w="1440" w:hSpace="1276" w:wrap="around" w:vAnchor="text" w:hAnchor="margin" w:xAlign="right" w:y="1"/>
      <w:ind w:left="560" w:firstLine="400"/>
      <w:textDirection w:val="btLr"/>
      <w:rPr>
        <w:rStyle w:val="af4"/>
      </w:rPr>
    </w:pPr>
    <w:r>
      <w:rPr>
        <w:rStyle w:val="af4"/>
      </w:rPr>
      <w:fldChar w:fldCharType="begin"/>
    </w:r>
    <w:r>
      <w:rPr>
        <w:rStyle w:val="af4"/>
      </w:rPr>
      <w:instrText xml:space="preserve">PAGE  </w:instrText>
    </w:r>
    <w:r w:rsidR="00AD2C8B">
      <w:rPr>
        <w:rStyle w:val="af4"/>
      </w:rPr>
      <w:fldChar w:fldCharType="separate"/>
    </w:r>
    <w:r w:rsidR="00AD2C8B">
      <w:rPr>
        <w:rStyle w:val="af4"/>
        <w:noProof/>
      </w:rPr>
      <w:t>1</w:t>
    </w:r>
    <w:r>
      <w:rPr>
        <w:rStyle w:val="af4"/>
      </w:rPr>
      <w:fldChar w:fldCharType="end"/>
    </w:r>
  </w:p>
  <w:p w:rsidR="000033D9" w:rsidRDefault="000033D9" w:rsidP="006A4F67">
    <w:pPr>
      <w:pStyle w:val="af0"/>
      <w:framePr w:wrap="around" w:vAnchor="text" w:hAnchor="margin" w:xAlign="right" w:y="1"/>
      <w:ind w:left="560" w:right="360" w:firstLine="400"/>
      <w:rPr>
        <w:rStyle w:val="af4"/>
      </w:rPr>
    </w:pPr>
    <w:r>
      <w:rPr>
        <w:rStyle w:val="af4"/>
      </w:rPr>
      <w:fldChar w:fldCharType="begin"/>
    </w:r>
    <w:r>
      <w:rPr>
        <w:rStyle w:val="af4"/>
      </w:rPr>
      <w:instrText xml:space="preserve">PAGE  </w:instrText>
    </w:r>
    <w:r w:rsidR="00AD2C8B">
      <w:rPr>
        <w:rStyle w:val="af4"/>
      </w:rPr>
      <w:fldChar w:fldCharType="separate"/>
    </w:r>
    <w:r w:rsidR="00AD2C8B">
      <w:rPr>
        <w:rStyle w:val="af4"/>
        <w:noProof/>
      </w:rPr>
      <w:t>1</w:t>
    </w:r>
    <w:r>
      <w:rPr>
        <w:rStyle w:val="af4"/>
      </w:rPr>
      <w:fldChar w:fldCharType="end"/>
    </w:r>
  </w:p>
  <w:p w:rsidR="000033D9" w:rsidRDefault="000033D9" w:rsidP="006A4F67">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Pr="00657357" w:rsidRDefault="000033D9" w:rsidP="00E01388">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F392309"/>
    <w:multiLevelType w:val="hybridMultilevel"/>
    <w:tmpl w:val="593853D0"/>
    <w:lvl w:ilvl="0" w:tplc="74681A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5"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6"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7"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9"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3FD34DBD"/>
    <w:multiLevelType w:val="hybridMultilevel"/>
    <w:tmpl w:val="A3382CFE"/>
    <w:lvl w:ilvl="0" w:tplc="3808D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3" w15:restartNumberingAfterBreak="0">
    <w:nsid w:val="482743A1"/>
    <w:multiLevelType w:val="hybridMultilevel"/>
    <w:tmpl w:val="D3EA4ECE"/>
    <w:lvl w:ilvl="0" w:tplc="AE8A8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BD611BB"/>
    <w:multiLevelType w:val="hybridMultilevel"/>
    <w:tmpl w:val="A210F178"/>
    <w:lvl w:ilvl="0" w:tplc="6DE0ACD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7C506BA0"/>
    <w:multiLevelType w:val="hybridMultilevel"/>
    <w:tmpl w:val="C1AC6C10"/>
    <w:lvl w:ilvl="0" w:tplc="49E2D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9"/>
  </w:num>
  <w:num w:numId="3">
    <w:abstractNumId w:val="16"/>
  </w:num>
  <w:num w:numId="4">
    <w:abstractNumId w:val="14"/>
  </w:num>
  <w:num w:numId="5">
    <w:abstractNumId w:val="1"/>
  </w:num>
  <w:num w:numId="6">
    <w:abstractNumId w:val="7"/>
  </w:num>
  <w:num w:numId="7">
    <w:abstractNumId w:val="4"/>
  </w:num>
  <w:num w:numId="8">
    <w:abstractNumId w:val="8"/>
  </w:num>
  <w:num w:numId="9">
    <w:abstractNumId w:val="17"/>
  </w:num>
  <w:num w:numId="10">
    <w:abstractNumId w:val="11"/>
  </w:num>
  <w:num w:numId="11">
    <w:abstractNumId w:val="15"/>
  </w:num>
  <w:num w:numId="12">
    <w:abstractNumId w:val="0"/>
  </w:num>
  <w:num w:numId="13">
    <w:abstractNumId w:val="6"/>
  </w:num>
  <w:num w:numId="14">
    <w:abstractNumId w:val="3"/>
  </w:num>
  <w:num w:numId="15">
    <w:abstractNumId w:val="5"/>
  </w:num>
  <w:num w:numId="16">
    <w:abstractNumId w:val="18"/>
  </w:num>
  <w:num w:numId="17">
    <w:abstractNumId w:val="2"/>
  </w:num>
  <w:num w:numId="18">
    <w:abstractNumId w:val="10"/>
  </w:num>
  <w:num w:numId="19">
    <w:abstractNumId w:val="13"/>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92BAD"/>
    <w:rsid w:val="00000FFD"/>
    <w:rsid w:val="000014B2"/>
    <w:rsid w:val="00001938"/>
    <w:rsid w:val="00001C3A"/>
    <w:rsid w:val="00001C48"/>
    <w:rsid w:val="00001CBD"/>
    <w:rsid w:val="00002485"/>
    <w:rsid w:val="0000258F"/>
    <w:rsid w:val="00002FED"/>
    <w:rsid w:val="000033D9"/>
    <w:rsid w:val="000035BD"/>
    <w:rsid w:val="00004150"/>
    <w:rsid w:val="00004721"/>
    <w:rsid w:val="000053FA"/>
    <w:rsid w:val="0000696B"/>
    <w:rsid w:val="00006CF7"/>
    <w:rsid w:val="0001024F"/>
    <w:rsid w:val="00010A51"/>
    <w:rsid w:val="00012171"/>
    <w:rsid w:val="00014D33"/>
    <w:rsid w:val="00014FDF"/>
    <w:rsid w:val="0001614F"/>
    <w:rsid w:val="00016BAE"/>
    <w:rsid w:val="00017CBE"/>
    <w:rsid w:val="00017F0D"/>
    <w:rsid w:val="00017FF1"/>
    <w:rsid w:val="00020AB6"/>
    <w:rsid w:val="00021251"/>
    <w:rsid w:val="00021455"/>
    <w:rsid w:val="00021875"/>
    <w:rsid w:val="00021FAC"/>
    <w:rsid w:val="00023655"/>
    <w:rsid w:val="00023C58"/>
    <w:rsid w:val="00024461"/>
    <w:rsid w:val="0002459F"/>
    <w:rsid w:val="00024ECE"/>
    <w:rsid w:val="000270F7"/>
    <w:rsid w:val="00027B69"/>
    <w:rsid w:val="000302B2"/>
    <w:rsid w:val="00030D24"/>
    <w:rsid w:val="00032311"/>
    <w:rsid w:val="00032998"/>
    <w:rsid w:val="000350C2"/>
    <w:rsid w:val="000355FF"/>
    <w:rsid w:val="00035850"/>
    <w:rsid w:val="00035F0D"/>
    <w:rsid w:val="00036273"/>
    <w:rsid w:val="0003644B"/>
    <w:rsid w:val="00037545"/>
    <w:rsid w:val="00037F26"/>
    <w:rsid w:val="000409E2"/>
    <w:rsid w:val="00040A99"/>
    <w:rsid w:val="000417ED"/>
    <w:rsid w:val="00042821"/>
    <w:rsid w:val="00042BE5"/>
    <w:rsid w:val="00042D78"/>
    <w:rsid w:val="00042E11"/>
    <w:rsid w:val="00043790"/>
    <w:rsid w:val="00044122"/>
    <w:rsid w:val="00044860"/>
    <w:rsid w:val="0004495A"/>
    <w:rsid w:val="00044DFA"/>
    <w:rsid w:val="00044FC1"/>
    <w:rsid w:val="000454B6"/>
    <w:rsid w:val="00046632"/>
    <w:rsid w:val="00046844"/>
    <w:rsid w:val="0005056C"/>
    <w:rsid w:val="00050622"/>
    <w:rsid w:val="00050BC2"/>
    <w:rsid w:val="00050C6F"/>
    <w:rsid w:val="0005126E"/>
    <w:rsid w:val="000512AF"/>
    <w:rsid w:val="00052E7E"/>
    <w:rsid w:val="00053055"/>
    <w:rsid w:val="00053473"/>
    <w:rsid w:val="00053585"/>
    <w:rsid w:val="00054472"/>
    <w:rsid w:val="00054A67"/>
    <w:rsid w:val="000557D2"/>
    <w:rsid w:val="00055F87"/>
    <w:rsid w:val="00056731"/>
    <w:rsid w:val="00060CE1"/>
    <w:rsid w:val="00062B35"/>
    <w:rsid w:val="00062BF2"/>
    <w:rsid w:val="00062DE1"/>
    <w:rsid w:val="00062FBE"/>
    <w:rsid w:val="00063543"/>
    <w:rsid w:val="00063628"/>
    <w:rsid w:val="000641E7"/>
    <w:rsid w:val="000653DD"/>
    <w:rsid w:val="0006679E"/>
    <w:rsid w:val="0006690B"/>
    <w:rsid w:val="0006729B"/>
    <w:rsid w:val="00067314"/>
    <w:rsid w:val="00067491"/>
    <w:rsid w:val="00067964"/>
    <w:rsid w:val="0007024E"/>
    <w:rsid w:val="0007048C"/>
    <w:rsid w:val="00071105"/>
    <w:rsid w:val="0007117E"/>
    <w:rsid w:val="00071C71"/>
    <w:rsid w:val="000721D4"/>
    <w:rsid w:val="000728B8"/>
    <w:rsid w:val="00072E12"/>
    <w:rsid w:val="00073116"/>
    <w:rsid w:val="0007385D"/>
    <w:rsid w:val="00073C0B"/>
    <w:rsid w:val="000751B1"/>
    <w:rsid w:val="00075B1F"/>
    <w:rsid w:val="00075D99"/>
    <w:rsid w:val="000774B3"/>
    <w:rsid w:val="000775BE"/>
    <w:rsid w:val="00077C3E"/>
    <w:rsid w:val="00080B78"/>
    <w:rsid w:val="00080F57"/>
    <w:rsid w:val="00081A19"/>
    <w:rsid w:val="000824DA"/>
    <w:rsid w:val="00082A63"/>
    <w:rsid w:val="00082F74"/>
    <w:rsid w:val="00083B7D"/>
    <w:rsid w:val="00086006"/>
    <w:rsid w:val="000866C9"/>
    <w:rsid w:val="00086831"/>
    <w:rsid w:val="000868E3"/>
    <w:rsid w:val="00086B5B"/>
    <w:rsid w:val="00086D04"/>
    <w:rsid w:val="00086D89"/>
    <w:rsid w:val="00086FC5"/>
    <w:rsid w:val="00087A9C"/>
    <w:rsid w:val="000900F5"/>
    <w:rsid w:val="00090869"/>
    <w:rsid w:val="00090F07"/>
    <w:rsid w:val="00090FD5"/>
    <w:rsid w:val="00092110"/>
    <w:rsid w:val="0009324C"/>
    <w:rsid w:val="00093B0D"/>
    <w:rsid w:val="000945AF"/>
    <w:rsid w:val="00094DA2"/>
    <w:rsid w:val="000952E9"/>
    <w:rsid w:val="000956C0"/>
    <w:rsid w:val="0009596E"/>
    <w:rsid w:val="00095D7D"/>
    <w:rsid w:val="00095E6D"/>
    <w:rsid w:val="00096961"/>
    <w:rsid w:val="00096C3C"/>
    <w:rsid w:val="0009701A"/>
    <w:rsid w:val="00097CBC"/>
    <w:rsid w:val="000A0ED2"/>
    <w:rsid w:val="000A3C5D"/>
    <w:rsid w:val="000A4782"/>
    <w:rsid w:val="000A4998"/>
    <w:rsid w:val="000A6606"/>
    <w:rsid w:val="000A67CD"/>
    <w:rsid w:val="000A76B6"/>
    <w:rsid w:val="000A794E"/>
    <w:rsid w:val="000A7B0C"/>
    <w:rsid w:val="000A7BBA"/>
    <w:rsid w:val="000A7E34"/>
    <w:rsid w:val="000B00D8"/>
    <w:rsid w:val="000B02CF"/>
    <w:rsid w:val="000B031E"/>
    <w:rsid w:val="000B0EF7"/>
    <w:rsid w:val="000B36C7"/>
    <w:rsid w:val="000B3BA9"/>
    <w:rsid w:val="000B432C"/>
    <w:rsid w:val="000B5CAA"/>
    <w:rsid w:val="000B7131"/>
    <w:rsid w:val="000B753F"/>
    <w:rsid w:val="000B7AEF"/>
    <w:rsid w:val="000B7CE3"/>
    <w:rsid w:val="000B7E1A"/>
    <w:rsid w:val="000C0DCE"/>
    <w:rsid w:val="000C1265"/>
    <w:rsid w:val="000C17A1"/>
    <w:rsid w:val="000C1B94"/>
    <w:rsid w:val="000C3046"/>
    <w:rsid w:val="000C314F"/>
    <w:rsid w:val="000C3C52"/>
    <w:rsid w:val="000C561B"/>
    <w:rsid w:val="000C57D4"/>
    <w:rsid w:val="000C6320"/>
    <w:rsid w:val="000C66F2"/>
    <w:rsid w:val="000C6CEA"/>
    <w:rsid w:val="000C74C1"/>
    <w:rsid w:val="000C7705"/>
    <w:rsid w:val="000C7CDD"/>
    <w:rsid w:val="000D0499"/>
    <w:rsid w:val="000D080E"/>
    <w:rsid w:val="000D0C63"/>
    <w:rsid w:val="000D0F5E"/>
    <w:rsid w:val="000D17E2"/>
    <w:rsid w:val="000D19EA"/>
    <w:rsid w:val="000D1BC3"/>
    <w:rsid w:val="000D248C"/>
    <w:rsid w:val="000D33C2"/>
    <w:rsid w:val="000D3430"/>
    <w:rsid w:val="000D366D"/>
    <w:rsid w:val="000D5096"/>
    <w:rsid w:val="000D523A"/>
    <w:rsid w:val="000D5B17"/>
    <w:rsid w:val="000D6B98"/>
    <w:rsid w:val="000D6C20"/>
    <w:rsid w:val="000D7E1D"/>
    <w:rsid w:val="000E0B15"/>
    <w:rsid w:val="000E1A02"/>
    <w:rsid w:val="000E1A49"/>
    <w:rsid w:val="000E1A5C"/>
    <w:rsid w:val="000E28AC"/>
    <w:rsid w:val="000E28CF"/>
    <w:rsid w:val="000E2A57"/>
    <w:rsid w:val="000E2D88"/>
    <w:rsid w:val="000E2F6E"/>
    <w:rsid w:val="000E34DC"/>
    <w:rsid w:val="000E357E"/>
    <w:rsid w:val="000E39B7"/>
    <w:rsid w:val="000E4BC5"/>
    <w:rsid w:val="000E66B1"/>
    <w:rsid w:val="000E6AAD"/>
    <w:rsid w:val="000E6D08"/>
    <w:rsid w:val="000E6D66"/>
    <w:rsid w:val="000E74CD"/>
    <w:rsid w:val="000F0015"/>
    <w:rsid w:val="000F04B7"/>
    <w:rsid w:val="000F188A"/>
    <w:rsid w:val="000F1E09"/>
    <w:rsid w:val="000F2843"/>
    <w:rsid w:val="000F2D1F"/>
    <w:rsid w:val="000F2E0D"/>
    <w:rsid w:val="000F3629"/>
    <w:rsid w:val="000F36AD"/>
    <w:rsid w:val="000F4539"/>
    <w:rsid w:val="000F4EEE"/>
    <w:rsid w:val="000F609B"/>
    <w:rsid w:val="000F6743"/>
    <w:rsid w:val="000F6B58"/>
    <w:rsid w:val="000F700F"/>
    <w:rsid w:val="000F7323"/>
    <w:rsid w:val="000F75A9"/>
    <w:rsid w:val="00102BD4"/>
    <w:rsid w:val="00102EDB"/>
    <w:rsid w:val="001031D6"/>
    <w:rsid w:val="00103DAA"/>
    <w:rsid w:val="001048C9"/>
    <w:rsid w:val="00104AEA"/>
    <w:rsid w:val="00104D01"/>
    <w:rsid w:val="001055F6"/>
    <w:rsid w:val="00106022"/>
    <w:rsid w:val="00106109"/>
    <w:rsid w:val="001079F6"/>
    <w:rsid w:val="001102F7"/>
    <w:rsid w:val="0011086B"/>
    <w:rsid w:val="00110AED"/>
    <w:rsid w:val="001117B3"/>
    <w:rsid w:val="0011183D"/>
    <w:rsid w:val="0011248F"/>
    <w:rsid w:val="00112DE9"/>
    <w:rsid w:val="00113130"/>
    <w:rsid w:val="001137B4"/>
    <w:rsid w:val="00113983"/>
    <w:rsid w:val="00115035"/>
    <w:rsid w:val="00116B0F"/>
    <w:rsid w:val="0011703C"/>
    <w:rsid w:val="001179AD"/>
    <w:rsid w:val="001203B0"/>
    <w:rsid w:val="00120650"/>
    <w:rsid w:val="00120AEA"/>
    <w:rsid w:val="001212EC"/>
    <w:rsid w:val="00121D53"/>
    <w:rsid w:val="00121E88"/>
    <w:rsid w:val="0012258C"/>
    <w:rsid w:val="00123128"/>
    <w:rsid w:val="00123CAC"/>
    <w:rsid w:val="001242FA"/>
    <w:rsid w:val="001247E6"/>
    <w:rsid w:val="0012526C"/>
    <w:rsid w:val="001259DB"/>
    <w:rsid w:val="00125F0B"/>
    <w:rsid w:val="00125FB1"/>
    <w:rsid w:val="0012636E"/>
    <w:rsid w:val="001264CD"/>
    <w:rsid w:val="001265D9"/>
    <w:rsid w:val="00131634"/>
    <w:rsid w:val="00132B18"/>
    <w:rsid w:val="00133245"/>
    <w:rsid w:val="00133341"/>
    <w:rsid w:val="00133936"/>
    <w:rsid w:val="00135196"/>
    <w:rsid w:val="00135DBE"/>
    <w:rsid w:val="00136197"/>
    <w:rsid w:val="0013622C"/>
    <w:rsid w:val="00136895"/>
    <w:rsid w:val="00136BEF"/>
    <w:rsid w:val="00137021"/>
    <w:rsid w:val="001379AA"/>
    <w:rsid w:val="00140075"/>
    <w:rsid w:val="0014065E"/>
    <w:rsid w:val="00140B87"/>
    <w:rsid w:val="00140FDB"/>
    <w:rsid w:val="00141F87"/>
    <w:rsid w:val="001423DF"/>
    <w:rsid w:val="00142577"/>
    <w:rsid w:val="0014283A"/>
    <w:rsid w:val="001428A8"/>
    <w:rsid w:val="00142CDD"/>
    <w:rsid w:val="0014464F"/>
    <w:rsid w:val="001448D6"/>
    <w:rsid w:val="00144C40"/>
    <w:rsid w:val="00145477"/>
    <w:rsid w:val="0014569E"/>
    <w:rsid w:val="001505EF"/>
    <w:rsid w:val="00151772"/>
    <w:rsid w:val="001529CD"/>
    <w:rsid w:val="00152DAC"/>
    <w:rsid w:val="00153138"/>
    <w:rsid w:val="0015332D"/>
    <w:rsid w:val="00153840"/>
    <w:rsid w:val="00153BC3"/>
    <w:rsid w:val="001549B3"/>
    <w:rsid w:val="00154B28"/>
    <w:rsid w:val="00155116"/>
    <w:rsid w:val="00156789"/>
    <w:rsid w:val="001571E1"/>
    <w:rsid w:val="0015760D"/>
    <w:rsid w:val="0016189A"/>
    <w:rsid w:val="001618EA"/>
    <w:rsid w:val="00161B25"/>
    <w:rsid w:val="00163125"/>
    <w:rsid w:val="00163EBA"/>
    <w:rsid w:val="00165C8B"/>
    <w:rsid w:val="001666C1"/>
    <w:rsid w:val="00166B22"/>
    <w:rsid w:val="00166C00"/>
    <w:rsid w:val="001670D0"/>
    <w:rsid w:val="0016794D"/>
    <w:rsid w:val="0017062A"/>
    <w:rsid w:val="00170652"/>
    <w:rsid w:val="00170B2B"/>
    <w:rsid w:val="0017193A"/>
    <w:rsid w:val="001723C0"/>
    <w:rsid w:val="00172A03"/>
    <w:rsid w:val="001746CA"/>
    <w:rsid w:val="00174957"/>
    <w:rsid w:val="0017576D"/>
    <w:rsid w:val="00175E00"/>
    <w:rsid w:val="00175F6E"/>
    <w:rsid w:val="001768D8"/>
    <w:rsid w:val="00176C34"/>
    <w:rsid w:val="00177806"/>
    <w:rsid w:val="001778D6"/>
    <w:rsid w:val="001779D5"/>
    <w:rsid w:val="00181004"/>
    <w:rsid w:val="001813C6"/>
    <w:rsid w:val="0018150C"/>
    <w:rsid w:val="00181B07"/>
    <w:rsid w:val="00182109"/>
    <w:rsid w:val="001825AD"/>
    <w:rsid w:val="0018269B"/>
    <w:rsid w:val="0018276C"/>
    <w:rsid w:val="00182A06"/>
    <w:rsid w:val="00182F9A"/>
    <w:rsid w:val="001833D4"/>
    <w:rsid w:val="00183686"/>
    <w:rsid w:val="00183B4C"/>
    <w:rsid w:val="00184252"/>
    <w:rsid w:val="00184860"/>
    <w:rsid w:val="00184A33"/>
    <w:rsid w:val="00187A9C"/>
    <w:rsid w:val="001903A9"/>
    <w:rsid w:val="001907E1"/>
    <w:rsid w:val="00191102"/>
    <w:rsid w:val="001917CF"/>
    <w:rsid w:val="0019265D"/>
    <w:rsid w:val="0019299B"/>
    <w:rsid w:val="00193578"/>
    <w:rsid w:val="00193B61"/>
    <w:rsid w:val="001941E5"/>
    <w:rsid w:val="0019426A"/>
    <w:rsid w:val="001950D9"/>
    <w:rsid w:val="00195E02"/>
    <w:rsid w:val="001967D7"/>
    <w:rsid w:val="001968D3"/>
    <w:rsid w:val="00196C8D"/>
    <w:rsid w:val="001973EC"/>
    <w:rsid w:val="00197E2C"/>
    <w:rsid w:val="001A0F93"/>
    <w:rsid w:val="001A1122"/>
    <w:rsid w:val="001A29E1"/>
    <w:rsid w:val="001A2A34"/>
    <w:rsid w:val="001A2BF8"/>
    <w:rsid w:val="001A2F68"/>
    <w:rsid w:val="001A5A69"/>
    <w:rsid w:val="001A5CED"/>
    <w:rsid w:val="001A643E"/>
    <w:rsid w:val="001A7297"/>
    <w:rsid w:val="001B0C71"/>
    <w:rsid w:val="001B123B"/>
    <w:rsid w:val="001B1448"/>
    <w:rsid w:val="001B2704"/>
    <w:rsid w:val="001B28D4"/>
    <w:rsid w:val="001B2E79"/>
    <w:rsid w:val="001B3332"/>
    <w:rsid w:val="001B3377"/>
    <w:rsid w:val="001B3701"/>
    <w:rsid w:val="001B402A"/>
    <w:rsid w:val="001B4E00"/>
    <w:rsid w:val="001B583A"/>
    <w:rsid w:val="001B604B"/>
    <w:rsid w:val="001B633C"/>
    <w:rsid w:val="001B6356"/>
    <w:rsid w:val="001B6F74"/>
    <w:rsid w:val="001C0A25"/>
    <w:rsid w:val="001C0C1D"/>
    <w:rsid w:val="001C19CA"/>
    <w:rsid w:val="001C1ABB"/>
    <w:rsid w:val="001C2060"/>
    <w:rsid w:val="001C2689"/>
    <w:rsid w:val="001C2EF0"/>
    <w:rsid w:val="001C3402"/>
    <w:rsid w:val="001C684C"/>
    <w:rsid w:val="001C6EBF"/>
    <w:rsid w:val="001C7181"/>
    <w:rsid w:val="001C73DA"/>
    <w:rsid w:val="001C7D32"/>
    <w:rsid w:val="001D09BF"/>
    <w:rsid w:val="001D23CA"/>
    <w:rsid w:val="001D4E1D"/>
    <w:rsid w:val="001D577D"/>
    <w:rsid w:val="001D60FB"/>
    <w:rsid w:val="001D7258"/>
    <w:rsid w:val="001E04E2"/>
    <w:rsid w:val="001E06B2"/>
    <w:rsid w:val="001E0816"/>
    <w:rsid w:val="001E1507"/>
    <w:rsid w:val="001E180D"/>
    <w:rsid w:val="001E1D1C"/>
    <w:rsid w:val="001E3202"/>
    <w:rsid w:val="001E33D9"/>
    <w:rsid w:val="001E3912"/>
    <w:rsid w:val="001E67A9"/>
    <w:rsid w:val="001E6C41"/>
    <w:rsid w:val="001E6EA7"/>
    <w:rsid w:val="001E72FD"/>
    <w:rsid w:val="001F0D3B"/>
    <w:rsid w:val="001F225F"/>
    <w:rsid w:val="001F36F7"/>
    <w:rsid w:val="001F47A3"/>
    <w:rsid w:val="001F4E68"/>
    <w:rsid w:val="001F4F56"/>
    <w:rsid w:val="001F5121"/>
    <w:rsid w:val="001F5D18"/>
    <w:rsid w:val="001F62DE"/>
    <w:rsid w:val="001F7141"/>
    <w:rsid w:val="001F79A4"/>
    <w:rsid w:val="00200683"/>
    <w:rsid w:val="002009AC"/>
    <w:rsid w:val="00200CCA"/>
    <w:rsid w:val="0020110F"/>
    <w:rsid w:val="0020115E"/>
    <w:rsid w:val="00202006"/>
    <w:rsid w:val="00202B5A"/>
    <w:rsid w:val="00203093"/>
    <w:rsid w:val="00203792"/>
    <w:rsid w:val="00204F59"/>
    <w:rsid w:val="002051A5"/>
    <w:rsid w:val="00205D83"/>
    <w:rsid w:val="0020629B"/>
    <w:rsid w:val="00206DDE"/>
    <w:rsid w:val="002072CF"/>
    <w:rsid w:val="00210133"/>
    <w:rsid w:val="00210A49"/>
    <w:rsid w:val="00211988"/>
    <w:rsid w:val="0021429C"/>
    <w:rsid w:val="0021541F"/>
    <w:rsid w:val="002155EC"/>
    <w:rsid w:val="0021572A"/>
    <w:rsid w:val="00215F1A"/>
    <w:rsid w:val="002163C5"/>
    <w:rsid w:val="0021686E"/>
    <w:rsid w:val="00216B8B"/>
    <w:rsid w:val="0021780C"/>
    <w:rsid w:val="00217965"/>
    <w:rsid w:val="00217A7C"/>
    <w:rsid w:val="00220068"/>
    <w:rsid w:val="0022048E"/>
    <w:rsid w:val="00221207"/>
    <w:rsid w:val="00221655"/>
    <w:rsid w:val="0022170C"/>
    <w:rsid w:val="0022177A"/>
    <w:rsid w:val="00222B15"/>
    <w:rsid w:val="002234C0"/>
    <w:rsid w:val="002237BB"/>
    <w:rsid w:val="0022381F"/>
    <w:rsid w:val="00223D47"/>
    <w:rsid w:val="002247CB"/>
    <w:rsid w:val="00225A1E"/>
    <w:rsid w:val="00225ECA"/>
    <w:rsid w:val="0022616D"/>
    <w:rsid w:val="002269AB"/>
    <w:rsid w:val="00226E68"/>
    <w:rsid w:val="00227CB6"/>
    <w:rsid w:val="00227D8C"/>
    <w:rsid w:val="002300AE"/>
    <w:rsid w:val="00231A05"/>
    <w:rsid w:val="00231C3A"/>
    <w:rsid w:val="00232AE9"/>
    <w:rsid w:val="00234061"/>
    <w:rsid w:val="00236259"/>
    <w:rsid w:val="00237CD3"/>
    <w:rsid w:val="002404D8"/>
    <w:rsid w:val="00240761"/>
    <w:rsid w:val="002408F4"/>
    <w:rsid w:val="0024153C"/>
    <w:rsid w:val="002423A3"/>
    <w:rsid w:val="00242875"/>
    <w:rsid w:val="00242F87"/>
    <w:rsid w:val="00243C6C"/>
    <w:rsid w:val="00243D97"/>
    <w:rsid w:val="00244000"/>
    <w:rsid w:val="0024434C"/>
    <w:rsid w:val="00244485"/>
    <w:rsid w:val="00245691"/>
    <w:rsid w:val="00245908"/>
    <w:rsid w:val="002462D9"/>
    <w:rsid w:val="00246350"/>
    <w:rsid w:val="002463A3"/>
    <w:rsid w:val="002466B1"/>
    <w:rsid w:val="00246D08"/>
    <w:rsid w:val="00250508"/>
    <w:rsid w:val="00250C2B"/>
    <w:rsid w:val="002512F3"/>
    <w:rsid w:val="002516E1"/>
    <w:rsid w:val="002528BF"/>
    <w:rsid w:val="0025295D"/>
    <w:rsid w:val="00252B02"/>
    <w:rsid w:val="00252B6D"/>
    <w:rsid w:val="00252E75"/>
    <w:rsid w:val="00253473"/>
    <w:rsid w:val="00253B10"/>
    <w:rsid w:val="00253E84"/>
    <w:rsid w:val="0025403B"/>
    <w:rsid w:val="002544A0"/>
    <w:rsid w:val="002544DB"/>
    <w:rsid w:val="002548C3"/>
    <w:rsid w:val="00255932"/>
    <w:rsid w:val="00255C0A"/>
    <w:rsid w:val="00255C2C"/>
    <w:rsid w:val="00256D63"/>
    <w:rsid w:val="00257690"/>
    <w:rsid w:val="002576A1"/>
    <w:rsid w:val="00257885"/>
    <w:rsid w:val="00257DAB"/>
    <w:rsid w:val="002628DB"/>
    <w:rsid w:val="00263D3D"/>
    <w:rsid w:val="002647CB"/>
    <w:rsid w:val="00264A2D"/>
    <w:rsid w:val="00264EE1"/>
    <w:rsid w:val="00264F09"/>
    <w:rsid w:val="00265C7C"/>
    <w:rsid w:val="0026648A"/>
    <w:rsid w:val="00266A1E"/>
    <w:rsid w:val="00266BE2"/>
    <w:rsid w:val="002679CF"/>
    <w:rsid w:val="00267E38"/>
    <w:rsid w:val="002704A2"/>
    <w:rsid w:val="00270DD8"/>
    <w:rsid w:val="00271024"/>
    <w:rsid w:val="00271180"/>
    <w:rsid w:val="00271494"/>
    <w:rsid w:val="0027247C"/>
    <w:rsid w:val="00272A7D"/>
    <w:rsid w:val="00272CC5"/>
    <w:rsid w:val="002734B0"/>
    <w:rsid w:val="00274442"/>
    <w:rsid w:val="00274746"/>
    <w:rsid w:val="002747D9"/>
    <w:rsid w:val="00274A1B"/>
    <w:rsid w:val="00274CD7"/>
    <w:rsid w:val="00274E60"/>
    <w:rsid w:val="002756FC"/>
    <w:rsid w:val="00275BD0"/>
    <w:rsid w:val="00276B36"/>
    <w:rsid w:val="00276D0B"/>
    <w:rsid w:val="00276DE8"/>
    <w:rsid w:val="002774E5"/>
    <w:rsid w:val="002777D6"/>
    <w:rsid w:val="00277ED0"/>
    <w:rsid w:val="002800D5"/>
    <w:rsid w:val="00280E55"/>
    <w:rsid w:val="002818A8"/>
    <w:rsid w:val="00283261"/>
    <w:rsid w:val="00283952"/>
    <w:rsid w:val="00284260"/>
    <w:rsid w:val="00284CAE"/>
    <w:rsid w:val="00284FD7"/>
    <w:rsid w:val="00285FCF"/>
    <w:rsid w:val="00286BB7"/>
    <w:rsid w:val="00287B62"/>
    <w:rsid w:val="002911E4"/>
    <w:rsid w:val="0029133A"/>
    <w:rsid w:val="0029273C"/>
    <w:rsid w:val="002927ED"/>
    <w:rsid w:val="00292C0B"/>
    <w:rsid w:val="002933B9"/>
    <w:rsid w:val="002937BE"/>
    <w:rsid w:val="00293E0B"/>
    <w:rsid w:val="00295B21"/>
    <w:rsid w:val="00295C61"/>
    <w:rsid w:val="00295CA2"/>
    <w:rsid w:val="00295EE2"/>
    <w:rsid w:val="00296425"/>
    <w:rsid w:val="00296467"/>
    <w:rsid w:val="002965FD"/>
    <w:rsid w:val="002969F3"/>
    <w:rsid w:val="00297BB9"/>
    <w:rsid w:val="00297C9B"/>
    <w:rsid w:val="002A0D4F"/>
    <w:rsid w:val="002A0EE4"/>
    <w:rsid w:val="002A0F09"/>
    <w:rsid w:val="002A1397"/>
    <w:rsid w:val="002A2820"/>
    <w:rsid w:val="002A374C"/>
    <w:rsid w:val="002A508F"/>
    <w:rsid w:val="002A5448"/>
    <w:rsid w:val="002A55B7"/>
    <w:rsid w:val="002A57C2"/>
    <w:rsid w:val="002A7CE0"/>
    <w:rsid w:val="002B1BEF"/>
    <w:rsid w:val="002B3160"/>
    <w:rsid w:val="002B3178"/>
    <w:rsid w:val="002B34E3"/>
    <w:rsid w:val="002B370B"/>
    <w:rsid w:val="002B3B09"/>
    <w:rsid w:val="002B48CE"/>
    <w:rsid w:val="002B5F16"/>
    <w:rsid w:val="002B6507"/>
    <w:rsid w:val="002B6554"/>
    <w:rsid w:val="002B7604"/>
    <w:rsid w:val="002C010B"/>
    <w:rsid w:val="002C0559"/>
    <w:rsid w:val="002C0653"/>
    <w:rsid w:val="002C158C"/>
    <w:rsid w:val="002C1E2D"/>
    <w:rsid w:val="002C257E"/>
    <w:rsid w:val="002C320A"/>
    <w:rsid w:val="002C321F"/>
    <w:rsid w:val="002C351F"/>
    <w:rsid w:val="002C3A37"/>
    <w:rsid w:val="002C428B"/>
    <w:rsid w:val="002C50A1"/>
    <w:rsid w:val="002C597A"/>
    <w:rsid w:val="002C6C60"/>
    <w:rsid w:val="002C6FD0"/>
    <w:rsid w:val="002C7FEC"/>
    <w:rsid w:val="002D132B"/>
    <w:rsid w:val="002D1535"/>
    <w:rsid w:val="002D1AEF"/>
    <w:rsid w:val="002D1C89"/>
    <w:rsid w:val="002D1D0D"/>
    <w:rsid w:val="002D2539"/>
    <w:rsid w:val="002D29CD"/>
    <w:rsid w:val="002D29F3"/>
    <w:rsid w:val="002D38BD"/>
    <w:rsid w:val="002D42ED"/>
    <w:rsid w:val="002D451F"/>
    <w:rsid w:val="002D46CE"/>
    <w:rsid w:val="002D5399"/>
    <w:rsid w:val="002D5EE7"/>
    <w:rsid w:val="002D6A3A"/>
    <w:rsid w:val="002E0104"/>
    <w:rsid w:val="002E09E4"/>
    <w:rsid w:val="002E1164"/>
    <w:rsid w:val="002E14B7"/>
    <w:rsid w:val="002E1D92"/>
    <w:rsid w:val="002E2614"/>
    <w:rsid w:val="002E2931"/>
    <w:rsid w:val="002E2B48"/>
    <w:rsid w:val="002E3212"/>
    <w:rsid w:val="002E3537"/>
    <w:rsid w:val="002E3586"/>
    <w:rsid w:val="002E37DD"/>
    <w:rsid w:val="002E3821"/>
    <w:rsid w:val="002E3E3B"/>
    <w:rsid w:val="002E4AB4"/>
    <w:rsid w:val="002E64CC"/>
    <w:rsid w:val="002E66E7"/>
    <w:rsid w:val="002E7672"/>
    <w:rsid w:val="002E7C48"/>
    <w:rsid w:val="002E7FA8"/>
    <w:rsid w:val="002F12EB"/>
    <w:rsid w:val="002F143E"/>
    <w:rsid w:val="002F16DE"/>
    <w:rsid w:val="002F2522"/>
    <w:rsid w:val="002F38C8"/>
    <w:rsid w:val="002F4154"/>
    <w:rsid w:val="002F476A"/>
    <w:rsid w:val="002F4BC3"/>
    <w:rsid w:val="002F4C28"/>
    <w:rsid w:val="002F5CC4"/>
    <w:rsid w:val="002F63D3"/>
    <w:rsid w:val="002F6B44"/>
    <w:rsid w:val="002F70A9"/>
    <w:rsid w:val="002F7E5E"/>
    <w:rsid w:val="002F7FFE"/>
    <w:rsid w:val="003002D1"/>
    <w:rsid w:val="00300395"/>
    <w:rsid w:val="00300635"/>
    <w:rsid w:val="003007F9"/>
    <w:rsid w:val="003019DC"/>
    <w:rsid w:val="00302CE8"/>
    <w:rsid w:val="00303044"/>
    <w:rsid w:val="003030CB"/>
    <w:rsid w:val="003038FA"/>
    <w:rsid w:val="0030395F"/>
    <w:rsid w:val="003041C4"/>
    <w:rsid w:val="003044C3"/>
    <w:rsid w:val="003047E8"/>
    <w:rsid w:val="003055FF"/>
    <w:rsid w:val="003056A2"/>
    <w:rsid w:val="0030592D"/>
    <w:rsid w:val="00305A41"/>
    <w:rsid w:val="00306230"/>
    <w:rsid w:val="00306DB9"/>
    <w:rsid w:val="0030705C"/>
    <w:rsid w:val="00310243"/>
    <w:rsid w:val="003111EA"/>
    <w:rsid w:val="003113F0"/>
    <w:rsid w:val="00311DE2"/>
    <w:rsid w:val="00312993"/>
    <w:rsid w:val="00312A13"/>
    <w:rsid w:val="0031302A"/>
    <w:rsid w:val="003131AB"/>
    <w:rsid w:val="00314379"/>
    <w:rsid w:val="00314900"/>
    <w:rsid w:val="00314939"/>
    <w:rsid w:val="00314BDF"/>
    <w:rsid w:val="00316138"/>
    <w:rsid w:val="0031620F"/>
    <w:rsid w:val="00316C7A"/>
    <w:rsid w:val="003177BD"/>
    <w:rsid w:val="00317892"/>
    <w:rsid w:val="003200B8"/>
    <w:rsid w:val="003216AC"/>
    <w:rsid w:val="00321892"/>
    <w:rsid w:val="00321C5B"/>
    <w:rsid w:val="003226BE"/>
    <w:rsid w:val="00322A0D"/>
    <w:rsid w:val="00322F53"/>
    <w:rsid w:val="0032332B"/>
    <w:rsid w:val="00323898"/>
    <w:rsid w:val="00323D03"/>
    <w:rsid w:val="00324304"/>
    <w:rsid w:val="003243F2"/>
    <w:rsid w:val="00324BCC"/>
    <w:rsid w:val="00324F71"/>
    <w:rsid w:val="00325008"/>
    <w:rsid w:val="00326442"/>
    <w:rsid w:val="00326F5C"/>
    <w:rsid w:val="003272AC"/>
    <w:rsid w:val="0032744F"/>
    <w:rsid w:val="00327744"/>
    <w:rsid w:val="00327B6C"/>
    <w:rsid w:val="00330270"/>
    <w:rsid w:val="00330FAB"/>
    <w:rsid w:val="0033150A"/>
    <w:rsid w:val="00331881"/>
    <w:rsid w:val="0033318B"/>
    <w:rsid w:val="00334381"/>
    <w:rsid w:val="00334497"/>
    <w:rsid w:val="00334B55"/>
    <w:rsid w:val="00334F28"/>
    <w:rsid w:val="00335CDD"/>
    <w:rsid w:val="003373F8"/>
    <w:rsid w:val="003378F0"/>
    <w:rsid w:val="00337BBA"/>
    <w:rsid w:val="003407ED"/>
    <w:rsid w:val="00340C19"/>
    <w:rsid w:val="00340D74"/>
    <w:rsid w:val="0034175C"/>
    <w:rsid w:val="00341B2B"/>
    <w:rsid w:val="00341D68"/>
    <w:rsid w:val="00343D86"/>
    <w:rsid w:val="00343DCD"/>
    <w:rsid w:val="00344131"/>
    <w:rsid w:val="00344A95"/>
    <w:rsid w:val="00345F42"/>
    <w:rsid w:val="00345F87"/>
    <w:rsid w:val="00346866"/>
    <w:rsid w:val="00346CAA"/>
    <w:rsid w:val="00346D13"/>
    <w:rsid w:val="0035096D"/>
    <w:rsid w:val="003512C8"/>
    <w:rsid w:val="00351B6D"/>
    <w:rsid w:val="00351E20"/>
    <w:rsid w:val="003521B5"/>
    <w:rsid w:val="00353EFE"/>
    <w:rsid w:val="00354127"/>
    <w:rsid w:val="0035497F"/>
    <w:rsid w:val="00355B14"/>
    <w:rsid w:val="003562DA"/>
    <w:rsid w:val="00356360"/>
    <w:rsid w:val="00360644"/>
    <w:rsid w:val="003613C6"/>
    <w:rsid w:val="0036156C"/>
    <w:rsid w:val="00362050"/>
    <w:rsid w:val="003625DA"/>
    <w:rsid w:val="00362CD0"/>
    <w:rsid w:val="0036352F"/>
    <w:rsid w:val="00363624"/>
    <w:rsid w:val="00363B1B"/>
    <w:rsid w:val="0036431A"/>
    <w:rsid w:val="003648B8"/>
    <w:rsid w:val="00364CEF"/>
    <w:rsid w:val="00364D31"/>
    <w:rsid w:val="00364E31"/>
    <w:rsid w:val="00365391"/>
    <w:rsid w:val="00365D23"/>
    <w:rsid w:val="003704A1"/>
    <w:rsid w:val="00371504"/>
    <w:rsid w:val="003716CB"/>
    <w:rsid w:val="00371AE7"/>
    <w:rsid w:val="003728AA"/>
    <w:rsid w:val="00372AF0"/>
    <w:rsid w:val="00372B6F"/>
    <w:rsid w:val="00372C66"/>
    <w:rsid w:val="00373067"/>
    <w:rsid w:val="00374D39"/>
    <w:rsid w:val="003750CE"/>
    <w:rsid w:val="003752B9"/>
    <w:rsid w:val="0037566C"/>
    <w:rsid w:val="00375F36"/>
    <w:rsid w:val="0037613E"/>
    <w:rsid w:val="003764B8"/>
    <w:rsid w:val="003764BD"/>
    <w:rsid w:val="003765F8"/>
    <w:rsid w:val="003774F9"/>
    <w:rsid w:val="00377A53"/>
    <w:rsid w:val="00380A0C"/>
    <w:rsid w:val="00380E4C"/>
    <w:rsid w:val="00381C03"/>
    <w:rsid w:val="00381F4D"/>
    <w:rsid w:val="00383CC0"/>
    <w:rsid w:val="00384975"/>
    <w:rsid w:val="00384D65"/>
    <w:rsid w:val="0038539A"/>
    <w:rsid w:val="00385905"/>
    <w:rsid w:val="00385D33"/>
    <w:rsid w:val="003865B7"/>
    <w:rsid w:val="003867B8"/>
    <w:rsid w:val="00387C00"/>
    <w:rsid w:val="00387F49"/>
    <w:rsid w:val="00390582"/>
    <w:rsid w:val="003909AA"/>
    <w:rsid w:val="00390A16"/>
    <w:rsid w:val="00391148"/>
    <w:rsid w:val="0039134D"/>
    <w:rsid w:val="00392DD1"/>
    <w:rsid w:val="00392EAF"/>
    <w:rsid w:val="00392F27"/>
    <w:rsid w:val="0039386D"/>
    <w:rsid w:val="00393D78"/>
    <w:rsid w:val="003942C5"/>
    <w:rsid w:val="0039452F"/>
    <w:rsid w:val="00395708"/>
    <w:rsid w:val="00395F4D"/>
    <w:rsid w:val="00396946"/>
    <w:rsid w:val="00396AFF"/>
    <w:rsid w:val="00397B6E"/>
    <w:rsid w:val="003A0AB1"/>
    <w:rsid w:val="003A1262"/>
    <w:rsid w:val="003A1968"/>
    <w:rsid w:val="003A29D6"/>
    <w:rsid w:val="003A2F60"/>
    <w:rsid w:val="003A4077"/>
    <w:rsid w:val="003A4BFF"/>
    <w:rsid w:val="003A594C"/>
    <w:rsid w:val="003A5EC7"/>
    <w:rsid w:val="003A5FA2"/>
    <w:rsid w:val="003A7085"/>
    <w:rsid w:val="003B034B"/>
    <w:rsid w:val="003B056A"/>
    <w:rsid w:val="003B0609"/>
    <w:rsid w:val="003B0976"/>
    <w:rsid w:val="003B302B"/>
    <w:rsid w:val="003B3163"/>
    <w:rsid w:val="003B3C21"/>
    <w:rsid w:val="003B42F6"/>
    <w:rsid w:val="003B4F6C"/>
    <w:rsid w:val="003B666F"/>
    <w:rsid w:val="003B6717"/>
    <w:rsid w:val="003B6864"/>
    <w:rsid w:val="003B6D51"/>
    <w:rsid w:val="003B6FA8"/>
    <w:rsid w:val="003B7301"/>
    <w:rsid w:val="003B75BA"/>
    <w:rsid w:val="003B7F2F"/>
    <w:rsid w:val="003C00E3"/>
    <w:rsid w:val="003C16E1"/>
    <w:rsid w:val="003C224F"/>
    <w:rsid w:val="003C3295"/>
    <w:rsid w:val="003C360A"/>
    <w:rsid w:val="003C4603"/>
    <w:rsid w:val="003C5ACF"/>
    <w:rsid w:val="003C6189"/>
    <w:rsid w:val="003D09ED"/>
    <w:rsid w:val="003D0EF5"/>
    <w:rsid w:val="003D1286"/>
    <w:rsid w:val="003D1455"/>
    <w:rsid w:val="003D1654"/>
    <w:rsid w:val="003D1BDB"/>
    <w:rsid w:val="003D2AEF"/>
    <w:rsid w:val="003D32DE"/>
    <w:rsid w:val="003D3FF8"/>
    <w:rsid w:val="003D4514"/>
    <w:rsid w:val="003D5F0E"/>
    <w:rsid w:val="003D6D94"/>
    <w:rsid w:val="003D749F"/>
    <w:rsid w:val="003D7A5E"/>
    <w:rsid w:val="003E02A4"/>
    <w:rsid w:val="003E0B6F"/>
    <w:rsid w:val="003E16D2"/>
    <w:rsid w:val="003E25E9"/>
    <w:rsid w:val="003E40E3"/>
    <w:rsid w:val="003E41F1"/>
    <w:rsid w:val="003E4927"/>
    <w:rsid w:val="003E4BFC"/>
    <w:rsid w:val="003E4C8D"/>
    <w:rsid w:val="003E5176"/>
    <w:rsid w:val="003E56D2"/>
    <w:rsid w:val="003E66E0"/>
    <w:rsid w:val="003E6F45"/>
    <w:rsid w:val="003F04B9"/>
    <w:rsid w:val="003F0A76"/>
    <w:rsid w:val="003F119C"/>
    <w:rsid w:val="003F12C0"/>
    <w:rsid w:val="003F13D0"/>
    <w:rsid w:val="003F16AD"/>
    <w:rsid w:val="003F1B41"/>
    <w:rsid w:val="003F1D14"/>
    <w:rsid w:val="003F2066"/>
    <w:rsid w:val="003F272A"/>
    <w:rsid w:val="003F3AB3"/>
    <w:rsid w:val="003F41AD"/>
    <w:rsid w:val="003F5AA3"/>
    <w:rsid w:val="003F5DAD"/>
    <w:rsid w:val="003F6CEB"/>
    <w:rsid w:val="003F741A"/>
    <w:rsid w:val="003F7AF8"/>
    <w:rsid w:val="00400281"/>
    <w:rsid w:val="0040041A"/>
    <w:rsid w:val="0040054A"/>
    <w:rsid w:val="00400D72"/>
    <w:rsid w:val="00401AC0"/>
    <w:rsid w:val="00402B64"/>
    <w:rsid w:val="00402C92"/>
    <w:rsid w:val="0040309F"/>
    <w:rsid w:val="00403621"/>
    <w:rsid w:val="0040377E"/>
    <w:rsid w:val="004037BB"/>
    <w:rsid w:val="00403BBC"/>
    <w:rsid w:val="00404141"/>
    <w:rsid w:val="00405331"/>
    <w:rsid w:val="00405B8E"/>
    <w:rsid w:val="00406992"/>
    <w:rsid w:val="0040703A"/>
    <w:rsid w:val="004073B9"/>
    <w:rsid w:val="00407751"/>
    <w:rsid w:val="0041022D"/>
    <w:rsid w:val="004105B9"/>
    <w:rsid w:val="004106F8"/>
    <w:rsid w:val="00411CF0"/>
    <w:rsid w:val="004122DE"/>
    <w:rsid w:val="00412420"/>
    <w:rsid w:val="00412A73"/>
    <w:rsid w:val="00412D9C"/>
    <w:rsid w:val="00413DE2"/>
    <w:rsid w:val="0041596A"/>
    <w:rsid w:val="00415EA2"/>
    <w:rsid w:val="00415F84"/>
    <w:rsid w:val="00416264"/>
    <w:rsid w:val="00416484"/>
    <w:rsid w:val="00416DE0"/>
    <w:rsid w:val="00417A33"/>
    <w:rsid w:val="004202A2"/>
    <w:rsid w:val="00420437"/>
    <w:rsid w:val="00420454"/>
    <w:rsid w:val="00420722"/>
    <w:rsid w:val="004220AA"/>
    <w:rsid w:val="0042242C"/>
    <w:rsid w:val="004229A8"/>
    <w:rsid w:val="00422F44"/>
    <w:rsid w:val="00422FA6"/>
    <w:rsid w:val="004237F0"/>
    <w:rsid w:val="004240AB"/>
    <w:rsid w:val="0042464C"/>
    <w:rsid w:val="004246A0"/>
    <w:rsid w:val="0042500C"/>
    <w:rsid w:val="004253C7"/>
    <w:rsid w:val="004254F8"/>
    <w:rsid w:val="00425BCB"/>
    <w:rsid w:val="00425C3B"/>
    <w:rsid w:val="004262CA"/>
    <w:rsid w:val="004263A6"/>
    <w:rsid w:val="00427995"/>
    <w:rsid w:val="004279DB"/>
    <w:rsid w:val="00427ABC"/>
    <w:rsid w:val="004302FB"/>
    <w:rsid w:val="004303C0"/>
    <w:rsid w:val="004304ED"/>
    <w:rsid w:val="0043061A"/>
    <w:rsid w:val="00430B20"/>
    <w:rsid w:val="00430E31"/>
    <w:rsid w:val="004310E1"/>
    <w:rsid w:val="00431D2C"/>
    <w:rsid w:val="00433150"/>
    <w:rsid w:val="00433456"/>
    <w:rsid w:val="004335BD"/>
    <w:rsid w:val="0043363F"/>
    <w:rsid w:val="0043375F"/>
    <w:rsid w:val="00433DFE"/>
    <w:rsid w:val="004346FF"/>
    <w:rsid w:val="004363E0"/>
    <w:rsid w:val="00436518"/>
    <w:rsid w:val="00436FAF"/>
    <w:rsid w:val="004374DB"/>
    <w:rsid w:val="0043759A"/>
    <w:rsid w:val="004379A4"/>
    <w:rsid w:val="00437CF4"/>
    <w:rsid w:val="004405CF"/>
    <w:rsid w:val="004408C3"/>
    <w:rsid w:val="004412FB"/>
    <w:rsid w:val="004416E5"/>
    <w:rsid w:val="00442A88"/>
    <w:rsid w:val="00442EB1"/>
    <w:rsid w:val="00443E5F"/>
    <w:rsid w:val="00446061"/>
    <w:rsid w:val="004476F0"/>
    <w:rsid w:val="00447D44"/>
    <w:rsid w:val="00450CD6"/>
    <w:rsid w:val="004513D6"/>
    <w:rsid w:val="004515F1"/>
    <w:rsid w:val="004516EF"/>
    <w:rsid w:val="00451993"/>
    <w:rsid w:val="00451D19"/>
    <w:rsid w:val="0045340F"/>
    <w:rsid w:val="00453E38"/>
    <w:rsid w:val="00454E7C"/>
    <w:rsid w:val="004553C4"/>
    <w:rsid w:val="00455A1A"/>
    <w:rsid w:val="00455B4D"/>
    <w:rsid w:val="00456B70"/>
    <w:rsid w:val="00457EC8"/>
    <w:rsid w:val="00460B73"/>
    <w:rsid w:val="00460DCC"/>
    <w:rsid w:val="00460DF5"/>
    <w:rsid w:val="00461437"/>
    <w:rsid w:val="00461C5D"/>
    <w:rsid w:val="0046283F"/>
    <w:rsid w:val="0046315B"/>
    <w:rsid w:val="0046349B"/>
    <w:rsid w:val="00463734"/>
    <w:rsid w:val="004638A1"/>
    <w:rsid w:val="004638C0"/>
    <w:rsid w:val="0046396F"/>
    <w:rsid w:val="00464151"/>
    <w:rsid w:val="00464C19"/>
    <w:rsid w:val="0046535B"/>
    <w:rsid w:val="00465B8E"/>
    <w:rsid w:val="00465D53"/>
    <w:rsid w:val="00466280"/>
    <w:rsid w:val="00466D01"/>
    <w:rsid w:val="00466F2B"/>
    <w:rsid w:val="00467337"/>
    <w:rsid w:val="00467505"/>
    <w:rsid w:val="00470056"/>
    <w:rsid w:val="0047011E"/>
    <w:rsid w:val="0047092A"/>
    <w:rsid w:val="00470F61"/>
    <w:rsid w:val="00472449"/>
    <w:rsid w:val="00473115"/>
    <w:rsid w:val="00473AAC"/>
    <w:rsid w:val="00473D44"/>
    <w:rsid w:val="00474836"/>
    <w:rsid w:val="00475408"/>
    <w:rsid w:val="0047552C"/>
    <w:rsid w:val="00477614"/>
    <w:rsid w:val="004776D9"/>
    <w:rsid w:val="00477722"/>
    <w:rsid w:val="00480639"/>
    <w:rsid w:val="00480892"/>
    <w:rsid w:val="00480ED5"/>
    <w:rsid w:val="0048214D"/>
    <w:rsid w:val="004823CC"/>
    <w:rsid w:val="00483CDD"/>
    <w:rsid w:val="0048466B"/>
    <w:rsid w:val="00484B63"/>
    <w:rsid w:val="004864F3"/>
    <w:rsid w:val="004873D7"/>
    <w:rsid w:val="00490860"/>
    <w:rsid w:val="004908B9"/>
    <w:rsid w:val="00490A36"/>
    <w:rsid w:val="00491669"/>
    <w:rsid w:val="00491FEF"/>
    <w:rsid w:val="00492148"/>
    <w:rsid w:val="00492567"/>
    <w:rsid w:val="004927D2"/>
    <w:rsid w:val="00493F3F"/>
    <w:rsid w:val="00493F6F"/>
    <w:rsid w:val="00494043"/>
    <w:rsid w:val="004943E6"/>
    <w:rsid w:val="00494DEC"/>
    <w:rsid w:val="00494FCE"/>
    <w:rsid w:val="00495189"/>
    <w:rsid w:val="00496250"/>
    <w:rsid w:val="00496518"/>
    <w:rsid w:val="004968DA"/>
    <w:rsid w:val="00496A7C"/>
    <w:rsid w:val="00496BDE"/>
    <w:rsid w:val="00496F81"/>
    <w:rsid w:val="00497147"/>
    <w:rsid w:val="004A02F1"/>
    <w:rsid w:val="004A14F2"/>
    <w:rsid w:val="004A16D6"/>
    <w:rsid w:val="004A221C"/>
    <w:rsid w:val="004A3BE8"/>
    <w:rsid w:val="004A3E82"/>
    <w:rsid w:val="004A4356"/>
    <w:rsid w:val="004A4613"/>
    <w:rsid w:val="004A47F4"/>
    <w:rsid w:val="004A4D16"/>
    <w:rsid w:val="004A4E52"/>
    <w:rsid w:val="004A5EF0"/>
    <w:rsid w:val="004A6443"/>
    <w:rsid w:val="004A7857"/>
    <w:rsid w:val="004A7E3B"/>
    <w:rsid w:val="004B01CC"/>
    <w:rsid w:val="004B0976"/>
    <w:rsid w:val="004B0D38"/>
    <w:rsid w:val="004B1C67"/>
    <w:rsid w:val="004B2ECA"/>
    <w:rsid w:val="004B2FAA"/>
    <w:rsid w:val="004B3589"/>
    <w:rsid w:val="004B3EF6"/>
    <w:rsid w:val="004B3FFB"/>
    <w:rsid w:val="004B44F3"/>
    <w:rsid w:val="004B4B98"/>
    <w:rsid w:val="004B54EE"/>
    <w:rsid w:val="004B5DD3"/>
    <w:rsid w:val="004B6181"/>
    <w:rsid w:val="004B643C"/>
    <w:rsid w:val="004B686D"/>
    <w:rsid w:val="004B68FF"/>
    <w:rsid w:val="004B6E14"/>
    <w:rsid w:val="004B7192"/>
    <w:rsid w:val="004B7254"/>
    <w:rsid w:val="004B77E8"/>
    <w:rsid w:val="004C36B2"/>
    <w:rsid w:val="004C39A7"/>
    <w:rsid w:val="004C47B5"/>
    <w:rsid w:val="004C499B"/>
    <w:rsid w:val="004C5674"/>
    <w:rsid w:val="004C5E86"/>
    <w:rsid w:val="004C60EF"/>
    <w:rsid w:val="004C72BF"/>
    <w:rsid w:val="004C74B9"/>
    <w:rsid w:val="004C7DF1"/>
    <w:rsid w:val="004D02E1"/>
    <w:rsid w:val="004D0451"/>
    <w:rsid w:val="004D0F3C"/>
    <w:rsid w:val="004D1EC7"/>
    <w:rsid w:val="004D1EE2"/>
    <w:rsid w:val="004D360D"/>
    <w:rsid w:val="004D3B2A"/>
    <w:rsid w:val="004D4473"/>
    <w:rsid w:val="004D4719"/>
    <w:rsid w:val="004D4B26"/>
    <w:rsid w:val="004D519F"/>
    <w:rsid w:val="004D5615"/>
    <w:rsid w:val="004D75BF"/>
    <w:rsid w:val="004E0175"/>
    <w:rsid w:val="004E04E1"/>
    <w:rsid w:val="004E1357"/>
    <w:rsid w:val="004E1904"/>
    <w:rsid w:val="004E1E35"/>
    <w:rsid w:val="004E1FED"/>
    <w:rsid w:val="004E2FBD"/>
    <w:rsid w:val="004E30FE"/>
    <w:rsid w:val="004E366D"/>
    <w:rsid w:val="004E4252"/>
    <w:rsid w:val="004E4320"/>
    <w:rsid w:val="004E4A52"/>
    <w:rsid w:val="004E4F40"/>
    <w:rsid w:val="004E5266"/>
    <w:rsid w:val="004E5437"/>
    <w:rsid w:val="004E5639"/>
    <w:rsid w:val="004E5846"/>
    <w:rsid w:val="004E5D3B"/>
    <w:rsid w:val="004E67A2"/>
    <w:rsid w:val="004E735B"/>
    <w:rsid w:val="004E7B76"/>
    <w:rsid w:val="004F1676"/>
    <w:rsid w:val="004F2549"/>
    <w:rsid w:val="004F26DF"/>
    <w:rsid w:val="004F2A4E"/>
    <w:rsid w:val="004F39CD"/>
    <w:rsid w:val="004F41DC"/>
    <w:rsid w:val="004F4329"/>
    <w:rsid w:val="004F5420"/>
    <w:rsid w:val="004F5888"/>
    <w:rsid w:val="004F59E5"/>
    <w:rsid w:val="004F5D39"/>
    <w:rsid w:val="004F7636"/>
    <w:rsid w:val="004F7704"/>
    <w:rsid w:val="004F7EB8"/>
    <w:rsid w:val="00500138"/>
    <w:rsid w:val="00501448"/>
    <w:rsid w:val="00503005"/>
    <w:rsid w:val="0050345B"/>
    <w:rsid w:val="0050451B"/>
    <w:rsid w:val="00504A08"/>
    <w:rsid w:val="00505568"/>
    <w:rsid w:val="005056FF"/>
    <w:rsid w:val="00505E97"/>
    <w:rsid w:val="00506FBD"/>
    <w:rsid w:val="0050774D"/>
    <w:rsid w:val="00507B53"/>
    <w:rsid w:val="00507D76"/>
    <w:rsid w:val="00510476"/>
    <w:rsid w:val="005111D2"/>
    <w:rsid w:val="0051135D"/>
    <w:rsid w:val="005114F2"/>
    <w:rsid w:val="0051231B"/>
    <w:rsid w:val="00512C0D"/>
    <w:rsid w:val="005144D2"/>
    <w:rsid w:val="005159B7"/>
    <w:rsid w:val="00516465"/>
    <w:rsid w:val="005167C6"/>
    <w:rsid w:val="00516BB6"/>
    <w:rsid w:val="00520A48"/>
    <w:rsid w:val="00522209"/>
    <w:rsid w:val="005242A4"/>
    <w:rsid w:val="00524B49"/>
    <w:rsid w:val="00524D90"/>
    <w:rsid w:val="0052512A"/>
    <w:rsid w:val="00525621"/>
    <w:rsid w:val="005256CF"/>
    <w:rsid w:val="00525A2A"/>
    <w:rsid w:val="00525AC1"/>
    <w:rsid w:val="00526116"/>
    <w:rsid w:val="005263EE"/>
    <w:rsid w:val="00526401"/>
    <w:rsid w:val="00526BEA"/>
    <w:rsid w:val="00526C80"/>
    <w:rsid w:val="00527CA9"/>
    <w:rsid w:val="00527DD7"/>
    <w:rsid w:val="005311E7"/>
    <w:rsid w:val="005320C7"/>
    <w:rsid w:val="005321FC"/>
    <w:rsid w:val="00533E74"/>
    <w:rsid w:val="0053445B"/>
    <w:rsid w:val="00535712"/>
    <w:rsid w:val="00535E7D"/>
    <w:rsid w:val="00536335"/>
    <w:rsid w:val="0053647F"/>
    <w:rsid w:val="00536FFB"/>
    <w:rsid w:val="005401BF"/>
    <w:rsid w:val="005404E1"/>
    <w:rsid w:val="00540561"/>
    <w:rsid w:val="00540BFE"/>
    <w:rsid w:val="00540F61"/>
    <w:rsid w:val="00541D9C"/>
    <w:rsid w:val="00542697"/>
    <w:rsid w:val="00542DBB"/>
    <w:rsid w:val="00543B7F"/>
    <w:rsid w:val="005449F3"/>
    <w:rsid w:val="00546F36"/>
    <w:rsid w:val="005471EE"/>
    <w:rsid w:val="00550302"/>
    <w:rsid w:val="005506D0"/>
    <w:rsid w:val="00550F16"/>
    <w:rsid w:val="005512A0"/>
    <w:rsid w:val="00551708"/>
    <w:rsid w:val="00551872"/>
    <w:rsid w:val="0055219E"/>
    <w:rsid w:val="005529C7"/>
    <w:rsid w:val="005531C5"/>
    <w:rsid w:val="00553210"/>
    <w:rsid w:val="005541D2"/>
    <w:rsid w:val="00555106"/>
    <w:rsid w:val="00555435"/>
    <w:rsid w:val="00555922"/>
    <w:rsid w:val="00555B66"/>
    <w:rsid w:val="00555C3F"/>
    <w:rsid w:val="00556304"/>
    <w:rsid w:val="00556716"/>
    <w:rsid w:val="00556B01"/>
    <w:rsid w:val="00556D0B"/>
    <w:rsid w:val="00560834"/>
    <w:rsid w:val="00560C74"/>
    <w:rsid w:val="005616F2"/>
    <w:rsid w:val="00561E25"/>
    <w:rsid w:val="00561E54"/>
    <w:rsid w:val="005624DC"/>
    <w:rsid w:val="00563082"/>
    <w:rsid w:val="0056527C"/>
    <w:rsid w:val="00566478"/>
    <w:rsid w:val="005668F8"/>
    <w:rsid w:val="00566C23"/>
    <w:rsid w:val="00566D56"/>
    <w:rsid w:val="005678E0"/>
    <w:rsid w:val="00567CB2"/>
    <w:rsid w:val="00567F5F"/>
    <w:rsid w:val="00570B3C"/>
    <w:rsid w:val="00570CC5"/>
    <w:rsid w:val="00570F43"/>
    <w:rsid w:val="00571255"/>
    <w:rsid w:val="00571B0D"/>
    <w:rsid w:val="00571D93"/>
    <w:rsid w:val="00572871"/>
    <w:rsid w:val="00573A0C"/>
    <w:rsid w:val="0057412E"/>
    <w:rsid w:val="00574787"/>
    <w:rsid w:val="0057573D"/>
    <w:rsid w:val="00575A2E"/>
    <w:rsid w:val="005764C0"/>
    <w:rsid w:val="00576F2B"/>
    <w:rsid w:val="00576F8C"/>
    <w:rsid w:val="005801FB"/>
    <w:rsid w:val="00581132"/>
    <w:rsid w:val="00581770"/>
    <w:rsid w:val="00581E99"/>
    <w:rsid w:val="00582118"/>
    <w:rsid w:val="00582CBB"/>
    <w:rsid w:val="00582D8A"/>
    <w:rsid w:val="00582DDD"/>
    <w:rsid w:val="00583CC2"/>
    <w:rsid w:val="00584398"/>
    <w:rsid w:val="005847FD"/>
    <w:rsid w:val="00584EA8"/>
    <w:rsid w:val="00584FB4"/>
    <w:rsid w:val="00584FEE"/>
    <w:rsid w:val="00585D09"/>
    <w:rsid w:val="005863A6"/>
    <w:rsid w:val="00587C26"/>
    <w:rsid w:val="005906E7"/>
    <w:rsid w:val="00590E7C"/>
    <w:rsid w:val="0059199F"/>
    <w:rsid w:val="00591BAC"/>
    <w:rsid w:val="005926F0"/>
    <w:rsid w:val="00592719"/>
    <w:rsid w:val="00592AC4"/>
    <w:rsid w:val="00594D85"/>
    <w:rsid w:val="00594ED6"/>
    <w:rsid w:val="0059521B"/>
    <w:rsid w:val="00596013"/>
    <w:rsid w:val="005978DE"/>
    <w:rsid w:val="005A025D"/>
    <w:rsid w:val="005A0E1E"/>
    <w:rsid w:val="005A268C"/>
    <w:rsid w:val="005A2818"/>
    <w:rsid w:val="005A3441"/>
    <w:rsid w:val="005A45EB"/>
    <w:rsid w:val="005A5FA4"/>
    <w:rsid w:val="005A773F"/>
    <w:rsid w:val="005A7FE0"/>
    <w:rsid w:val="005B12C0"/>
    <w:rsid w:val="005B1B14"/>
    <w:rsid w:val="005B24ED"/>
    <w:rsid w:val="005B2BFB"/>
    <w:rsid w:val="005B39A6"/>
    <w:rsid w:val="005B4A7E"/>
    <w:rsid w:val="005B4E9E"/>
    <w:rsid w:val="005B5366"/>
    <w:rsid w:val="005B5BBC"/>
    <w:rsid w:val="005B5D81"/>
    <w:rsid w:val="005B6565"/>
    <w:rsid w:val="005C0012"/>
    <w:rsid w:val="005C0B47"/>
    <w:rsid w:val="005C192C"/>
    <w:rsid w:val="005C2A72"/>
    <w:rsid w:val="005C2F8A"/>
    <w:rsid w:val="005C438E"/>
    <w:rsid w:val="005C4FA1"/>
    <w:rsid w:val="005C5970"/>
    <w:rsid w:val="005C67E3"/>
    <w:rsid w:val="005C7C5B"/>
    <w:rsid w:val="005D006D"/>
    <w:rsid w:val="005D0427"/>
    <w:rsid w:val="005D043C"/>
    <w:rsid w:val="005D045D"/>
    <w:rsid w:val="005D11A5"/>
    <w:rsid w:val="005D1E0B"/>
    <w:rsid w:val="005D3256"/>
    <w:rsid w:val="005D3282"/>
    <w:rsid w:val="005D32B1"/>
    <w:rsid w:val="005D3560"/>
    <w:rsid w:val="005D4093"/>
    <w:rsid w:val="005D4B2A"/>
    <w:rsid w:val="005D6BD6"/>
    <w:rsid w:val="005D6DBC"/>
    <w:rsid w:val="005E0895"/>
    <w:rsid w:val="005E08C1"/>
    <w:rsid w:val="005E0A73"/>
    <w:rsid w:val="005E0E94"/>
    <w:rsid w:val="005E27C1"/>
    <w:rsid w:val="005E2A65"/>
    <w:rsid w:val="005E2ED5"/>
    <w:rsid w:val="005E346E"/>
    <w:rsid w:val="005E3E84"/>
    <w:rsid w:val="005E464B"/>
    <w:rsid w:val="005E587A"/>
    <w:rsid w:val="005E5FCF"/>
    <w:rsid w:val="005E605C"/>
    <w:rsid w:val="005E65AE"/>
    <w:rsid w:val="005E6C4C"/>
    <w:rsid w:val="005E7B9A"/>
    <w:rsid w:val="005E7CF6"/>
    <w:rsid w:val="005F21AD"/>
    <w:rsid w:val="005F23FC"/>
    <w:rsid w:val="005F3C9F"/>
    <w:rsid w:val="005F42EB"/>
    <w:rsid w:val="005F4DCA"/>
    <w:rsid w:val="005F4DDC"/>
    <w:rsid w:val="005F589A"/>
    <w:rsid w:val="005F7178"/>
    <w:rsid w:val="005F750C"/>
    <w:rsid w:val="0060000E"/>
    <w:rsid w:val="0060017D"/>
    <w:rsid w:val="006002C7"/>
    <w:rsid w:val="00601113"/>
    <w:rsid w:val="0060216D"/>
    <w:rsid w:val="0060235B"/>
    <w:rsid w:val="0060235F"/>
    <w:rsid w:val="006026B5"/>
    <w:rsid w:val="00602EA2"/>
    <w:rsid w:val="006038DE"/>
    <w:rsid w:val="006039D8"/>
    <w:rsid w:val="006048ED"/>
    <w:rsid w:val="0060543D"/>
    <w:rsid w:val="006059E6"/>
    <w:rsid w:val="00605C4A"/>
    <w:rsid w:val="00606CA4"/>
    <w:rsid w:val="00606CDD"/>
    <w:rsid w:val="00606E1F"/>
    <w:rsid w:val="00607237"/>
    <w:rsid w:val="00607638"/>
    <w:rsid w:val="00610234"/>
    <w:rsid w:val="00610A59"/>
    <w:rsid w:val="00611EE7"/>
    <w:rsid w:val="00612A6B"/>
    <w:rsid w:val="00613CBE"/>
    <w:rsid w:val="00614F7D"/>
    <w:rsid w:val="00615E8B"/>
    <w:rsid w:val="00616315"/>
    <w:rsid w:val="006166EE"/>
    <w:rsid w:val="0061686E"/>
    <w:rsid w:val="00616EF4"/>
    <w:rsid w:val="006170AD"/>
    <w:rsid w:val="00617147"/>
    <w:rsid w:val="0062020E"/>
    <w:rsid w:val="006224BA"/>
    <w:rsid w:val="00622526"/>
    <w:rsid w:val="00623F84"/>
    <w:rsid w:val="00624511"/>
    <w:rsid w:val="00624633"/>
    <w:rsid w:val="006256C2"/>
    <w:rsid w:val="00625BFC"/>
    <w:rsid w:val="00626082"/>
    <w:rsid w:val="006265EE"/>
    <w:rsid w:val="00630460"/>
    <w:rsid w:val="00631DF3"/>
    <w:rsid w:val="006320E1"/>
    <w:rsid w:val="006332A2"/>
    <w:rsid w:val="0063358B"/>
    <w:rsid w:val="00633CE7"/>
    <w:rsid w:val="00634A99"/>
    <w:rsid w:val="00635114"/>
    <w:rsid w:val="0063695B"/>
    <w:rsid w:val="00636D13"/>
    <w:rsid w:val="006372A6"/>
    <w:rsid w:val="00637F6B"/>
    <w:rsid w:val="00640BA3"/>
    <w:rsid w:val="00641B16"/>
    <w:rsid w:val="00641C18"/>
    <w:rsid w:val="0064270C"/>
    <w:rsid w:val="00642D39"/>
    <w:rsid w:val="00643555"/>
    <w:rsid w:val="00643877"/>
    <w:rsid w:val="006439F3"/>
    <w:rsid w:val="00644824"/>
    <w:rsid w:val="00644D8B"/>
    <w:rsid w:val="00645288"/>
    <w:rsid w:val="00645628"/>
    <w:rsid w:val="006459EE"/>
    <w:rsid w:val="006460B3"/>
    <w:rsid w:val="006464D6"/>
    <w:rsid w:val="00646663"/>
    <w:rsid w:val="006466E7"/>
    <w:rsid w:val="00646C00"/>
    <w:rsid w:val="00646E0D"/>
    <w:rsid w:val="00646F06"/>
    <w:rsid w:val="00652530"/>
    <w:rsid w:val="00653394"/>
    <w:rsid w:val="00653F15"/>
    <w:rsid w:val="00655E52"/>
    <w:rsid w:val="00655F18"/>
    <w:rsid w:val="00656C2B"/>
    <w:rsid w:val="006575F2"/>
    <w:rsid w:val="00660C61"/>
    <w:rsid w:val="006611FF"/>
    <w:rsid w:val="00661624"/>
    <w:rsid w:val="0066198F"/>
    <w:rsid w:val="00661B08"/>
    <w:rsid w:val="00662074"/>
    <w:rsid w:val="006624EE"/>
    <w:rsid w:val="00662D07"/>
    <w:rsid w:val="00663AC2"/>
    <w:rsid w:val="006663E1"/>
    <w:rsid w:val="00667031"/>
    <w:rsid w:val="006713AC"/>
    <w:rsid w:val="00671E6E"/>
    <w:rsid w:val="006720E6"/>
    <w:rsid w:val="00672EE5"/>
    <w:rsid w:val="006736D4"/>
    <w:rsid w:val="0067385C"/>
    <w:rsid w:val="00674497"/>
    <w:rsid w:val="0067450F"/>
    <w:rsid w:val="0067565A"/>
    <w:rsid w:val="006758B3"/>
    <w:rsid w:val="00675C3B"/>
    <w:rsid w:val="00680319"/>
    <w:rsid w:val="00680703"/>
    <w:rsid w:val="00681309"/>
    <w:rsid w:val="00681BBA"/>
    <w:rsid w:val="006827FB"/>
    <w:rsid w:val="0068323D"/>
    <w:rsid w:val="00683319"/>
    <w:rsid w:val="00683541"/>
    <w:rsid w:val="00683F25"/>
    <w:rsid w:val="00683F98"/>
    <w:rsid w:val="006851E0"/>
    <w:rsid w:val="006855F0"/>
    <w:rsid w:val="006866E1"/>
    <w:rsid w:val="00686719"/>
    <w:rsid w:val="006874C2"/>
    <w:rsid w:val="0068758F"/>
    <w:rsid w:val="00690CB6"/>
    <w:rsid w:val="00690D58"/>
    <w:rsid w:val="006924F7"/>
    <w:rsid w:val="006927E0"/>
    <w:rsid w:val="0069318D"/>
    <w:rsid w:val="006934F8"/>
    <w:rsid w:val="00693803"/>
    <w:rsid w:val="00693EF3"/>
    <w:rsid w:val="00694B5D"/>
    <w:rsid w:val="00694D7D"/>
    <w:rsid w:val="00695EC6"/>
    <w:rsid w:val="00695FCD"/>
    <w:rsid w:val="00696FC5"/>
    <w:rsid w:val="006A01E9"/>
    <w:rsid w:val="006A0838"/>
    <w:rsid w:val="006A0D7F"/>
    <w:rsid w:val="006A1086"/>
    <w:rsid w:val="006A19A3"/>
    <w:rsid w:val="006A1B14"/>
    <w:rsid w:val="006A2179"/>
    <w:rsid w:val="006A234D"/>
    <w:rsid w:val="006A2B45"/>
    <w:rsid w:val="006A32CD"/>
    <w:rsid w:val="006A487E"/>
    <w:rsid w:val="006A4ADA"/>
    <w:rsid w:val="006A4DC1"/>
    <w:rsid w:val="006A4F67"/>
    <w:rsid w:val="006A6C87"/>
    <w:rsid w:val="006A785C"/>
    <w:rsid w:val="006A794F"/>
    <w:rsid w:val="006B000D"/>
    <w:rsid w:val="006B09A5"/>
    <w:rsid w:val="006B0E40"/>
    <w:rsid w:val="006B1BFB"/>
    <w:rsid w:val="006B1DA7"/>
    <w:rsid w:val="006B1FB8"/>
    <w:rsid w:val="006B31E5"/>
    <w:rsid w:val="006B32D5"/>
    <w:rsid w:val="006B3EFD"/>
    <w:rsid w:val="006B3F44"/>
    <w:rsid w:val="006B5675"/>
    <w:rsid w:val="006B5889"/>
    <w:rsid w:val="006B61D5"/>
    <w:rsid w:val="006B6CEE"/>
    <w:rsid w:val="006B7799"/>
    <w:rsid w:val="006C033F"/>
    <w:rsid w:val="006C0497"/>
    <w:rsid w:val="006C057B"/>
    <w:rsid w:val="006C10FC"/>
    <w:rsid w:val="006C1698"/>
    <w:rsid w:val="006C19FC"/>
    <w:rsid w:val="006C1BC4"/>
    <w:rsid w:val="006C2051"/>
    <w:rsid w:val="006C2D7E"/>
    <w:rsid w:val="006C2DB3"/>
    <w:rsid w:val="006C3145"/>
    <w:rsid w:val="006C31B4"/>
    <w:rsid w:val="006C35AF"/>
    <w:rsid w:val="006C4021"/>
    <w:rsid w:val="006C4C80"/>
    <w:rsid w:val="006C5718"/>
    <w:rsid w:val="006C5942"/>
    <w:rsid w:val="006C656D"/>
    <w:rsid w:val="006C7ACA"/>
    <w:rsid w:val="006D5F9E"/>
    <w:rsid w:val="006D6042"/>
    <w:rsid w:val="006D7ACE"/>
    <w:rsid w:val="006D7B6A"/>
    <w:rsid w:val="006E11E0"/>
    <w:rsid w:val="006E2935"/>
    <w:rsid w:val="006E2C1D"/>
    <w:rsid w:val="006E3E9D"/>
    <w:rsid w:val="006E45B9"/>
    <w:rsid w:val="006E48DD"/>
    <w:rsid w:val="006E4B51"/>
    <w:rsid w:val="006E4E64"/>
    <w:rsid w:val="006E505E"/>
    <w:rsid w:val="006E5440"/>
    <w:rsid w:val="006E585D"/>
    <w:rsid w:val="006E5B02"/>
    <w:rsid w:val="006E6600"/>
    <w:rsid w:val="006E67B4"/>
    <w:rsid w:val="006E6931"/>
    <w:rsid w:val="006E6F34"/>
    <w:rsid w:val="006E73D9"/>
    <w:rsid w:val="006E7556"/>
    <w:rsid w:val="006E7F28"/>
    <w:rsid w:val="006F03AD"/>
    <w:rsid w:val="006F0A6C"/>
    <w:rsid w:val="006F131C"/>
    <w:rsid w:val="006F1664"/>
    <w:rsid w:val="006F2003"/>
    <w:rsid w:val="006F20C0"/>
    <w:rsid w:val="006F2943"/>
    <w:rsid w:val="006F2F39"/>
    <w:rsid w:val="006F3B48"/>
    <w:rsid w:val="006F4198"/>
    <w:rsid w:val="006F5A78"/>
    <w:rsid w:val="006F6448"/>
    <w:rsid w:val="006F7356"/>
    <w:rsid w:val="006F7428"/>
    <w:rsid w:val="006F7760"/>
    <w:rsid w:val="006F7919"/>
    <w:rsid w:val="00701359"/>
    <w:rsid w:val="007015A1"/>
    <w:rsid w:val="00702602"/>
    <w:rsid w:val="0070330B"/>
    <w:rsid w:val="00703553"/>
    <w:rsid w:val="007049F8"/>
    <w:rsid w:val="00704E7E"/>
    <w:rsid w:val="007070F6"/>
    <w:rsid w:val="00707BBD"/>
    <w:rsid w:val="00710158"/>
    <w:rsid w:val="007107C6"/>
    <w:rsid w:val="00710A97"/>
    <w:rsid w:val="00710EA7"/>
    <w:rsid w:val="007118D3"/>
    <w:rsid w:val="0071195E"/>
    <w:rsid w:val="00711A54"/>
    <w:rsid w:val="00712859"/>
    <w:rsid w:val="00712ACB"/>
    <w:rsid w:val="00712AD9"/>
    <w:rsid w:val="00712B2F"/>
    <w:rsid w:val="00713812"/>
    <w:rsid w:val="007138E7"/>
    <w:rsid w:val="00713ABC"/>
    <w:rsid w:val="00714AAA"/>
    <w:rsid w:val="007157E6"/>
    <w:rsid w:val="00715E34"/>
    <w:rsid w:val="00715F4A"/>
    <w:rsid w:val="007166CB"/>
    <w:rsid w:val="007167D6"/>
    <w:rsid w:val="00716DD9"/>
    <w:rsid w:val="00716DEC"/>
    <w:rsid w:val="00716E23"/>
    <w:rsid w:val="00720485"/>
    <w:rsid w:val="00720D9C"/>
    <w:rsid w:val="007210F1"/>
    <w:rsid w:val="0072138E"/>
    <w:rsid w:val="0072177D"/>
    <w:rsid w:val="007218D6"/>
    <w:rsid w:val="00721E19"/>
    <w:rsid w:val="007225DB"/>
    <w:rsid w:val="00723D49"/>
    <w:rsid w:val="00723E3F"/>
    <w:rsid w:val="00724A11"/>
    <w:rsid w:val="00725584"/>
    <w:rsid w:val="0072561D"/>
    <w:rsid w:val="007263FF"/>
    <w:rsid w:val="00726462"/>
    <w:rsid w:val="00726463"/>
    <w:rsid w:val="00727C93"/>
    <w:rsid w:val="00730B3D"/>
    <w:rsid w:val="00730D04"/>
    <w:rsid w:val="00731D15"/>
    <w:rsid w:val="00732B1F"/>
    <w:rsid w:val="00735041"/>
    <w:rsid w:val="00735EFF"/>
    <w:rsid w:val="00735F11"/>
    <w:rsid w:val="007360B4"/>
    <w:rsid w:val="00736351"/>
    <w:rsid w:val="00736711"/>
    <w:rsid w:val="007374B7"/>
    <w:rsid w:val="007378F0"/>
    <w:rsid w:val="00740046"/>
    <w:rsid w:val="0074085D"/>
    <w:rsid w:val="0074308F"/>
    <w:rsid w:val="007430CD"/>
    <w:rsid w:val="007433C5"/>
    <w:rsid w:val="007435CD"/>
    <w:rsid w:val="007436DF"/>
    <w:rsid w:val="007437A3"/>
    <w:rsid w:val="00743C6E"/>
    <w:rsid w:val="00744408"/>
    <w:rsid w:val="00744511"/>
    <w:rsid w:val="007459FD"/>
    <w:rsid w:val="007463DC"/>
    <w:rsid w:val="00746474"/>
    <w:rsid w:val="00746A4C"/>
    <w:rsid w:val="00746ED5"/>
    <w:rsid w:val="00747240"/>
    <w:rsid w:val="00750D96"/>
    <w:rsid w:val="00752326"/>
    <w:rsid w:val="007545A4"/>
    <w:rsid w:val="00754ABA"/>
    <w:rsid w:val="00754BA8"/>
    <w:rsid w:val="00754F29"/>
    <w:rsid w:val="00755279"/>
    <w:rsid w:val="00755645"/>
    <w:rsid w:val="007567D0"/>
    <w:rsid w:val="00756B96"/>
    <w:rsid w:val="0076002F"/>
    <w:rsid w:val="00760738"/>
    <w:rsid w:val="00760781"/>
    <w:rsid w:val="00760856"/>
    <w:rsid w:val="007610D0"/>
    <w:rsid w:val="00761954"/>
    <w:rsid w:val="0076226E"/>
    <w:rsid w:val="00764430"/>
    <w:rsid w:val="00764B6A"/>
    <w:rsid w:val="00764D81"/>
    <w:rsid w:val="0076537F"/>
    <w:rsid w:val="00765554"/>
    <w:rsid w:val="007655B1"/>
    <w:rsid w:val="00766A74"/>
    <w:rsid w:val="00766A81"/>
    <w:rsid w:val="00766D17"/>
    <w:rsid w:val="007674A2"/>
    <w:rsid w:val="0076771B"/>
    <w:rsid w:val="00767B10"/>
    <w:rsid w:val="0077008F"/>
    <w:rsid w:val="0077048D"/>
    <w:rsid w:val="00771738"/>
    <w:rsid w:val="00773388"/>
    <w:rsid w:val="007733D4"/>
    <w:rsid w:val="00773DBE"/>
    <w:rsid w:val="00774351"/>
    <w:rsid w:val="00774F2A"/>
    <w:rsid w:val="007750EF"/>
    <w:rsid w:val="007755F6"/>
    <w:rsid w:val="00776AE5"/>
    <w:rsid w:val="00776F6B"/>
    <w:rsid w:val="0077784A"/>
    <w:rsid w:val="007778DE"/>
    <w:rsid w:val="00777A30"/>
    <w:rsid w:val="00780AF7"/>
    <w:rsid w:val="00781933"/>
    <w:rsid w:val="00781B8E"/>
    <w:rsid w:val="007825E8"/>
    <w:rsid w:val="00783632"/>
    <w:rsid w:val="0078378F"/>
    <w:rsid w:val="00783EDF"/>
    <w:rsid w:val="0078482F"/>
    <w:rsid w:val="00784E85"/>
    <w:rsid w:val="00784FE1"/>
    <w:rsid w:val="0078593A"/>
    <w:rsid w:val="007861B6"/>
    <w:rsid w:val="00786338"/>
    <w:rsid w:val="00786C64"/>
    <w:rsid w:val="00787406"/>
    <w:rsid w:val="00787B0B"/>
    <w:rsid w:val="00791253"/>
    <w:rsid w:val="007917A1"/>
    <w:rsid w:val="007920F3"/>
    <w:rsid w:val="00792EAF"/>
    <w:rsid w:val="00793547"/>
    <w:rsid w:val="00794C8A"/>
    <w:rsid w:val="00795ACF"/>
    <w:rsid w:val="0079604D"/>
    <w:rsid w:val="007977C5"/>
    <w:rsid w:val="00797B3E"/>
    <w:rsid w:val="007A00C8"/>
    <w:rsid w:val="007A07BD"/>
    <w:rsid w:val="007A0BB6"/>
    <w:rsid w:val="007A0DEE"/>
    <w:rsid w:val="007A22F7"/>
    <w:rsid w:val="007A2406"/>
    <w:rsid w:val="007A28F4"/>
    <w:rsid w:val="007A2C1E"/>
    <w:rsid w:val="007A2CC2"/>
    <w:rsid w:val="007A36E3"/>
    <w:rsid w:val="007A47FF"/>
    <w:rsid w:val="007A54CC"/>
    <w:rsid w:val="007A5E5E"/>
    <w:rsid w:val="007A6D20"/>
    <w:rsid w:val="007A6D94"/>
    <w:rsid w:val="007A710D"/>
    <w:rsid w:val="007A78E5"/>
    <w:rsid w:val="007A79F0"/>
    <w:rsid w:val="007B083E"/>
    <w:rsid w:val="007B0E33"/>
    <w:rsid w:val="007B1067"/>
    <w:rsid w:val="007B1B52"/>
    <w:rsid w:val="007B31F3"/>
    <w:rsid w:val="007B3786"/>
    <w:rsid w:val="007B477C"/>
    <w:rsid w:val="007B4E0C"/>
    <w:rsid w:val="007B55C6"/>
    <w:rsid w:val="007B646B"/>
    <w:rsid w:val="007B65FE"/>
    <w:rsid w:val="007B6CE1"/>
    <w:rsid w:val="007B7783"/>
    <w:rsid w:val="007B7B0C"/>
    <w:rsid w:val="007C0A6B"/>
    <w:rsid w:val="007C0B99"/>
    <w:rsid w:val="007C249E"/>
    <w:rsid w:val="007C32AB"/>
    <w:rsid w:val="007C589C"/>
    <w:rsid w:val="007C59CD"/>
    <w:rsid w:val="007C6707"/>
    <w:rsid w:val="007C6B67"/>
    <w:rsid w:val="007C6D4B"/>
    <w:rsid w:val="007C79BD"/>
    <w:rsid w:val="007D19B4"/>
    <w:rsid w:val="007D2814"/>
    <w:rsid w:val="007D28C9"/>
    <w:rsid w:val="007D2965"/>
    <w:rsid w:val="007D2C0C"/>
    <w:rsid w:val="007D2CDB"/>
    <w:rsid w:val="007D36CA"/>
    <w:rsid w:val="007D3BED"/>
    <w:rsid w:val="007D413D"/>
    <w:rsid w:val="007D4281"/>
    <w:rsid w:val="007D462A"/>
    <w:rsid w:val="007D4945"/>
    <w:rsid w:val="007D4D4A"/>
    <w:rsid w:val="007D5F38"/>
    <w:rsid w:val="007D5F71"/>
    <w:rsid w:val="007D6A90"/>
    <w:rsid w:val="007D6D5A"/>
    <w:rsid w:val="007D7234"/>
    <w:rsid w:val="007D7299"/>
    <w:rsid w:val="007E0FDA"/>
    <w:rsid w:val="007E1ABD"/>
    <w:rsid w:val="007E2296"/>
    <w:rsid w:val="007E2541"/>
    <w:rsid w:val="007E281F"/>
    <w:rsid w:val="007E4109"/>
    <w:rsid w:val="007E47FB"/>
    <w:rsid w:val="007E4AB8"/>
    <w:rsid w:val="007E4B63"/>
    <w:rsid w:val="007E515D"/>
    <w:rsid w:val="007E54C1"/>
    <w:rsid w:val="007E63EF"/>
    <w:rsid w:val="007E644A"/>
    <w:rsid w:val="007E6478"/>
    <w:rsid w:val="007E6619"/>
    <w:rsid w:val="007E6FD7"/>
    <w:rsid w:val="007E6FDB"/>
    <w:rsid w:val="007E7277"/>
    <w:rsid w:val="007E76F0"/>
    <w:rsid w:val="007E7B86"/>
    <w:rsid w:val="007E7EFA"/>
    <w:rsid w:val="007E7F07"/>
    <w:rsid w:val="007F0FD0"/>
    <w:rsid w:val="007F15F8"/>
    <w:rsid w:val="007F161E"/>
    <w:rsid w:val="007F1AA5"/>
    <w:rsid w:val="007F1B50"/>
    <w:rsid w:val="007F21DC"/>
    <w:rsid w:val="007F2502"/>
    <w:rsid w:val="007F3CAE"/>
    <w:rsid w:val="007F3EEC"/>
    <w:rsid w:val="007F462F"/>
    <w:rsid w:val="007F4AB4"/>
    <w:rsid w:val="007F505A"/>
    <w:rsid w:val="007F5D20"/>
    <w:rsid w:val="007F67C7"/>
    <w:rsid w:val="007F68C6"/>
    <w:rsid w:val="007F7139"/>
    <w:rsid w:val="007F717C"/>
    <w:rsid w:val="007F7205"/>
    <w:rsid w:val="007F77FE"/>
    <w:rsid w:val="007F7F4D"/>
    <w:rsid w:val="008000E5"/>
    <w:rsid w:val="0080060B"/>
    <w:rsid w:val="00800624"/>
    <w:rsid w:val="00801548"/>
    <w:rsid w:val="00801669"/>
    <w:rsid w:val="00801712"/>
    <w:rsid w:val="008018B3"/>
    <w:rsid w:val="0080200D"/>
    <w:rsid w:val="00802D40"/>
    <w:rsid w:val="008031D5"/>
    <w:rsid w:val="0080386B"/>
    <w:rsid w:val="00803DC9"/>
    <w:rsid w:val="00804072"/>
    <w:rsid w:val="00804F00"/>
    <w:rsid w:val="00805754"/>
    <w:rsid w:val="00805F04"/>
    <w:rsid w:val="00806F1F"/>
    <w:rsid w:val="00807AC3"/>
    <w:rsid w:val="00811510"/>
    <w:rsid w:val="008123DA"/>
    <w:rsid w:val="00812906"/>
    <w:rsid w:val="00812B86"/>
    <w:rsid w:val="00812C42"/>
    <w:rsid w:val="00812E56"/>
    <w:rsid w:val="0081323D"/>
    <w:rsid w:val="008137F5"/>
    <w:rsid w:val="00814D9F"/>
    <w:rsid w:val="00814DBC"/>
    <w:rsid w:val="00814EF6"/>
    <w:rsid w:val="008151BF"/>
    <w:rsid w:val="00816AD7"/>
    <w:rsid w:val="00817A4D"/>
    <w:rsid w:val="00820B9D"/>
    <w:rsid w:val="00820C87"/>
    <w:rsid w:val="00820D49"/>
    <w:rsid w:val="0082113F"/>
    <w:rsid w:val="0082138E"/>
    <w:rsid w:val="008215CD"/>
    <w:rsid w:val="008218F7"/>
    <w:rsid w:val="00821991"/>
    <w:rsid w:val="00822934"/>
    <w:rsid w:val="008232D8"/>
    <w:rsid w:val="00823F37"/>
    <w:rsid w:val="00825F01"/>
    <w:rsid w:val="008266AA"/>
    <w:rsid w:val="00827303"/>
    <w:rsid w:val="00827E96"/>
    <w:rsid w:val="008328B1"/>
    <w:rsid w:val="008337CF"/>
    <w:rsid w:val="00833BB0"/>
    <w:rsid w:val="00834A39"/>
    <w:rsid w:val="008362F1"/>
    <w:rsid w:val="0083677B"/>
    <w:rsid w:val="008371F5"/>
    <w:rsid w:val="00837865"/>
    <w:rsid w:val="00840065"/>
    <w:rsid w:val="008400FB"/>
    <w:rsid w:val="008402CF"/>
    <w:rsid w:val="008406F7"/>
    <w:rsid w:val="00841478"/>
    <w:rsid w:val="00841F44"/>
    <w:rsid w:val="0084216F"/>
    <w:rsid w:val="00842456"/>
    <w:rsid w:val="0084356D"/>
    <w:rsid w:val="00843B38"/>
    <w:rsid w:val="0084455A"/>
    <w:rsid w:val="00845CE9"/>
    <w:rsid w:val="00846A48"/>
    <w:rsid w:val="00846FF2"/>
    <w:rsid w:val="00847D48"/>
    <w:rsid w:val="008504B7"/>
    <w:rsid w:val="00850829"/>
    <w:rsid w:val="00850972"/>
    <w:rsid w:val="00850BD6"/>
    <w:rsid w:val="00851348"/>
    <w:rsid w:val="00851A4D"/>
    <w:rsid w:val="00851E24"/>
    <w:rsid w:val="008538FD"/>
    <w:rsid w:val="008542EC"/>
    <w:rsid w:val="008543A3"/>
    <w:rsid w:val="008547E3"/>
    <w:rsid w:val="00854CAC"/>
    <w:rsid w:val="00854DFA"/>
    <w:rsid w:val="00854FE4"/>
    <w:rsid w:val="00855BA4"/>
    <w:rsid w:val="00857701"/>
    <w:rsid w:val="008601A4"/>
    <w:rsid w:val="008605D8"/>
    <w:rsid w:val="00860673"/>
    <w:rsid w:val="00861565"/>
    <w:rsid w:val="00861680"/>
    <w:rsid w:val="00861756"/>
    <w:rsid w:val="00861B59"/>
    <w:rsid w:val="00862036"/>
    <w:rsid w:val="00864AB3"/>
    <w:rsid w:val="0086547F"/>
    <w:rsid w:val="0086595C"/>
    <w:rsid w:val="0086598B"/>
    <w:rsid w:val="0086677F"/>
    <w:rsid w:val="0086739C"/>
    <w:rsid w:val="008676F3"/>
    <w:rsid w:val="00867983"/>
    <w:rsid w:val="00867F11"/>
    <w:rsid w:val="00870052"/>
    <w:rsid w:val="008706EF"/>
    <w:rsid w:val="0087081E"/>
    <w:rsid w:val="00871225"/>
    <w:rsid w:val="00871630"/>
    <w:rsid w:val="008717BF"/>
    <w:rsid w:val="00871CB2"/>
    <w:rsid w:val="00872739"/>
    <w:rsid w:val="00873E2B"/>
    <w:rsid w:val="00874078"/>
    <w:rsid w:val="00874D9E"/>
    <w:rsid w:val="0087603A"/>
    <w:rsid w:val="00876069"/>
    <w:rsid w:val="008762A0"/>
    <w:rsid w:val="00877E14"/>
    <w:rsid w:val="00880194"/>
    <w:rsid w:val="008803DC"/>
    <w:rsid w:val="008809D1"/>
    <w:rsid w:val="00880E76"/>
    <w:rsid w:val="0088152F"/>
    <w:rsid w:val="00883B7B"/>
    <w:rsid w:val="00884316"/>
    <w:rsid w:val="0088473D"/>
    <w:rsid w:val="0088682B"/>
    <w:rsid w:val="00886B52"/>
    <w:rsid w:val="008872E2"/>
    <w:rsid w:val="00887B71"/>
    <w:rsid w:val="00890E5E"/>
    <w:rsid w:val="008912FB"/>
    <w:rsid w:val="00891E70"/>
    <w:rsid w:val="00892177"/>
    <w:rsid w:val="008925F7"/>
    <w:rsid w:val="008928EA"/>
    <w:rsid w:val="00892B12"/>
    <w:rsid w:val="00892E5C"/>
    <w:rsid w:val="0089441D"/>
    <w:rsid w:val="00894492"/>
    <w:rsid w:val="008946F4"/>
    <w:rsid w:val="008947CC"/>
    <w:rsid w:val="0089519E"/>
    <w:rsid w:val="008956D2"/>
    <w:rsid w:val="00896C33"/>
    <w:rsid w:val="00896C36"/>
    <w:rsid w:val="0089785A"/>
    <w:rsid w:val="008978A0"/>
    <w:rsid w:val="008A07F8"/>
    <w:rsid w:val="008A166D"/>
    <w:rsid w:val="008A1E20"/>
    <w:rsid w:val="008A4698"/>
    <w:rsid w:val="008A4ECD"/>
    <w:rsid w:val="008A57F7"/>
    <w:rsid w:val="008A602E"/>
    <w:rsid w:val="008A67AD"/>
    <w:rsid w:val="008A67D4"/>
    <w:rsid w:val="008A694B"/>
    <w:rsid w:val="008A738D"/>
    <w:rsid w:val="008B04B5"/>
    <w:rsid w:val="008B08D7"/>
    <w:rsid w:val="008B1035"/>
    <w:rsid w:val="008B1744"/>
    <w:rsid w:val="008B1C52"/>
    <w:rsid w:val="008B1E10"/>
    <w:rsid w:val="008B2747"/>
    <w:rsid w:val="008B2DDE"/>
    <w:rsid w:val="008B3A2D"/>
    <w:rsid w:val="008B568F"/>
    <w:rsid w:val="008B5E26"/>
    <w:rsid w:val="008B5F8A"/>
    <w:rsid w:val="008B62B9"/>
    <w:rsid w:val="008B702A"/>
    <w:rsid w:val="008B75EF"/>
    <w:rsid w:val="008B77C5"/>
    <w:rsid w:val="008C030D"/>
    <w:rsid w:val="008C1ECB"/>
    <w:rsid w:val="008C20F1"/>
    <w:rsid w:val="008C2B9C"/>
    <w:rsid w:val="008C2D88"/>
    <w:rsid w:val="008C4102"/>
    <w:rsid w:val="008C510D"/>
    <w:rsid w:val="008C5A1C"/>
    <w:rsid w:val="008C5EB0"/>
    <w:rsid w:val="008C632E"/>
    <w:rsid w:val="008C6445"/>
    <w:rsid w:val="008C6705"/>
    <w:rsid w:val="008C67F3"/>
    <w:rsid w:val="008C6C38"/>
    <w:rsid w:val="008C7009"/>
    <w:rsid w:val="008C7E10"/>
    <w:rsid w:val="008D053A"/>
    <w:rsid w:val="008D05CE"/>
    <w:rsid w:val="008D0772"/>
    <w:rsid w:val="008D15F2"/>
    <w:rsid w:val="008D15FB"/>
    <w:rsid w:val="008D30CA"/>
    <w:rsid w:val="008D3714"/>
    <w:rsid w:val="008D3D9D"/>
    <w:rsid w:val="008D406F"/>
    <w:rsid w:val="008D60E6"/>
    <w:rsid w:val="008E1F8D"/>
    <w:rsid w:val="008E22AA"/>
    <w:rsid w:val="008E4BD9"/>
    <w:rsid w:val="008E4D4E"/>
    <w:rsid w:val="008E4E82"/>
    <w:rsid w:val="008E4FCB"/>
    <w:rsid w:val="008E57D6"/>
    <w:rsid w:val="008E6346"/>
    <w:rsid w:val="008E6AA5"/>
    <w:rsid w:val="008E6FCC"/>
    <w:rsid w:val="008E717B"/>
    <w:rsid w:val="008E73DE"/>
    <w:rsid w:val="008E7582"/>
    <w:rsid w:val="008E7FB8"/>
    <w:rsid w:val="008F0B3B"/>
    <w:rsid w:val="008F1D8B"/>
    <w:rsid w:val="008F2075"/>
    <w:rsid w:val="008F3539"/>
    <w:rsid w:val="008F3732"/>
    <w:rsid w:val="008F3DFD"/>
    <w:rsid w:val="008F5D21"/>
    <w:rsid w:val="008F5DED"/>
    <w:rsid w:val="008F61F8"/>
    <w:rsid w:val="008F6294"/>
    <w:rsid w:val="008F62F5"/>
    <w:rsid w:val="008F6BCF"/>
    <w:rsid w:val="008F7D3C"/>
    <w:rsid w:val="009011D7"/>
    <w:rsid w:val="009021C7"/>
    <w:rsid w:val="009027CE"/>
    <w:rsid w:val="00902A2F"/>
    <w:rsid w:val="00902DAE"/>
    <w:rsid w:val="0090361F"/>
    <w:rsid w:val="00903E9C"/>
    <w:rsid w:val="00903FE6"/>
    <w:rsid w:val="00905611"/>
    <w:rsid w:val="009109B3"/>
    <w:rsid w:val="00910DA2"/>
    <w:rsid w:val="00912675"/>
    <w:rsid w:val="0091275F"/>
    <w:rsid w:val="00912ADC"/>
    <w:rsid w:val="00913670"/>
    <w:rsid w:val="00914BEF"/>
    <w:rsid w:val="00915901"/>
    <w:rsid w:val="009159F6"/>
    <w:rsid w:val="00915A50"/>
    <w:rsid w:val="00915B76"/>
    <w:rsid w:val="00916005"/>
    <w:rsid w:val="00916A3E"/>
    <w:rsid w:val="009170AE"/>
    <w:rsid w:val="00920C5F"/>
    <w:rsid w:val="00922852"/>
    <w:rsid w:val="00923571"/>
    <w:rsid w:val="00923B19"/>
    <w:rsid w:val="00923C0E"/>
    <w:rsid w:val="009252C7"/>
    <w:rsid w:val="00926AF3"/>
    <w:rsid w:val="00930C33"/>
    <w:rsid w:val="00931788"/>
    <w:rsid w:val="00931875"/>
    <w:rsid w:val="00933938"/>
    <w:rsid w:val="00933EC5"/>
    <w:rsid w:val="00936150"/>
    <w:rsid w:val="00936A87"/>
    <w:rsid w:val="0093779A"/>
    <w:rsid w:val="00937D49"/>
    <w:rsid w:val="00937FA9"/>
    <w:rsid w:val="00937FC2"/>
    <w:rsid w:val="00941733"/>
    <w:rsid w:val="00941E43"/>
    <w:rsid w:val="00941E7A"/>
    <w:rsid w:val="00942039"/>
    <w:rsid w:val="00942830"/>
    <w:rsid w:val="009437DC"/>
    <w:rsid w:val="00943BD4"/>
    <w:rsid w:val="00944680"/>
    <w:rsid w:val="00946083"/>
    <w:rsid w:val="009460D5"/>
    <w:rsid w:val="009469E0"/>
    <w:rsid w:val="00946CA9"/>
    <w:rsid w:val="00946DFC"/>
    <w:rsid w:val="00947122"/>
    <w:rsid w:val="009501BC"/>
    <w:rsid w:val="00950775"/>
    <w:rsid w:val="009507BE"/>
    <w:rsid w:val="009526ED"/>
    <w:rsid w:val="00952916"/>
    <w:rsid w:val="00952DB7"/>
    <w:rsid w:val="00953F88"/>
    <w:rsid w:val="009549EB"/>
    <w:rsid w:val="00955E5E"/>
    <w:rsid w:val="0095697A"/>
    <w:rsid w:val="00956D79"/>
    <w:rsid w:val="0095724E"/>
    <w:rsid w:val="009572F4"/>
    <w:rsid w:val="00957643"/>
    <w:rsid w:val="00957C81"/>
    <w:rsid w:val="0096166B"/>
    <w:rsid w:val="009628F3"/>
    <w:rsid w:val="009636B1"/>
    <w:rsid w:val="00963789"/>
    <w:rsid w:val="00963820"/>
    <w:rsid w:val="009641C8"/>
    <w:rsid w:val="00964800"/>
    <w:rsid w:val="00964E16"/>
    <w:rsid w:val="009654DB"/>
    <w:rsid w:val="0096584C"/>
    <w:rsid w:val="00965E27"/>
    <w:rsid w:val="00966AA4"/>
    <w:rsid w:val="00970BC3"/>
    <w:rsid w:val="00970C8D"/>
    <w:rsid w:val="00971447"/>
    <w:rsid w:val="009726CA"/>
    <w:rsid w:val="00973349"/>
    <w:rsid w:val="00974E22"/>
    <w:rsid w:val="00975290"/>
    <w:rsid w:val="009752AD"/>
    <w:rsid w:val="009753B0"/>
    <w:rsid w:val="0097567C"/>
    <w:rsid w:val="00975FFF"/>
    <w:rsid w:val="009762A1"/>
    <w:rsid w:val="00976D73"/>
    <w:rsid w:val="00977842"/>
    <w:rsid w:val="00977A9A"/>
    <w:rsid w:val="009802EB"/>
    <w:rsid w:val="009806F9"/>
    <w:rsid w:val="00980D9C"/>
    <w:rsid w:val="00981895"/>
    <w:rsid w:val="00981C77"/>
    <w:rsid w:val="009827FE"/>
    <w:rsid w:val="00983069"/>
    <w:rsid w:val="0098327C"/>
    <w:rsid w:val="009835F3"/>
    <w:rsid w:val="009837EE"/>
    <w:rsid w:val="0098401B"/>
    <w:rsid w:val="0098444C"/>
    <w:rsid w:val="0098461D"/>
    <w:rsid w:val="0098485F"/>
    <w:rsid w:val="00984B94"/>
    <w:rsid w:val="009858FD"/>
    <w:rsid w:val="00985ED0"/>
    <w:rsid w:val="00986005"/>
    <w:rsid w:val="009860D8"/>
    <w:rsid w:val="009861EB"/>
    <w:rsid w:val="00986B5C"/>
    <w:rsid w:val="00987CC2"/>
    <w:rsid w:val="00990137"/>
    <w:rsid w:val="00991118"/>
    <w:rsid w:val="0099119D"/>
    <w:rsid w:val="009911A0"/>
    <w:rsid w:val="0099135B"/>
    <w:rsid w:val="00992AC7"/>
    <w:rsid w:val="0099398C"/>
    <w:rsid w:val="00993E17"/>
    <w:rsid w:val="00993FF5"/>
    <w:rsid w:val="0099499C"/>
    <w:rsid w:val="009949FF"/>
    <w:rsid w:val="009951DD"/>
    <w:rsid w:val="0099547F"/>
    <w:rsid w:val="0099650F"/>
    <w:rsid w:val="009966CD"/>
    <w:rsid w:val="00996C37"/>
    <w:rsid w:val="00996E98"/>
    <w:rsid w:val="00997299"/>
    <w:rsid w:val="009A01F1"/>
    <w:rsid w:val="009A0F4B"/>
    <w:rsid w:val="009A1598"/>
    <w:rsid w:val="009A2257"/>
    <w:rsid w:val="009A23CC"/>
    <w:rsid w:val="009A2F7A"/>
    <w:rsid w:val="009A3290"/>
    <w:rsid w:val="009A37DE"/>
    <w:rsid w:val="009A39D3"/>
    <w:rsid w:val="009A3CE7"/>
    <w:rsid w:val="009A41D3"/>
    <w:rsid w:val="009A45A8"/>
    <w:rsid w:val="009A600F"/>
    <w:rsid w:val="009A7E76"/>
    <w:rsid w:val="009B1247"/>
    <w:rsid w:val="009B2567"/>
    <w:rsid w:val="009B26CA"/>
    <w:rsid w:val="009B3050"/>
    <w:rsid w:val="009B390D"/>
    <w:rsid w:val="009B4504"/>
    <w:rsid w:val="009B4A67"/>
    <w:rsid w:val="009B4E7E"/>
    <w:rsid w:val="009B70A2"/>
    <w:rsid w:val="009B7B48"/>
    <w:rsid w:val="009C004F"/>
    <w:rsid w:val="009C026A"/>
    <w:rsid w:val="009C0536"/>
    <w:rsid w:val="009C096B"/>
    <w:rsid w:val="009C0BF2"/>
    <w:rsid w:val="009C0D17"/>
    <w:rsid w:val="009C0E5A"/>
    <w:rsid w:val="009C1AAB"/>
    <w:rsid w:val="009C1BA5"/>
    <w:rsid w:val="009C1C85"/>
    <w:rsid w:val="009C28F4"/>
    <w:rsid w:val="009C306A"/>
    <w:rsid w:val="009C4BE1"/>
    <w:rsid w:val="009C57B8"/>
    <w:rsid w:val="009C5CBA"/>
    <w:rsid w:val="009C5D14"/>
    <w:rsid w:val="009C6D80"/>
    <w:rsid w:val="009C7071"/>
    <w:rsid w:val="009D0363"/>
    <w:rsid w:val="009D0FD9"/>
    <w:rsid w:val="009D116A"/>
    <w:rsid w:val="009D23F3"/>
    <w:rsid w:val="009D25F3"/>
    <w:rsid w:val="009D28CB"/>
    <w:rsid w:val="009D2F0C"/>
    <w:rsid w:val="009D2FCB"/>
    <w:rsid w:val="009D3A12"/>
    <w:rsid w:val="009D52AD"/>
    <w:rsid w:val="009D552D"/>
    <w:rsid w:val="009D5F22"/>
    <w:rsid w:val="009D6542"/>
    <w:rsid w:val="009D6BD6"/>
    <w:rsid w:val="009D6FA2"/>
    <w:rsid w:val="009D70CB"/>
    <w:rsid w:val="009D72FB"/>
    <w:rsid w:val="009D79E9"/>
    <w:rsid w:val="009D7D85"/>
    <w:rsid w:val="009E076C"/>
    <w:rsid w:val="009E0A7E"/>
    <w:rsid w:val="009E14A0"/>
    <w:rsid w:val="009E1638"/>
    <w:rsid w:val="009E169E"/>
    <w:rsid w:val="009E18D1"/>
    <w:rsid w:val="009E1C85"/>
    <w:rsid w:val="009E2F1C"/>
    <w:rsid w:val="009E3947"/>
    <w:rsid w:val="009E3CF4"/>
    <w:rsid w:val="009E41A7"/>
    <w:rsid w:val="009E44F1"/>
    <w:rsid w:val="009E52AD"/>
    <w:rsid w:val="009E57A9"/>
    <w:rsid w:val="009E595D"/>
    <w:rsid w:val="009E64B3"/>
    <w:rsid w:val="009E7861"/>
    <w:rsid w:val="009F00F4"/>
    <w:rsid w:val="009F0497"/>
    <w:rsid w:val="009F06D9"/>
    <w:rsid w:val="009F0890"/>
    <w:rsid w:val="009F1000"/>
    <w:rsid w:val="009F114B"/>
    <w:rsid w:val="009F11FD"/>
    <w:rsid w:val="009F1422"/>
    <w:rsid w:val="009F15D2"/>
    <w:rsid w:val="009F1738"/>
    <w:rsid w:val="009F228B"/>
    <w:rsid w:val="009F27F8"/>
    <w:rsid w:val="009F2D80"/>
    <w:rsid w:val="009F3C69"/>
    <w:rsid w:val="009F3F82"/>
    <w:rsid w:val="009F42D5"/>
    <w:rsid w:val="009F4F4E"/>
    <w:rsid w:val="009F54B6"/>
    <w:rsid w:val="009F783F"/>
    <w:rsid w:val="009F7A01"/>
    <w:rsid w:val="009F7D30"/>
    <w:rsid w:val="00A0030A"/>
    <w:rsid w:val="00A01520"/>
    <w:rsid w:val="00A0207D"/>
    <w:rsid w:val="00A024E5"/>
    <w:rsid w:val="00A030C5"/>
    <w:rsid w:val="00A039B7"/>
    <w:rsid w:val="00A04919"/>
    <w:rsid w:val="00A04978"/>
    <w:rsid w:val="00A05764"/>
    <w:rsid w:val="00A059E0"/>
    <w:rsid w:val="00A05E1A"/>
    <w:rsid w:val="00A06257"/>
    <w:rsid w:val="00A06669"/>
    <w:rsid w:val="00A06945"/>
    <w:rsid w:val="00A06AA7"/>
    <w:rsid w:val="00A06ACF"/>
    <w:rsid w:val="00A07000"/>
    <w:rsid w:val="00A0742C"/>
    <w:rsid w:val="00A10A60"/>
    <w:rsid w:val="00A10C41"/>
    <w:rsid w:val="00A110F3"/>
    <w:rsid w:val="00A110FA"/>
    <w:rsid w:val="00A119AF"/>
    <w:rsid w:val="00A11C3C"/>
    <w:rsid w:val="00A12F8E"/>
    <w:rsid w:val="00A1334C"/>
    <w:rsid w:val="00A13F67"/>
    <w:rsid w:val="00A14F42"/>
    <w:rsid w:val="00A15499"/>
    <w:rsid w:val="00A15E38"/>
    <w:rsid w:val="00A16579"/>
    <w:rsid w:val="00A16885"/>
    <w:rsid w:val="00A20CBE"/>
    <w:rsid w:val="00A20E32"/>
    <w:rsid w:val="00A20EC7"/>
    <w:rsid w:val="00A21111"/>
    <w:rsid w:val="00A22D70"/>
    <w:rsid w:val="00A22E91"/>
    <w:rsid w:val="00A25DBA"/>
    <w:rsid w:val="00A2634D"/>
    <w:rsid w:val="00A3178E"/>
    <w:rsid w:val="00A31C30"/>
    <w:rsid w:val="00A32BBD"/>
    <w:rsid w:val="00A33074"/>
    <w:rsid w:val="00A331F1"/>
    <w:rsid w:val="00A33450"/>
    <w:rsid w:val="00A338DD"/>
    <w:rsid w:val="00A33AC1"/>
    <w:rsid w:val="00A3556C"/>
    <w:rsid w:val="00A35E69"/>
    <w:rsid w:val="00A3633B"/>
    <w:rsid w:val="00A3697F"/>
    <w:rsid w:val="00A37AEB"/>
    <w:rsid w:val="00A37D10"/>
    <w:rsid w:val="00A409C9"/>
    <w:rsid w:val="00A40F58"/>
    <w:rsid w:val="00A43780"/>
    <w:rsid w:val="00A43C99"/>
    <w:rsid w:val="00A449E8"/>
    <w:rsid w:val="00A454BF"/>
    <w:rsid w:val="00A454EF"/>
    <w:rsid w:val="00A4569C"/>
    <w:rsid w:val="00A4571F"/>
    <w:rsid w:val="00A466D4"/>
    <w:rsid w:val="00A4790F"/>
    <w:rsid w:val="00A47AD7"/>
    <w:rsid w:val="00A50D40"/>
    <w:rsid w:val="00A517AE"/>
    <w:rsid w:val="00A5263C"/>
    <w:rsid w:val="00A526B4"/>
    <w:rsid w:val="00A53DB5"/>
    <w:rsid w:val="00A542F1"/>
    <w:rsid w:val="00A55A1B"/>
    <w:rsid w:val="00A55E97"/>
    <w:rsid w:val="00A55FFD"/>
    <w:rsid w:val="00A56318"/>
    <w:rsid w:val="00A56457"/>
    <w:rsid w:val="00A56A07"/>
    <w:rsid w:val="00A57272"/>
    <w:rsid w:val="00A60756"/>
    <w:rsid w:val="00A60A9F"/>
    <w:rsid w:val="00A60B87"/>
    <w:rsid w:val="00A61643"/>
    <w:rsid w:val="00A6175A"/>
    <w:rsid w:val="00A61DFE"/>
    <w:rsid w:val="00A62B52"/>
    <w:rsid w:val="00A6311A"/>
    <w:rsid w:val="00A648E6"/>
    <w:rsid w:val="00A65C12"/>
    <w:rsid w:val="00A65C31"/>
    <w:rsid w:val="00A6608D"/>
    <w:rsid w:val="00A66C24"/>
    <w:rsid w:val="00A66CBE"/>
    <w:rsid w:val="00A7054D"/>
    <w:rsid w:val="00A708F7"/>
    <w:rsid w:val="00A70C05"/>
    <w:rsid w:val="00A71277"/>
    <w:rsid w:val="00A7127B"/>
    <w:rsid w:val="00A71FF8"/>
    <w:rsid w:val="00A72936"/>
    <w:rsid w:val="00A73A84"/>
    <w:rsid w:val="00A73D15"/>
    <w:rsid w:val="00A744F9"/>
    <w:rsid w:val="00A7472A"/>
    <w:rsid w:val="00A748CD"/>
    <w:rsid w:val="00A74BF4"/>
    <w:rsid w:val="00A74D19"/>
    <w:rsid w:val="00A75A81"/>
    <w:rsid w:val="00A764E9"/>
    <w:rsid w:val="00A777BC"/>
    <w:rsid w:val="00A82F69"/>
    <w:rsid w:val="00A835B9"/>
    <w:rsid w:val="00A83AF8"/>
    <w:rsid w:val="00A83F6E"/>
    <w:rsid w:val="00A8407D"/>
    <w:rsid w:val="00A849EB"/>
    <w:rsid w:val="00A853BF"/>
    <w:rsid w:val="00A870F9"/>
    <w:rsid w:val="00A87554"/>
    <w:rsid w:val="00A90236"/>
    <w:rsid w:val="00A90477"/>
    <w:rsid w:val="00A9104E"/>
    <w:rsid w:val="00A91F05"/>
    <w:rsid w:val="00A921DA"/>
    <w:rsid w:val="00A9240E"/>
    <w:rsid w:val="00A92A87"/>
    <w:rsid w:val="00A93BBB"/>
    <w:rsid w:val="00A94C12"/>
    <w:rsid w:val="00A95F2F"/>
    <w:rsid w:val="00A96C90"/>
    <w:rsid w:val="00A96EFA"/>
    <w:rsid w:val="00A96F3E"/>
    <w:rsid w:val="00A97DE6"/>
    <w:rsid w:val="00AA0012"/>
    <w:rsid w:val="00AA03ED"/>
    <w:rsid w:val="00AA062C"/>
    <w:rsid w:val="00AA0992"/>
    <w:rsid w:val="00AA0ACC"/>
    <w:rsid w:val="00AA1EE2"/>
    <w:rsid w:val="00AA3151"/>
    <w:rsid w:val="00AA31E6"/>
    <w:rsid w:val="00AA3226"/>
    <w:rsid w:val="00AA46B8"/>
    <w:rsid w:val="00AA4DD0"/>
    <w:rsid w:val="00AA55CD"/>
    <w:rsid w:val="00AA74A6"/>
    <w:rsid w:val="00AA780B"/>
    <w:rsid w:val="00AA7DF9"/>
    <w:rsid w:val="00AB0194"/>
    <w:rsid w:val="00AB13EE"/>
    <w:rsid w:val="00AB1497"/>
    <w:rsid w:val="00AB1FDA"/>
    <w:rsid w:val="00AB28E9"/>
    <w:rsid w:val="00AB317D"/>
    <w:rsid w:val="00AB34E7"/>
    <w:rsid w:val="00AB3596"/>
    <w:rsid w:val="00AB45DF"/>
    <w:rsid w:val="00AB4769"/>
    <w:rsid w:val="00AB4F81"/>
    <w:rsid w:val="00AB549B"/>
    <w:rsid w:val="00AB5980"/>
    <w:rsid w:val="00AB5F81"/>
    <w:rsid w:val="00AB6376"/>
    <w:rsid w:val="00AB794B"/>
    <w:rsid w:val="00AB7D3B"/>
    <w:rsid w:val="00AC1CD4"/>
    <w:rsid w:val="00AC29FC"/>
    <w:rsid w:val="00AC2AC0"/>
    <w:rsid w:val="00AC2F96"/>
    <w:rsid w:val="00AC3111"/>
    <w:rsid w:val="00AC32BC"/>
    <w:rsid w:val="00AC3B22"/>
    <w:rsid w:val="00AC3BBF"/>
    <w:rsid w:val="00AC46A4"/>
    <w:rsid w:val="00AC5078"/>
    <w:rsid w:val="00AC50E6"/>
    <w:rsid w:val="00AC52B4"/>
    <w:rsid w:val="00AC536E"/>
    <w:rsid w:val="00AC5EAD"/>
    <w:rsid w:val="00AC5F32"/>
    <w:rsid w:val="00AC6A76"/>
    <w:rsid w:val="00AC6BC1"/>
    <w:rsid w:val="00AC77B2"/>
    <w:rsid w:val="00AD0384"/>
    <w:rsid w:val="00AD03C2"/>
    <w:rsid w:val="00AD0F1C"/>
    <w:rsid w:val="00AD1281"/>
    <w:rsid w:val="00AD1880"/>
    <w:rsid w:val="00AD1D5A"/>
    <w:rsid w:val="00AD1DA4"/>
    <w:rsid w:val="00AD1ED4"/>
    <w:rsid w:val="00AD20B6"/>
    <w:rsid w:val="00AD2C8B"/>
    <w:rsid w:val="00AD3CF8"/>
    <w:rsid w:val="00AD3F42"/>
    <w:rsid w:val="00AD4976"/>
    <w:rsid w:val="00AD4A31"/>
    <w:rsid w:val="00AD6557"/>
    <w:rsid w:val="00AD66EB"/>
    <w:rsid w:val="00AD7CB3"/>
    <w:rsid w:val="00AE06DA"/>
    <w:rsid w:val="00AE0849"/>
    <w:rsid w:val="00AE0E99"/>
    <w:rsid w:val="00AE1BD2"/>
    <w:rsid w:val="00AE1F23"/>
    <w:rsid w:val="00AE2019"/>
    <w:rsid w:val="00AE247C"/>
    <w:rsid w:val="00AE2D1D"/>
    <w:rsid w:val="00AE358C"/>
    <w:rsid w:val="00AE3B81"/>
    <w:rsid w:val="00AE3E36"/>
    <w:rsid w:val="00AE40F9"/>
    <w:rsid w:val="00AE4472"/>
    <w:rsid w:val="00AE4503"/>
    <w:rsid w:val="00AE4860"/>
    <w:rsid w:val="00AE5941"/>
    <w:rsid w:val="00AE6AB0"/>
    <w:rsid w:val="00AE6F26"/>
    <w:rsid w:val="00AE708D"/>
    <w:rsid w:val="00AE745F"/>
    <w:rsid w:val="00AE76AE"/>
    <w:rsid w:val="00AF03B4"/>
    <w:rsid w:val="00AF2DA5"/>
    <w:rsid w:val="00AF2DAF"/>
    <w:rsid w:val="00AF30D8"/>
    <w:rsid w:val="00AF5BE7"/>
    <w:rsid w:val="00AF63E1"/>
    <w:rsid w:val="00AF6685"/>
    <w:rsid w:val="00AF6F3F"/>
    <w:rsid w:val="00AF7007"/>
    <w:rsid w:val="00AF7992"/>
    <w:rsid w:val="00B0114A"/>
    <w:rsid w:val="00B02670"/>
    <w:rsid w:val="00B02B13"/>
    <w:rsid w:val="00B03492"/>
    <w:rsid w:val="00B0375F"/>
    <w:rsid w:val="00B038F4"/>
    <w:rsid w:val="00B03BFB"/>
    <w:rsid w:val="00B03C15"/>
    <w:rsid w:val="00B03D7E"/>
    <w:rsid w:val="00B04190"/>
    <w:rsid w:val="00B0497C"/>
    <w:rsid w:val="00B04FA3"/>
    <w:rsid w:val="00B054A9"/>
    <w:rsid w:val="00B05928"/>
    <w:rsid w:val="00B0694F"/>
    <w:rsid w:val="00B070C2"/>
    <w:rsid w:val="00B073B6"/>
    <w:rsid w:val="00B10211"/>
    <w:rsid w:val="00B10615"/>
    <w:rsid w:val="00B108CD"/>
    <w:rsid w:val="00B10A86"/>
    <w:rsid w:val="00B10F4C"/>
    <w:rsid w:val="00B11636"/>
    <w:rsid w:val="00B11A5E"/>
    <w:rsid w:val="00B11A63"/>
    <w:rsid w:val="00B122C1"/>
    <w:rsid w:val="00B12708"/>
    <w:rsid w:val="00B14111"/>
    <w:rsid w:val="00B14A55"/>
    <w:rsid w:val="00B14D22"/>
    <w:rsid w:val="00B15933"/>
    <w:rsid w:val="00B16090"/>
    <w:rsid w:val="00B16F76"/>
    <w:rsid w:val="00B174BC"/>
    <w:rsid w:val="00B1791F"/>
    <w:rsid w:val="00B17922"/>
    <w:rsid w:val="00B17D53"/>
    <w:rsid w:val="00B17F31"/>
    <w:rsid w:val="00B20085"/>
    <w:rsid w:val="00B214F5"/>
    <w:rsid w:val="00B221CB"/>
    <w:rsid w:val="00B229C9"/>
    <w:rsid w:val="00B22F8A"/>
    <w:rsid w:val="00B22FE1"/>
    <w:rsid w:val="00B23C9D"/>
    <w:rsid w:val="00B243AE"/>
    <w:rsid w:val="00B246B7"/>
    <w:rsid w:val="00B25F41"/>
    <w:rsid w:val="00B26016"/>
    <w:rsid w:val="00B261E1"/>
    <w:rsid w:val="00B264B1"/>
    <w:rsid w:val="00B2663F"/>
    <w:rsid w:val="00B26D1E"/>
    <w:rsid w:val="00B26DF1"/>
    <w:rsid w:val="00B27237"/>
    <w:rsid w:val="00B27426"/>
    <w:rsid w:val="00B27D8A"/>
    <w:rsid w:val="00B27FDE"/>
    <w:rsid w:val="00B30269"/>
    <w:rsid w:val="00B31B60"/>
    <w:rsid w:val="00B3227B"/>
    <w:rsid w:val="00B32742"/>
    <w:rsid w:val="00B32EA0"/>
    <w:rsid w:val="00B340FD"/>
    <w:rsid w:val="00B341D3"/>
    <w:rsid w:val="00B347EE"/>
    <w:rsid w:val="00B350A7"/>
    <w:rsid w:val="00B3555C"/>
    <w:rsid w:val="00B3666D"/>
    <w:rsid w:val="00B366B5"/>
    <w:rsid w:val="00B36706"/>
    <w:rsid w:val="00B37725"/>
    <w:rsid w:val="00B42759"/>
    <w:rsid w:val="00B4292E"/>
    <w:rsid w:val="00B43AF2"/>
    <w:rsid w:val="00B5027A"/>
    <w:rsid w:val="00B50C03"/>
    <w:rsid w:val="00B514BC"/>
    <w:rsid w:val="00B516A0"/>
    <w:rsid w:val="00B51D94"/>
    <w:rsid w:val="00B51F62"/>
    <w:rsid w:val="00B5256B"/>
    <w:rsid w:val="00B52FD5"/>
    <w:rsid w:val="00B53006"/>
    <w:rsid w:val="00B53228"/>
    <w:rsid w:val="00B53A72"/>
    <w:rsid w:val="00B54500"/>
    <w:rsid w:val="00B55216"/>
    <w:rsid w:val="00B564DA"/>
    <w:rsid w:val="00B564FB"/>
    <w:rsid w:val="00B568BD"/>
    <w:rsid w:val="00B56B4B"/>
    <w:rsid w:val="00B56C2D"/>
    <w:rsid w:val="00B5720A"/>
    <w:rsid w:val="00B5723A"/>
    <w:rsid w:val="00B6023B"/>
    <w:rsid w:val="00B6076B"/>
    <w:rsid w:val="00B612D3"/>
    <w:rsid w:val="00B62800"/>
    <w:rsid w:val="00B63B69"/>
    <w:rsid w:val="00B63F25"/>
    <w:rsid w:val="00B6486D"/>
    <w:rsid w:val="00B65253"/>
    <w:rsid w:val="00B65819"/>
    <w:rsid w:val="00B65E77"/>
    <w:rsid w:val="00B660D2"/>
    <w:rsid w:val="00B66189"/>
    <w:rsid w:val="00B66455"/>
    <w:rsid w:val="00B664EB"/>
    <w:rsid w:val="00B666C2"/>
    <w:rsid w:val="00B66752"/>
    <w:rsid w:val="00B66AA8"/>
    <w:rsid w:val="00B67FE8"/>
    <w:rsid w:val="00B71261"/>
    <w:rsid w:val="00B72C7D"/>
    <w:rsid w:val="00B73618"/>
    <w:rsid w:val="00B73BD1"/>
    <w:rsid w:val="00B73E6B"/>
    <w:rsid w:val="00B73F1E"/>
    <w:rsid w:val="00B740CE"/>
    <w:rsid w:val="00B748EA"/>
    <w:rsid w:val="00B74E53"/>
    <w:rsid w:val="00B75C29"/>
    <w:rsid w:val="00B75DBE"/>
    <w:rsid w:val="00B761B7"/>
    <w:rsid w:val="00B7666D"/>
    <w:rsid w:val="00B76719"/>
    <w:rsid w:val="00B76B81"/>
    <w:rsid w:val="00B76BFE"/>
    <w:rsid w:val="00B773CA"/>
    <w:rsid w:val="00B802F9"/>
    <w:rsid w:val="00B80AF7"/>
    <w:rsid w:val="00B80D42"/>
    <w:rsid w:val="00B81D5E"/>
    <w:rsid w:val="00B81E2D"/>
    <w:rsid w:val="00B81EC5"/>
    <w:rsid w:val="00B82292"/>
    <w:rsid w:val="00B823D8"/>
    <w:rsid w:val="00B83293"/>
    <w:rsid w:val="00B83DD6"/>
    <w:rsid w:val="00B8449E"/>
    <w:rsid w:val="00B85C52"/>
    <w:rsid w:val="00B877EE"/>
    <w:rsid w:val="00B87CEA"/>
    <w:rsid w:val="00B9097A"/>
    <w:rsid w:val="00B90CA8"/>
    <w:rsid w:val="00B93760"/>
    <w:rsid w:val="00B93838"/>
    <w:rsid w:val="00B93EAA"/>
    <w:rsid w:val="00B93FC7"/>
    <w:rsid w:val="00B941B1"/>
    <w:rsid w:val="00B947E2"/>
    <w:rsid w:val="00B94884"/>
    <w:rsid w:val="00B95BC2"/>
    <w:rsid w:val="00B96E80"/>
    <w:rsid w:val="00BA1362"/>
    <w:rsid w:val="00BA1F1A"/>
    <w:rsid w:val="00BA472E"/>
    <w:rsid w:val="00BA487A"/>
    <w:rsid w:val="00BA567C"/>
    <w:rsid w:val="00BA60CD"/>
    <w:rsid w:val="00BA660D"/>
    <w:rsid w:val="00BA66AC"/>
    <w:rsid w:val="00BA6E45"/>
    <w:rsid w:val="00BA745D"/>
    <w:rsid w:val="00BA7613"/>
    <w:rsid w:val="00BA7761"/>
    <w:rsid w:val="00BA7C21"/>
    <w:rsid w:val="00BB023D"/>
    <w:rsid w:val="00BB0594"/>
    <w:rsid w:val="00BB275B"/>
    <w:rsid w:val="00BB2977"/>
    <w:rsid w:val="00BB33FB"/>
    <w:rsid w:val="00BB3A04"/>
    <w:rsid w:val="00BB46A2"/>
    <w:rsid w:val="00BB4726"/>
    <w:rsid w:val="00BB4750"/>
    <w:rsid w:val="00BB5026"/>
    <w:rsid w:val="00BB53F8"/>
    <w:rsid w:val="00BB559E"/>
    <w:rsid w:val="00BB5EC5"/>
    <w:rsid w:val="00BB631B"/>
    <w:rsid w:val="00BB7A9A"/>
    <w:rsid w:val="00BC023C"/>
    <w:rsid w:val="00BC02E4"/>
    <w:rsid w:val="00BC08FB"/>
    <w:rsid w:val="00BC27C5"/>
    <w:rsid w:val="00BC3477"/>
    <w:rsid w:val="00BC36EA"/>
    <w:rsid w:val="00BC3AA4"/>
    <w:rsid w:val="00BC3B3D"/>
    <w:rsid w:val="00BC4076"/>
    <w:rsid w:val="00BC4C9E"/>
    <w:rsid w:val="00BC4DF8"/>
    <w:rsid w:val="00BC4FB8"/>
    <w:rsid w:val="00BC50A9"/>
    <w:rsid w:val="00BC63C2"/>
    <w:rsid w:val="00BC7A91"/>
    <w:rsid w:val="00BC7DC9"/>
    <w:rsid w:val="00BD0F5D"/>
    <w:rsid w:val="00BD16F8"/>
    <w:rsid w:val="00BD1B85"/>
    <w:rsid w:val="00BD1CA8"/>
    <w:rsid w:val="00BD211E"/>
    <w:rsid w:val="00BD33DD"/>
    <w:rsid w:val="00BD4079"/>
    <w:rsid w:val="00BD4CC4"/>
    <w:rsid w:val="00BD52DE"/>
    <w:rsid w:val="00BD5783"/>
    <w:rsid w:val="00BD590D"/>
    <w:rsid w:val="00BD5ABE"/>
    <w:rsid w:val="00BD5DB2"/>
    <w:rsid w:val="00BD5E2A"/>
    <w:rsid w:val="00BD5E42"/>
    <w:rsid w:val="00BD605A"/>
    <w:rsid w:val="00BD68E9"/>
    <w:rsid w:val="00BE0F09"/>
    <w:rsid w:val="00BE165A"/>
    <w:rsid w:val="00BE16E8"/>
    <w:rsid w:val="00BE2321"/>
    <w:rsid w:val="00BE25EB"/>
    <w:rsid w:val="00BE2ADF"/>
    <w:rsid w:val="00BE2E28"/>
    <w:rsid w:val="00BE2E2F"/>
    <w:rsid w:val="00BE3250"/>
    <w:rsid w:val="00BE331D"/>
    <w:rsid w:val="00BE43D8"/>
    <w:rsid w:val="00BE4D86"/>
    <w:rsid w:val="00BE57B3"/>
    <w:rsid w:val="00BE6694"/>
    <w:rsid w:val="00BE7B0A"/>
    <w:rsid w:val="00BE7CDF"/>
    <w:rsid w:val="00BF012B"/>
    <w:rsid w:val="00BF06B6"/>
    <w:rsid w:val="00BF1901"/>
    <w:rsid w:val="00BF1A8C"/>
    <w:rsid w:val="00BF22B6"/>
    <w:rsid w:val="00BF34EB"/>
    <w:rsid w:val="00BF38B5"/>
    <w:rsid w:val="00BF43C4"/>
    <w:rsid w:val="00BF4749"/>
    <w:rsid w:val="00BF5D6D"/>
    <w:rsid w:val="00BF63FB"/>
    <w:rsid w:val="00BF659F"/>
    <w:rsid w:val="00BF6721"/>
    <w:rsid w:val="00BF770E"/>
    <w:rsid w:val="00C002EC"/>
    <w:rsid w:val="00C004B8"/>
    <w:rsid w:val="00C00AB3"/>
    <w:rsid w:val="00C00F36"/>
    <w:rsid w:val="00C020E8"/>
    <w:rsid w:val="00C02CAE"/>
    <w:rsid w:val="00C043D5"/>
    <w:rsid w:val="00C04617"/>
    <w:rsid w:val="00C04732"/>
    <w:rsid w:val="00C049A8"/>
    <w:rsid w:val="00C061E3"/>
    <w:rsid w:val="00C06387"/>
    <w:rsid w:val="00C06833"/>
    <w:rsid w:val="00C07191"/>
    <w:rsid w:val="00C07FAF"/>
    <w:rsid w:val="00C10619"/>
    <w:rsid w:val="00C11F5F"/>
    <w:rsid w:val="00C124F9"/>
    <w:rsid w:val="00C15145"/>
    <w:rsid w:val="00C17749"/>
    <w:rsid w:val="00C17D41"/>
    <w:rsid w:val="00C17F4E"/>
    <w:rsid w:val="00C20808"/>
    <w:rsid w:val="00C20D51"/>
    <w:rsid w:val="00C20EDA"/>
    <w:rsid w:val="00C2214A"/>
    <w:rsid w:val="00C226F3"/>
    <w:rsid w:val="00C22BA5"/>
    <w:rsid w:val="00C2418E"/>
    <w:rsid w:val="00C24855"/>
    <w:rsid w:val="00C24DB0"/>
    <w:rsid w:val="00C25393"/>
    <w:rsid w:val="00C25595"/>
    <w:rsid w:val="00C25EE7"/>
    <w:rsid w:val="00C303E3"/>
    <w:rsid w:val="00C306E7"/>
    <w:rsid w:val="00C3107D"/>
    <w:rsid w:val="00C3165F"/>
    <w:rsid w:val="00C31DDC"/>
    <w:rsid w:val="00C32058"/>
    <w:rsid w:val="00C3272E"/>
    <w:rsid w:val="00C32FD8"/>
    <w:rsid w:val="00C3303E"/>
    <w:rsid w:val="00C344F2"/>
    <w:rsid w:val="00C347EB"/>
    <w:rsid w:val="00C353FF"/>
    <w:rsid w:val="00C35D44"/>
    <w:rsid w:val="00C366D2"/>
    <w:rsid w:val="00C37624"/>
    <w:rsid w:val="00C400C4"/>
    <w:rsid w:val="00C40A45"/>
    <w:rsid w:val="00C41844"/>
    <w:rsid w:val="00C42606"/>
    <w:rsid w:val="00C4272F"/>
    <w:rsid w:val="00C43289"/>
    <w:rsid w:val="00C43982"/>
    <w:rsid w:val="00C43A55"/>
    <w:rsid w:val="00C44116"/>
    <w:rsid w:val="00C445D9"/>
    <w:rsid w:val="00C44997"/>
    <w:rsid w:val="00C44C17"/>
    <w:rsid w:val="00C45105"/>
    <w:rsid w:val="00C45802"/>
    <w:rsid w:val="00C45993"/>
    <w:rsid w:val="00C4624C"/>
    <w:rsid w:val="00C47D21"/>
    <w:rsid w:val="00C51CD5"/>
    <w:rsid w:val="00C52C0C"/>
    <w:rsid w:val="00C52D77"/>
    <w:rsid w:val="00C53CD9"/>
    <w:rsid w:val="00C54052"/>
    <w:rsid w:val="00C54747"/>
    <w:rsid w:val="00C54790"/>
    <w:rsid w:val="00C55A3E"/>
    <w:rsid w:val="00C55BFD"/>
    <w:rsid w:val="00C5674D"/>
    <w:rsid w:val="00C56AC9"/>
    <w:rsid w:val="00C56D80"/>
    <w:rsid w:val="00C57B29"/>
    <w:rsid w:val="00C60754"/>
    <w:rsid w:val="00C60C61"/>
    <w:rsid w:val="00C60C7D"/>
    <w:rsid w:val="00C61987"/>
    <w:rsid w:val="00C62218"/>
    <w:rsid w:val="00C62503"/>
    <w:rsid w:val="00C62C3E"/>
    <w:rsid w:val="00C630F0"/>
    <w:rsid w:val="00C6319F"/>
    <w:rsid w:val="00C63231"/>
    <w:rsid w:val="00C634CF"/>
    <w:rsid w:val="00C63B5F"/>
    <w:rsid w:val="00C640E0"/>
    <w:rsid w:val="00C64FDA"/>
    <w:rsid w:val="00C65B7B"/>
    <w:rsid w:val="00C660B6"/>
    <w:rsid w:val="00C66A8B"/>
    <w:rsid w:val="00C67024"/>
    <w:rsid w:val="00C67139"/>
    <w:rsid w:val="00C675BC"/>
    <w:rsid w:val="00C702A4"/>
    <w:rsid w:val="00C702E9"/>
    <w:rsid w:val="00C70F5C"/>
    <w:rsid w:val="00C71C76"/>
    <w:rsid w:val="00C71DA4"/>
    <w:rsid w:val="00C71FF2"/>
    <w:rsid w:val="00C72434"/>
    <w:rsid w:val="00C7246A"/>
    <w:rsid w:val="00C72DDF"/>
    <w:rsid w:val="00C730B2"/>
    <w:rsid w:val="00C73224"/>
    <w:rsid w:val="00C7379C"/>
    <w:rsid w:val="00C73AD3"/>
    <w:rsid w:val="00C73B10"/>
    <w:rsid w:val="00C73E8F"/>
    <w:rsid w:val="00C73F28"/>
    <w:rsid w:val="00C74D8E"/>
    <w:rsid w:val="00C752B5"/>
    <w:rsid w:val="00C75401"/>
    <w:rsid w:val="00C761E4"/>
    <w:rsid w:val="00C76298"/>
    <w:rsid w:val="00C77162"/>
    <w:rsid w:val="00C7759B"/>
    <w:rsid w:val="00C8024E"/>
    <w:rsid w:val="00C802D7"/>
    <w:rsid w:val="00C80A4B"/>
    <w:rsid w:val="00C814D4"/>
    <w:rsid w:val="00C81649"/>
    <w:rsid w:val="00C81D6B"/>
    <w:rsid w:val="00C82D0D"/>
    <w:rsid w:val="00C82E90"/>
    <w:rsid w:val="00C83DAD"/>
    <w:rsid w:val="00C848D1"/>
    <w:rsid w:val="00C850DA"/>
    <w:rsid w:val="00C8553C"/>
    <w:rsid w:val="00C86590"/>
    <w:rsid w:val="00C87DCA"/>
    <w:rsid w:val="00C87FB4"/>
    <w:rsid w:val="00C90B42"/>
    <w:rsid w:val="00C913F5"/>
    <w:rsid w:val="00C91585"/>
    <w:rsid w:val="00C91644"/>
    <w:rsid w:val="00C93242"/>
    <w:rsid w:val="00C93DE2"/>
    <w:rsid w:val="00C95630"/>
    <w:rsid w:val="00C95A0C"/>
    <w:rsid w:val="00C97008"/>
    <w:rsid w:val="00C979C9"/>
    <w:rsid w:val="00CA0262"/>
    <w:rsid w:val="00CA0879"/>
    <w:rsid w:val="00CA14F3"/>
    <w:rsid w:val="00CA1E81"/>
    <w:rsid w:val="00CA2C37"/>
    <w:rsid w:val="00CA2D1E"/>
    <w:rsid w:val="00CA3308"/>
    <w:rsid w:val="00CA3867"/>
    <w:rsid w:val="00CA4E33"/>
    <w:rsid w:val="00CA5A38"/>
    <w:rsid w:val="00CA5B3F"/>
    <w:rsid w:val="00CA6A4F"/>
    <w:rsid w:val="00CA78C6"/>
    <w:rsid w:val="00CB0037"/>
    <w:rsid w:val="00CB02AA"/>
    <w:rsid w:val="00CB1014"/>
    <w:rsid w:val="00CB2113"/>
    <w:rsid w:val="00CB2C65"/>
    <w:rsid w:val="00CB49B6"/>
    <w:rsid w:val="00CB49FB"/>
    <w:rsid w:val="00CB4B5A"/>
    <w:rsid w:val="00CB543E"/>
    <w:rsid w:val="00CB5DA7"/>
    <w:rsid w:val="00CB6DA4"/>
    <w:rsid w:val="00CB7012"/>
    <w:rsid w:val="00CB74DC"/>
    <w:rsid w:val="00CC04E0"/>
    <w:rsid w:val="00CC0B0A"/>
    <w:rsid w:val="00CC1F0F"/>
    <w:rsid w:val="00CC23F0"/>
    <w:rsid w:val="00CC25BB"/>
    <w:rsid w:val="00CC28D4"/>
    <w:rsid w:val="00CC36F5"/>
    <w:rsid w:val="00CC4AE2"/>
    <w:rsid w:val="00CC501C"/>
    <w:rsid w:val="00CC530E"/>
    <w:rsid w:val="00CC5329"/>
    <w:rsid w:val="00CC57BE"/>
    <w:rsid w:val="00CC5BF2"/>
    <w:rsid w:val="00CC6B73"/>
    <w:rsid w:val="00CD0AE3"/>
    <w:rsid w:val="00CD0D5C"/>
    <w:rsid w:val="00CD0D9E"/>
    <w:rsid w:val="00CD0E7D"/>
    <w:rsid w:val="00CD1714"/>
    <w:rsid w:val="00CD188F"/>
    <w:rsid w:val="00CD18E0"/>
    <w:rsid w:val="00CD1C94"/>
    <w:rsid w:val="00CD1E23"/>
    <w:rsid w:val="00CD233F"/>
    <w:rsid w:val="00CD2918"/>
    <w:rsid w:val="00CD2AA0"/>
    <w:rsid w:val="00CD3BD8"/>
    <w:rsid w:val="00CD564A"/>
    <w:rsid w:val="00CD5E3E"/>
    <w:rsid w:val="00CD6363"/>
    <w:rsid w:val="00CD6A5D"/>
    <w:rsid w:val="00CE089C"/>
    <w:rsid w:val="00CE27F7"/>
    <w:rsid w:val="00CE2909"/>
    <w:rsid w:val="00CE506C"/>
    <w:rsid w:val="00CE553E"/>
    <w:rsid w:val="00CE5E0C"/>
    <w:rsid w:val="00CE6A20"/>
    <w:rsid w:val="00CE7301"/>
    <w:rsid w:val="00CF0D02"/>
    <w:rsid w:val="00CF1649"/>
    <w:rsid w:val="00CF2C75"/>
    <w:rsid w:val="00CF4DC6"/>
    <w:rsid w:val="00CF4FEE"/>
    <w:rsid w:val="00CF54CB"/>
    <w:rsid w:val="00CF61A1"/>
    <w:rsid w:val="00CF6ABD"/>
    <w:rsid w:val="00CF6F45"/>
    <w:rsid w:val="00CF7418"/>
    <w:rsid w:val="00CF7625"/>
    <w:rsid w:val="00CF7F12"/>
    <w:rsid w:val="00D0062A"/>
    <w:rsid w:val="00D00C38"/>
    <w:rsid w:val="00D01C4F"/>
    <w:rsid w:val="00D01C66"/>
    <w:rsid w:val="00D0298E"/>
    <w:rsid w:val="00D02B4B"/>
    <w:rsid w:val="00D02DCB"/>
    <w:rsid w:val="00D0477B"/>
    <w:rsid w:val="00D05EAD"/>
    <w:rsid w:val="00D05F60"/>
    <w:rsid w:val="00D06AFA"/>
    <w:rsid w:val="00D06B37"/>
    <w:rsid w:val="00D06D5D"/>
    <w:rsid w:val="00D06DE1"/>
    <w:rsid w:val="00D07902"/>
    <w:rsid w:val="00D07BB8"/>
    <w:rsid w:val="00D07FD9"/>
    <w:rsid w:val="00D10246"/>
    <w:rsid w:val="00D11728"/>
    <w:rsid w:val="00D137EE"/>
    <w:rsid w:val="00D14732"/>
    <w:rsid w:val="00D14B17"/>
    <w:rsid w:val="00D152AB"/>
    <w:rsid w:val="00D1549F"/>
    <w:rsid w:val="00D15F87"/>
    <w:rsid w:val="00D16E08"/>
    <w:rsid w:val="00D173AA"/>
    <w:rsid w:val="00D208B6"/>
    <w:rsid w:val="00D208C8"/>
    <w:rsid w:val="00D2116E"/>
    <w:rsid w:val="00D217C3"/>
    <w:rsid w:val="00D21A58"/>
    <w:rsid w:val="00D233EE"/>
    <w:rsid w:val="00D236F1"/>
    <w:rsid w:val="00D23AAA"/>
    <w:rsid w:val="00D24861"/>
    <w:rsid w:val="00D25D89"/>
    <w:rsid w:val="00D2627C"/>
    <w:rsid w:val="00D269BC"/>
    <w:rsid w:val="00D316E8"/>
    <w:rsid w:val="00D326B7"/>
    <w:rsid w:val="00D32777"/>
    <w:rsid w:val="00D32798"/>
    <w:rsid w:val="00D3291D"/>
    <w:rsid w:val="00D3376E"/>
    <w:rsid w:val="00D33BDD"/>
    <w:rsid w:val="00D33D78"/>
    <w:rsid w:val="00D3476B"/>
    <w:rsid w:val="00D34E3B"/>
    <w:rsid w:val="00D34EED"/>
    <w:rsid w:val="00D35BD9"/>
    <w:rsid w:val="00D369C6"/>
    <w:rsid w:val="00D37013"/>
    <w:rsid w:val="00D377AF"/>
    <w:rsid w:val="00D400EC"/>
    <w:rsid w:val="00D40976"/>
    <w:rsid w:val="00D40DE9"/>
    <w:rsid w:val="00D40F85"/>
    <w:rsid w:val="00D41366"/>
    <w:rsid w:val="00D42183"/>
    <w:rsid w:val="00D42E71"/>
    <w:rsid w:val="00D43C2D"/>
    <w:rsid w:val="00D43D3F"/>
    <w:rsid w:val="00D45C28"/>
    <w:rsid w:val="00D50224"/>
    <w:rsid w:val="00D50B89"/>
    <w:rsid w:val="00D5241C"/>
    <w:rsid w:val="00D53022"/>
    <w:rsid w:val="00D5392A"/>
    <w:rsid w:val="00D541EA"/>
    <w:rsid w:val="00D54DDF"/>
    <w:rsid w:val="00D55351"/>
    <w:rsid w:val="00D56317"/>
    <w:rsid w:val="00D56492"/>
    <w:rsid w:val="00D56732"/>
    <w:rsid w:val="00D56B1B"/>
    <w:rsid w:val="00D56CE5"/>
    <w:rsid w:val="00D5796E"/>
    <w:rsid w:val="00D57DA4"/>
    <w:rsid w:val="00D57ED1"/>
    <w:rsid w:val="00D60065"/>
    <w:rsid w:val="00D6011A"/>
    <w:rsid w:val="00D60E0F"/>
    <w:rsid w:val="00D61041"/>
    <w:rsid w:val="00D61085"/>
    <w:rsid w:val="00D61166"/>
    <w:rsid w:val="00D61485"/>
    <w:rsid w:val="00D61B88"/>
    <w:rsid w:val="00D61E0D"/>
    <w:rsid w:val="00D62995"/>
    <w:rsid w:val="00D62FAF"/>
    <w:rsid w:val="00D63D51"/>
    <w:rsid w:val="00D63DA5"/>
    <w:rsid w:val="00D63E20"/>
    <w:rsid w:val="00D643B9"/>
    <w:rsid w:val="00D649F0"/>
    <w:rsid w:val="00D64F71"/>
    <w:rsid w:val="00D658CB"/>
    <w:rsid w:val="00D65CA4"/>
    <w:rsid w:val="00D66F26"/>
    <w:rsid w:val="00D6742F"/>
    <w:rsid w:val="00D679BC"/>
    <w:rsid w:val="00D708B7"/>
    <w:rsid w:val="00D72A80"/>
    <w:rsid w:val="00D72BB0"/>
    <w:rsid w:val="00D72BCB"/>
    <w:rsid w:val="00D72C99"/>
    <w:rsid w:val="00D7455B"/>
    <w:rsid w:val="00D74563"/>
    <w:rsid w:val="00D74B8B"/>
    <w:rsid w:val="00D74DA6"/>
    <w:rsid w:val="00D752DB"/>
    <w:rsid w:val="00D755DA"/>
    <w:rsid w:val="00D757AB"/>
    <w:rsid w:val="00D77000"/>
    <w:rsid w:val="00D77081"/>
    <w:rsid w:val="00D7783B"/>
    <w:rsid w:val="00D81011"/>
    <w:rsid w:val="00D81499"/>
    <w:rsid w:val="00D81918"/>
    <w:rsid w:val="00D82938"/>
    <w:rsid w:val="00D830ED"/>
    <w:rsid w:val="00D832E0"/>
    <w:rsid w:val="00D83D7A"/>
    <w:rsid w:val="00D84176"/>
    <w:rsid w:val="00D859F6"/>
    <w:rsid w:val="00D869C1"/>
    <w:rsid w:val="00D870F7"/>
    <w:rsid w:val="00D871C8"/>
    <w:rsid w:val="00D906F3"/>
    <w:rsid w:val="00D922F7"/>
    <w:rsid w:val="00D92440"/>
    <w:rsid w:val="00D926C8"/>
    <w:rsid w:val="00D92B85"/>
    <w:rsid w:val="00D93854"/>
    <w:rsid w:val="00D93890"/>
    <w:rsid w:val="00D95714"/>
    <w:rsid w:val="00D967DD"/>
    <w:rsid w:val="00D97A77"/>
    <w:rsid w:val="00DA0285"/>
    <w:rsid w:val="00DA0291"/>
    <w:rsid w:val="00DA0898"/>
    <w:rsid w:val="00DA10F9"/>
    <w:rsid w:val="00DA1144"/>
    <w:rsid w:val="00DA1D6D"/>
    <w:rsid w:val="00DA2DFE"/>
    <w:rsid w:val="00DA3375"/>
    <w:rsid w:val="00DA5550"/>
    <w:rsid w:val="00DA5C02"/>
    <w:rsid w:val="00DA5F55"/>
    <w:rsid w:val="00DA62E2"/>
    <w:rsid w:val="00DA6687"/>
    <w:rsid w:val="00DA7593"/>
    <w:rsid w:val="00DA7629"/>
    <w:rsid w:val="00DB0988"/>
    <w:rsid w:val="00DB0BAD"/>
    <w:rsid w:val="00DB0E52"/>
    <w:rsid w:val="00DB19C0"/>
    <w:rsid w:val="00DB23B1"/>
    <w:rsid w:val="00DB44F2"/>
    <w:rsid w:val="00DB4FF4"/>
    <w:rsid w:val="00DB5914"/>
    <w:rsid w:val="00DB67BD"/>
    <w:rsid w:val="00DB6F13"/>
    <w:rsid w:val="00DB78F2"/>
    <w:rsid w:val="00DC0176"/>
    <w:rsid w:val="00DC01E4"/>
    <w:rsid w:val="00DC04BF"/>
    <w:rsid w:val="00DC0A9D"/>
    <w:rsid w:val="00DC150B"/>
    <w:rsid w:val="00DC2F0D"/>
    <w:rsid w:val="00DC3D54"/>
    <w:rsid w:val="00DC4F6C"/>
    <w:rsid w:val="00DC5B3F"/>
    <w:rsid w:val="00DC6A82"/>
    <w:rsid w:val="00DC6AE6"/>
    <w:rsid w:val="00DC6EC4"/>
    <w:rsid w:val="00DC7601"/>
    <w:rsid w:val="00DC7680"/>
    <w:rsid w:val="00DC7978"/>
    <w:rsid w:val="00DD0105"/>
    <w:rsid w:val="00DD068F"/>
    <w:rsid w:val="00DD1F67"/>
    <w:rsid w:val="00DD2287"/>
    <w:rsid w:val="00DD2E4C"/>
    <w:rsid w:val="00DD3041"/>
    <w:rsid w:val="00DD3556"/>
    <w:rsid w:val="00DD39BF"/>
    <w:rsid w:val="00DD4B05"/>
    <w:rsid w:val="00DD563E"/>
    <w:rsid w:val="00DD64E7"/>
    <w:rsid w:val="00DD6601"/>
    <w:rsid w:val="00DD6795"/>
    <w:rsid w:val="00DD7562"/>
    <w:rsid w:val="00DE19F1"/>
    <w:rsid w:val="00DE1E5F"/>
    <w:rsid w:val="00DE2B83"/>
    <w:rsid w:val="00DE2C51"/>
    <w:rsid w:val="00DE3C32"/>
    <w:rsid w:val="00DE3DB2"/>
    <w:rsid w:val="00DE3E98"/>
    <w:rsid w:val="00DE4B77"/>
    <w:rsid w:val="00DE6948"/>
    <w:rsid w:val="00DE6F97"/>
    <w:rsid w:val="00DE72FD"/>
    <w:rsid w:val="00DE7AAF"/>
    <w:rsid w:val="00DE7EB9"/>
    <w:rsid w:val="00DF027E"/>
    <w:rsid w:val="00DF0DB5"/>
    <w:rsid w:val="00DF143C"/>
    <w:rsid w:val="00DF2366"/>
    <w:rsid w:val="00DF259C"/>
    <w:rsid w:val="00DF2DC3"/>
    <w:rsid w:val="00DF2F0D"/>
    <w:rsid w:val="00DF32CA"/>
    <w:rsid w:val="00DF362E"/>
    <w:rsid w:val="00DF4EFA"/>
    <w:rsid w:val="00DF5093"/>
    <w:rsid w:val="00DF5110"/>
    <w:rsid w:val="00DF5394"/>
    <w:rsid w:val="00DF56D7"/>
    <w:rsid w:val="00DF57C8"/>
    <w:rsid w:val="00DF5D1D"/>
    <w:rsid w:val="00DF60D1"/>
    <w:rsid w:val="00DF6CDE"/>
    <w:rsid w:val="00DF7606"/>
    <w:rsid w:val="00DF7754"/>
    <w:rsid w:val="00DF7BE0"/>
    <w:rsid w:val="00E00174"/>
    <w:rsid w:val="00E00932"/>
    <w:rsid w:val="00E01388"/>
    <w:rsid w:val="00E0167A"/>
    <w:rsid w:val="00E01A16"/>
    <w:rsid w:val="00E01C10"/>
    <w:rsid w:val="00E03572"/>
    <w:rsid w:val="00E04191"/>
    <w:rsid w:val="00E04899"/>
    <w:rsid w:val="00E05E5B"/>
    <w:rsid w:val="00E06B1B"/>
    <w:rsid w:val="00E10164"/>
    <w:rsid w:val="00E105C5"/>
    <w:rsid w:val="00E10617"/>
    <w:rsid w:val="00E1112B"/>
    <w:rsid w:val="00E11C51"/>
    <w:rsid w:val="00E12EAC"/>
    <w:rsid w:val="00E132BB"/>
    <w:rsid w:val="00E1422E"/>
    <w:rsid w:val="00E14336"/>
    <w:rsid w:val="00E14971"/>
    <w:rsid w:val="00E14B9B"/>
    <w:rsid w:val="00E14E30"/>
    <w:rsid w:val="00E1527B"/>
    <w:rsid w:val="00E16129"/>
    <w:rsid w:val="00E16425"/>
    <w:rsid w:val="00E165B7"/>
    <w:rsid w:val="00E2233D"/>
    <w:rsid w:val="00E22B30"/>
    <w:rsid w:val="00E22C30"/>
    <w:rsid w:val="00E22EC4"/>
    <w:rsid w:val="00E235DD"/>
    <w:rsid w:val="00E25055"/>
    <w:rsid w:val="00E256B1"/>
    <w:rsid w:val="00E25B61"/>
    <w:rsid w:val="00E275FA"/>
    <w:rsid w:val="00E27715"/>
    <w:rsid w:val="00E27F01"/>
    <w:rsid w:val="00E301CA"/>
    <w:rsid w:val="00E308EC"/>
    <w:rsid w:val="00E30CC8"/>
    <w:rsid w:val="00E31755"/>
    <w:rsid w:val="00E31A66"/>
    <w:rsid w:val="00E32CC3"/>
    <w:rsid w:val="00E3387C"/>
    <w:rsid w:val="00E338F3"/>
    <w:rsid w:val="00E34174"/>
    <w:rsid w:val="00E342D4"/>
    <w:rsid w:val="00E34CE5"/>
    <w:rsid w:val="00E350A3"/>
    <w:rsid w:val="00E35ACE"/>
    <w:rsid w:val="00E35B1B"/>
    <w:rsid w:val="00E36688"/>
    <w:rsid w:val="00E36D99"/>
    <w:rsid w:val="00E376E0"/>
    <w:rsid w:val="00E4030F"/>
    <w:rsid w:val="00E40D6A"/>
    <w:rsid w:val="00E41006"/>
    <w:rsid w:val="00E41C23"/>
    <w:rsid w:val="00E43683"/>
    <w:rsid w:val="00E43B39"/>
    <w:rsid w:val="00E45516"/>
    <w:rsid w:val="00E45E49"/>
    <w:rsid w:val="00E45FD1"/>
    <w:rsid w:val="00E46609"/>
    <w:rsid w:val="00E474A5"/>
    <w:rsid w:val="00E47733"/>
    <w:rsid w:val="00E516A1"/>
    <w:rsid w:val="00E528D8"/>
    <w:rsid w:val="00E52BAB"/>
    <w:rsid w:val="00E5389A"/>
    <w:rsid w:val="00E539DB"/>
    <w:rsid w:val="00E54BDA"/>
    <w:rsid w:val="00E5580A"/>
    <w:rsid w:val="00E559D7"/>
    <w:rsid w:val="00E55BFB"/>
    <w:rsid w:val="00E5738F"/>
    <w:rsid w:val="00E5796C"/>
    <w:rsid w:val="00E611AB"/>
    <w:rsid w:val="00E61529"/>
    <w:rsid w:val="00E63E22"/>
    <w:rsid w:val="00E66B68"/>
    <w:rsid w:val="00E672B2"/>
    <w:rsid w:val="00E7086F"/>
    <w:rsid w:val="00E70B6B"/>
    <w:rsid w:val="00E70D1B"/>
    <w:rsid w:val="00E72EC3"/>
    <w:rsid w:val="00E74ECA"/>
    <w:rsid w:val="00E756F4"/>
    <w:rsid w:val="00E75BB7"/>
    <w:rsid w:val="00E7722D"/>
    <w:rsid w:val="00E7745A"/>
    <w:rsid w:val="00E7751A"/>
    <w:rsid w:val="00E77931"/>
    <w:rsid w:val="00E808B5"/>
    <w:rsid w:val="00E822EB"/>
    <w:rsid w:val="00E830D1"/>
    <w:rsid w:val="00E83761"/>
    <w:rsid w:val="00E83B08"/>
    <w:rsid w:val="00E84228"/>
    <w:rsid w:val="00E84995"/>
    <w:rsid w:val="00E84EEA"/>
    <w:rsid w:val="00E862AD"/>
    <w:rsid w:val="00E913FB"/>
    <w:rsid w:val="00E9176B"/>
    <w:rsid w:val="00E92608"/>
    <w:rsid w:val="00E928CB"/>
    <w:rsid w:val="00E92BAD"/>
    <w:rsid w:val="00E94084"/>
    <w:rsid w:val="00E9424D"/>
    <w:rsid w:val="00E97132"/>
    <w:rsid w:val="00E97203"/>
    <w:rsid w:val="00EA022A"/>
    <w:rsid w:val="00EA0BC4"/>
    <w:rsid w:val="00EA0E75"/>
    <w:rsid w:val="00EA0E76"/>
    <w:rsid w:val="00EA110D"/>
    <w:rsid w:val="00EA2041"/>
    <w:rsid w:val="00EA237E"/>
    <w:rsid w:val="00EA29F9"/>
    <w:rsid w:val="00EA3D81"/>
    <w:rsid w:val="00EA411D"/>
    <w:rsid w:val="00EA44BF"/>
    <w:rsid w:val="00EA4CB9"/>
    <w:rsid w:val="00EA5234"/>
    <w:rsid w:val="00EA639E"/>
    <w:rsid w:val="00EA6A40"/>
    <w:rsid w:val="00EA6ECA"/>
    <w:rsid w:val="00EA6EF3"/>
    <w:rsid w:val="00EA79F0"/>
    <w:rsid w:val="00EB2666"/>
    <w:rsid w:val="00EB5498"/>
    <w:rsid w:val="00EB5992"/>
    <w:rsid w:val="00EB5D57"/>
    <w:rsid w:val="00EB6103"/>
    <w:rsid w:val="00EB66CC"/>
    <w:rsid w:val="00EB680C"/>
    <w:rsid w:val="00EB6DF7"/>
    <w:rsid w:val="00EB7BA3"/>
    <w:rsid w:val="00EC0369"/>
    <w:rsid w:val="00EC1CC7"/>
    <w:rsid w:val="00EC2201"/>
    <w:rsid w:val="00EC2F87"/>
    <w:rsid w:val="00EC4BCD"/>
    <w:rsid w:val="00EC4DAE"/>
    <w:rsid w:val="00EC53AE"/>
    <w:rsid w:val="00EC5D91"/>
    <w:rsid w:val="00EC66F5"/>
    <w:rsid w:val="00EC7B66"/>
    <w:rsid w:val="00EC7F5A"/>
    <w:rsid w:val="00ED04B1"/>
    <w:rsid w:val="00ED1304"/>
    <w:rsid w:val="00ED19AD"/>
    <w:rsid w:val="00ED19B4"/>
    <w:rsid w:val="00ED2977"/>
    <w:rsid w:val="00ED3185"/>
    <w:rsid w:val="00ED32AD"/>
    <w:rsid w:val="00ED4562"/>
    <w:rsid w:val="00ED5014"/>
    <w:rsid w:val="00ED5942"/>
    <w:rsid w:val="00ED6693"/>
    <w:rsid w:val="00ED6BD1"/>
    <w:rsid w:val="00ED7D08"/>
    <w:rsid w:val="00EE11E2"/>
    <w:rsid w:val="00EE2203"/>
    <w:rsid w:val="00EE23C0"/>
    <w:rsid w:val="00EE2649"/>
    <w:rsid w:val="00EE2E4B"/>
    <w:rsid w:val="00EE31D7"/>
    <w:rsid w:val="00EE3C56"/>
    <w:rsid w:val="00EE3C6E"/>
    <w:rsid w:val="00EE464B"/>
    <w:rsid w:val="00EE4F75"/>
    <w:rsid w:val="00EE5085"/>
    <w:rsid w:val="00EE5F43"/>
    <w:rsid w:val="00EE61B1"/>
    <w:rsid w:val="00EE70B3"/>
    <w:rsid w:val="00EF00FC"/>
    <w:rsid w:val="00EF010D"/>
    <w:rsid w:val="00EF07C5"/>
    <w:rsid w:val="00EF29AE"/>
    <w:rsid w:val="00EF2C60"/>
    <w:rsid w:val="00EF36B9"/>
    <w:rsid w:val="00EF5856"/>
    <w:rsid w:val="00EF61C7"/>
    <w:rsid w:val="00EF66E9"/>
    <w:rsid w:val="00EF7C1E"/>
    <w:rsid w:val="00F00584"/>
    <w:rsid w:val="00F016E4"/>
    <w:rsid w:val="00F0296D"/>
    <w:rsid w:val="00F02A16"/>
    <w:rsid w:val="00F036BE"/>
    <w:rsid w:val="00F03AB8"/>
    <w:rsid w:val="00F046BA"/>
    <w:rsid w:val="00F0519D"/>
    <w:rsid w:val="00F05260"/>
    <w:rsid w:val="00F05E7A"/>
    <w:rsid w:val="00F0715B"/>
    <w:rsid w:val="00F07904"/>
    <w:rsid w:val="00F07D5B"/>
    <w:rsid w:val="00F07F58"/>
    <w:rsid w:val="00F1065B"/>
    <w:rsid w:val="00F10C60"/>
    <w:rsid w:val="00F10C79"/>
    <w:rsid w:val="00F115C6"/>
    <w:rsid w:val="00F12DD8"/>
    <w:rsid w:val="00F12FA4"/>
    <w:rsid w:val="00F13AA4"/>
    <w:rsid w:val="00F13C84"/>
    <w:rsid w:val="00F14A8A"/>
    <w:rsid w:val="00F14B80"/>
    <w:rsid w:val="00F1547E"/>
    <w:rsid w:val="00F15E72"/>
    <w:rsid w:val="00F15F89"/>
    <w:rsid w:val="00F167B4"/>
    <w:rsid w:val="00F17019"/>
    <w:rsid w:val="00F17028"/>
    <w:rsid w:val="00F1766A"/>
    <w:rsid w:val="00F1774A"/>
    <w:rsid w:val="00F21563"/>
    <w:rsid w:val="00F221FB"/>
    <w:rsid w:val="00F229DF"/>
    <w:rsid w:val="00F22F0A"/>
    <w:rsid w:val="00F23268"/>
    <w:rsid w:val="00F2326C"/>
    <w:rsid w:val="00F24180"/>
    <w:rsid w:val="00F24519"/>
    <w:rsid w:val="00F256A4"/>
    <w:rsid w:val="00F25978"/>
    <w:rsid w:val="00F26857"/>
    <w:rsid w:val="00F27698"/>
    <w:rsid w:val="00F27DE8"/>
    <w:rsid w:val="00F30298"/>
    <w:rsid w:val="00F306ED"/>
    <w:rsid w:val="00F31830"/>
    <w:rsid w:val="00F32511"/>
    <w:rsid w:val="00F325C9"/>
    <w:rsid w:val="00F33EA8"/>
    <w:rsid w:val="00F33F44"/>
    <w:rsid w:val="00F34F94"/>
    <w:rsid w:val="00F35252"/>
    <w:rsid w:val="00F3684C"/>
    <w:rsid w:val="00F37282"/>
    <w:rsid w:val="00F3728F"/>
    <w:rsid w:val="00F372A3"/>
    <w:rsid w:val="00F406F7"/>
    <w:rsid w:val="00F41211"/>
    <w:rsid w:val="00F4140D"/>
    <w:rsid w:val="00F4187B"/>
    <w:rsid w:val="00F41A48"/>
    <w:rsid w:val="00F4222A"/>
    <w:rsid w:val="00F43480"/>
    <w:rsid w:val="00F43637"/>
    <w:rsid w:val="00F44D25"/>
    <w:rsid w:val="00F45AB9"/>
    <w:rsid w:val="00F4665F"/>
    <w:rsid w:val="00F4686D"/>
    <w:rsid w:val="00F4691A"/>
    <w:rsid w:val="00F50452"/>
    <w:rsid w:val="00F51D92"/>
    <w:rsid w:val="00F52914"/>
    <w:rsid w:val="00F53D43"/>
    <w:rsid w:val="00F54B60"/>
    <w:rsid w:val="00F54E80"/>
    <w:rsid w:val="00F55267"/>
    <w:rsid w:val="00F56057"/>
    <w:rsid w:val="00F566C3"/>
    <w:rsid w:val="00F567B8"/>
    <w:rsid w:val="00F6049F"/>
    <w:rsid w:val="00F60D74"/>
    <w:rsid w:val="00F61992"/>
    <w:rsid w:val="00F621E8"/>
    <w:rsid w:val="00F629F5"/>
    <w:rsid w:val="00F633D2"/>
    <w:rsid w:val="00F6391C"/>
    <w:rsid w:val="00F658FF"/>
    <w:rsid w:val="00F65B6F"/>
    <w:rsid w:val="00F666ED"/>
    <w:rsid w:val="00F673ED"/>
    <w:rsid w:val="00F67527"/>
    <w:rsid w:val="00F70307"/>
    <w:rsid w:val="00F70C84"/>
    <w:rsid w:val="00F70E5C"/>
    <w:rsid w:val="00F70F46"/>
    <w:rsid w:val="00F710B9"/>
    <w:rsid w:val="00F735E4"/>
    <w:rsid w:val="00F73764"/>
    <w:rsid w:val="00F737BE"/>
    <w:rsid w:val="00F739FD"/>
    <w:rsid w:val="00F75054"/>
    <w:rsid w:val="00F75896"/>
    <w:rsid w:val="00F75972"/>
    <w:rsid w:val="00F75D3E"/>
    <w:rsid w:val="00F77299"/>
    <w:rsid w:val="00F77B16"/>
    <w:rsid w:val="00F80634"/>
    <w:rsid w:val="00F8095F"/>
    <w:rsid w:val="00F812EE"/>
    <w:rsid w:val="00F8150C"/>
    <w:rsid w:val="00F81A54"/>
    <w:rsid w:val="00F822AE"/>
    <w:rsid w:val="00F8276B"/>
    <w:rsid w:val="00F827E9"/>
    <w:rsid w:val="00F82C50"/>
    <w:rsid w:val="00F8387A"/>
    <w:rsid w:val="00F862A0"/>
    <w:rsid w:val="00F86E9F"/>
    <w:rsid w:val="00F879F7"/>
    <w:rsid w:val="00F9017D"/>
    <w:rsid w:val="00F90259"/>
    <w:rsid w:val="00F90BEE"/>
    <w:rsid w:val="00F9123F"/>
    <w:rsid w:val="00F91750"/>
    <w:rsid w:val="00F917A4"/>
    <w:rsid w:val="00F92877"/>
    <w:rsid w:val="00F931F8"/>
    <w:rsid w:val="00F95F19"/>
    <w:rsid w:val="00F9658F"/>
    <w:rsid w:val="00F96E57"/>
    <w:rsid w:val="00F972D9"/>
    <w:rsid w:val="00F973A7"/>
    <w:rsid w:val="00F97AD2"/>
    <w:rsid w:val="00FA044B"/>
    <w:rsid w:val="00FA09F8"/>
    <w:rsid w:val="00FA1060"/>
    <w:rsid w:val="00FA1B88"/>
    <w:rsid w:val="00FA2CD2"/>
    <w:rsid w:val="00FA339F"/>
    <w:rsid w:val="00FA387C"/>
    <w:rsid w:val="00FA3C9D"/>
    <w:rsid w:val="00FA4D40"/>
    <w:rsid w:val="00FA4D9C"/>
    <w:rsid w:val="00FA6BA0"/>
    <w:rsid w:val="00FA71F9"/>
    <w:rsid w:val="00FA72CC"/>
    <w:rsid w:val="00FA76DC"/>
    <w:rsid w:val="00FA7750"/>
    <w:rsid w:val="00FB0A88"/>
    <w:rsid w:val="00FB0DD6"/>
    <w:rsid w:val="00FB18A8"/>
    <w:rsid w:val="00FB1A48"/>
    <w:rsid w:val="00FB1B72"/>
    <w:rsid w:val="00FB2A1D"/>
    <w:rsid w:val="00FB2E82"/>
    <w:rsid w:val="00FB375E"/>
    <w:rsid w:val="00FB3AAF"/>
    <w:rsid w:val="00FB4112"/>
    <w:rsid w:val="00FB423A"/>
    <w:rsid w:val="00FB4A6C"/>
    <w:rsid w:val="00FB568C"/>
    <w:rsid w:val="00FB5B9C"/>
    <w:rsid w:val="00FB6A49"/>
    <w:rsid w:val="00FB6F21"/>
    <w:rsid w:val="00FB7A91"/>
    <w:rsid w:val="00FC0A66"/>
    <w:rsid w:val="00FC0EAC"/>
    <w:rsid w:val="00FC11EC"/>
    <w:rsid w:val="00FC16FA"/>
    <w:rsid w:val="00FC1AD3"/>
    <w:rsid w:val="00FC4070"/>
    <w:rsid w:val="00FC41FA"/>
    <w:rsid w:val="00FC54A4"/>
    <w:rsid w:val="00FC684E"/>
    <w:rsid w:val="00FC68AD"/>
    <w:rsid w:val="00FC7BB5"/>
    <w:rsid w:val="00FD0894"/>
    <w:rsid w:val="00FD0965"/>
    <w:rsid w:val="00FD1193"/>
    <w:rsid w:val="00FD136A"/>
    <w:rsid w:val="00FD20C5"/>
    <w:rsid w:val="00FD2AF4"/>
    <w:rsid w:val="00FD37E6"/>
    <w:rsid w:val="00FD38EA"/>
    <w:rsid w:val="00FD39D0"/>
    <w:rsid w:val="00FD3AAF"/>
    <w:rsid w:val="00FD3C2D"/>
    <w:rsid w:val="00FD47AE"/>
    <w:rsid w:val="00FD52EE"/>
    <w:rsid w:val="00FD530C"/>
    <w:rsid w:val="00FD67A5"/>
    <w:rsid w:val="00FD75A6"/>
    <w:rsid w:val="00FD75B2"/>
    <w:rsid w:val="00FE09A4"/>
    <w:rsid w:val="00FE0AF0"/>
    <w:rsid w:val="00FE0C25"/>
    <w:rsid w:val="00FE147A"/>
    <w:rsid w:val="00FE1771"/>
    <w:rsid w:val="00FE2000"/>
    <w:rsid w:val="00FE226F"/>
    <w:rsid w:val="00FE24BF"/>
    <w:rsid w:val="00FE33C1"/>
    <w:rsid w:val="00FE4724"/>
    <w:rsid w:val="00FE56B1"/>
    <w:rsid w:val="00FE5CD4"/>
    <w:rsid w:val="00FE72FA"/>
    <w:rsid w:val="00FF123B"/>
    <w:rsid w:val="00FF1841"/>
    <w:rsid w:val="00FF2B9D"/>
    <w:rsid w:val="00FF32B8"/>
    <w:rsid w:val="00FF46EF"/>
    <w:rsid w:val="00FF62EB"/>
    <w:rsid w:val="00FF6F55"/>
    <w:rsid w:val="00FF7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A29CC7DF-782A-46A8-9086-1C9AF803D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1C7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BE2AD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BE2ADF"/>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BE2ADF"/>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BE2ADF"/>
    <w:rPr>
      <w:rFonts w:ascii="Arial" w:hAnsi="Arial"/>
      <w:b/>
      <w:bCs/>
      <w:snapToGrid/>
      <w:kern w:val="52"/>
      <w:sz w:val="52"/>
      <w:szCs w:val="52"/>
    </w:rPr>
  </w:style>
  <w:style w:type="character" w:customStyle="1" w:styleId="20">
    <w:name w:val="標題 2 字元"/>
    <w:link w:val="2"/>
    <w:rsid w:val="00BE2ADF"/>
    <w:rPr>
      <w:rFonts w:ascii="Arial" w:hAnsi="Arial"/>
      <w:b/>
      <w:bCs/>
      <w:snapToGrid/>
      <w:kern w:val="2"/>
      <w:sz w:val="48"/>
      <w:szCs w:val="48"/>
    </w:rPr>
  </w:style>
  <w:style w:type="character" w:customStyle="1" w:styleId="30">
    <w:name w:val="標題 3 字元"/>
    <w:link w:val="3"/>
    <w:uiPriority w:val="9"/>
    <w:semiHidden/>
    <w:rsid w:val="00BE2ADF"/>
    <w:rPr>
      <w:rFonts w:ascii="Cambria" w:hAnsi="Cambria"/>
      <w:b/>
      <w:bCs/>
      <w:snapToGrid/>
      <w:kern w:val="2"/>
      <w:sz w:val="36"/>
      <w:szCs w:val="36"/>
    </w:rPr>
  </w:style>
  <w:style w:type="paragraph" w:customStyle="1" w:styleId="16">
    <w:name w:val="第一層(16號字)"/>
    <w:rsid w:val="008B5E2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8B5E26"/>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E92BAD"/>
    <w:rPr>
      <w:rFonts w:ascii="標楷體" w:eastAsia="標楷體"/>
      <w:b/>
      <w:snapToGrid w:val="0"/>
      <w:kern w:val="2"/>
      <w:sz w:val="28"/>
      <w:lang w:bidi="ar-SA"/>
    </w:rPr>
  </w:style>
  <w:style w:type="paragraph" w:customStyle="1" w:styleId="141">
    <w:name w:val="第三層(14號字)"/>
    <w:rsid w:val="008B5E2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8B5E2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rsid w:val="008B5E26"/>
    <w:pPr>
      <w:ind w:left="300" w:hangingChars="100" w:hanging="100"/>
    </w:pPr>
  </w:style>
  <w:style w:type="character" w:customStyle="1" w:styleId="21">
    <w:name w:val="(一)(二)(三) 字元2"/>
    <w:link w:val="a4"/>
    <w:rsid w:val="00BE2ADF"/>
    <w:rPr>
      <w:rFonts w:ascii="標楷體" w:eastAsia="標楷體"/>
      <w:snapToGrid/>
      <w:kern w:val="2"/>
      <w:sz w:val="28"/>
      <w:szCs w:val="28"/>
    </w:rPr>
  </w:style>
  <w:style w:type="paragraph" w:customStyle="1" w:styleId="a5">
    <w:name w:val="(一)下內文"/>
    <w:basedOn w:val="a4"/>
    <w:link w:val="a6"/>
    <w:rsid w:val="008B5E26"/>
    <w:pPr>
      <w:adjustRightInd w:val="0"/>
      <w:ind w:leftChars="300" w:firstLineChars="0" w:firstLine="0"/>
    </w:pPr>
  </w:style>
  <w:style w:type="character" w:customStyle="1" w:styleId="a6">
    <w:name w:val="(一)下內文 字元"/>
    <w:link w:val="a5"/>
    <w:rsid w:val="00BE2ADF"/>
    <w:rPr>
      <w:rFonts w:ascii="標楷體" w:eastAsia="標楷體"/>
      <w:snapToGrid/>
      <w:kern w:val="2"/>
      <w:sz w:val="28"/>
      <w:szCs w:val="28"/>
    </w:rPr>
  </w:style>
  <w:style w:type="paragraph" w:customStyle="1" w:styleId="123">
    <w:name w:val="1.2.3."/>
    <w:basedOn w:val="a5"/>
    <w:link w:val="1230"/>
    <w:qFormat/>
    <w:rsid w:val="008B5E26"/>
    <w:pPr>
      <w:adjustRightInd/>
      <w:ind w:left="400" w:hangingChars="100" w:hanging="100"/>
    </w:pPr>
  </w:style>
  <w:style w:type="paragraph" w:customStyle="1" w:styleId="a7">
    <w:name w:val="結論"/>
    <w:basedOn w:val="a5"/>
    <w:rsid w:val="008B5E26"/>
    <w:pPr>
      <w:adjustRightInd/>
      <w:ind w:leftChars="200" w:left="200"/>
    </w:pPr>
  </w:style>
  <w:style w:type="paragraph" w:customStyle="1" w:styleId="a8">
    <w:name w:val="前言內文"/>
    <w:basedOn w:val="a"/>
    <w:rsid w:val="008B5E26"/>
    <w:pPr>
      <w:adjustRightInd w:val="0"/>
      <w:ind w:leftChars="0" w:left="0"/>
    </w:pPr>
  </w:style>
  <w:style w:type="paragraph" w:customStyle="1" w:styleId="142">
    <w:name w:val="表格內文(14行高)"/>
    <w:basedOn w:val="a9"/>
    <w:link w:val="143"/>
    <w:qFormat/>
    <w:rsid w:val="008B5E26"/>
    <w:pPr>
      <w:spacing w:line="280" w:lineRule="exact"/>
      <w:ind w:leftChars="0" w:left="0" w:firstLineChars="0" w:firstLine="0"/>
      <w:jc w:val="left"/>
    </w:pPr>
    <w:rPr>
      <w:sz w:val="24"/>
    </w:rPr>
  </w:style>
  <w:style w:type="paragraph" w:styleId="a9">
    <w:name w:val="table of figures"/>
    <w:basedOn w:val="a"/>
    <w:next w:val="a"/>
    <w:link w:val="aa"/>
    <w:semiHidden/>
    <w:rsid w:val="008B5E26"/>
    <w:pPr>
      <w:ind w:leftChars="400" w:left="960" w:hangingChars="200" w:hanging="480"/>
    </w:pPr>
  </w:style>
  <w:style w:type="character" w:customStyle="1" w:styleId="aa">
    <w:name w:val="圖表目錄 字元"/>
    <w:link w:val="a9"/>
    <w:semiHidden/>
    <w:rsid w:val="00BE2ADF"/>
    <w:rPr>
      <w:rFonts w:ascii="標楷體" w:eastAsia="標楷體"/>
      <w:snapToGrid/>
      <w:kern w:val="2"/>
      <w:sz w:val="28"/>
      <w:szCs w:val="28"/>
    </w:rPr>
  </w:style>
  <w:style w:type="paragraph" w:customStyle="1" w:styleId="ab">
    <w:name w:val="報告名稱"/>
    <w:basedOn w:val="a"/>
    <w:rsid w:val="008B5E26"/>
    <w:pPr>
      <w:adjustRightInd w:val="0"/>
      <w:ind w:leftChars="0" w:left="0" w:firstLineChars="0" w:firstLine="0"/>
    </w:pPr>
    <w:rPr>
      <w:b/>
      <w:sz w:val="36"/>
    </w:rPr>
  </w:style>
  <w:style w:type="paragraph" w:customStyle="1" w:styleId="144">
    <w:name w:val="第一層(14號字)"/>
    <w:basedOn w:val="16"/>
    <w:rsid w:val="008B5E26"/>
    <w:rPr>
      <w:sz w:val="28"/>
    </w:rPr>
  </w:style>
  <w:style w:type="paragraph" w:customStyle="1" w:styleId="ac">
    <w:name w:val="姓名及分機"/>
    <w:basedOn w:val="a"/>
    <w:link w:val="ad"/>
    <w:rsid w:val="008B5E26"/>
    <w:pPr>
      <w:ind w:leftChars="0" w:left="0" w:firstLineChars="0" w:firstLine="0"/>
      <w:jc w:val="right"/>
    </w:pPr>
    <w:rPr>
      <w:sz w:val="24"/>
    </w:rPr>
  </w:style>
  <w:style w:type="character" w:customStyle="1" w:styleId="ad">
    <w:name w:val="姓名及分機 字元"/>
    <w:link w:val="ac"/>
    <w:rsid w:val="00BE2ADF"/>
    <w:rPr>
      <w:rFonts w:ascii="標楷體" w:eastAsia="標楷體"/>
      <w:snapToGrid/>
      <w:kern w:val="2"/>
      <w:sz w:val="24"/>
      <w:szCs w:val="28"/>
    </w:rPr>
  </w:style>
  <w:style w:type="paragraph" w:customStyle="1" w:styleId="ae">
    <w:name w:val="前言(一)(二)(三)"/>
    <w:basedOn w:val="a"/>
    <w:rsid w:val="008B5E26"/>
    <w:pPr>
      <w:ind w:leftChars="0" w:left="100" w:hangingChars="100" w:hanging="100"/>
    </w:pPr>
  </w:style>
  <w:style w:type="paragraph" w:customStyle="1" w:styleId="1231">
    <w:name w:val="(1)(2)(3)"/>
    <w:basedOn w:val="a"/>
    <w:link w:val="1232"/>
    <w:rsid w:val="008B5E26"/>
    <w:pPr>
      <w:ind w:leftChars="400" w:left="500" w:hangingChars="100" w:hanging="100"/>
    </w:pPr>
  </w:style>
  <w:style w:type="character" w:customStyle="1" w:styleId="1232">
    <w:name w:val="(1)(2)(3) 字元"/>
    <w:link w:val="1231"/>
    <w:rsid w:val="00BE2ADF"/>
    <w:rPr>
      <w:rFonts w:ascii="標楷體" w:eastAsia="標楷體"/>
      <w:snapToGrid/>
      <w:kern w:val="2"/>
      <w:sz w:val="28"/>
      <w:szCs w:val="28"/>
    </w:rPr>
  </w:style>
  <w:style w:type="paragraph" w:customStyle="1" w:styleId="200">
    <w:name w:val="表格內文(20行高)"/>
    <w:basedOn w:val="142"/>
    <w:link w:val="201"/>
    <w:rsid w:val="008B5E26"/>
    <w:pPr>
      <w:spacing w:line="400" w:lineRule="exact"/>
    </w:pPr>
  </w:style>
  <w:style w:type="character" w:customStyle="1" w:styleId="201">
    <w:name w:val="表格內文(20行高) 字元"/>
    <w:link w:val="200"/>
    <w:rsid w:val="00BE2ADF"/>
    <w:rPr>
      <w:rFonts w:ascii="標楷體" w:eastAsia="標楷體"/>
      <w:snapToGrid/>
      <w:kern w:val="2"/>
      <w:sz w:val="24"/>
      <w:szCs w:val="28"/>
    </w:rPr>
  </w:style>
  <w:style w:type="character" w:styleId="af">
    <w:name w:val="Hyperlink"/>
    <w:uiPriority w:val="99"/>
    <w:rsid w:val="00E92BAD"/>
    <w:rPr>
      <w:color w:val="0000FF"/>
      <w:u w:val="single"/>
    </w:rPr>
  </w:style>
  <w:style w:type="paragraph" w:customStyle="1" w:styleId="22">
    <w:name w:val="(一)下內文縮2"/>
    <w:basedOn w:val="a"/>
    <w:link w:val="23"/>
    <w:qFormat/>
    <w:rsid w:val="008B5E26"/>
    <w:pPr>
      <w:adjustRightInd w:val="0"/>
      <w:ind w:leftChars="300" w:left="300"/>
    </w:pPr>
  </w:style>
  <w:style w:type="character" w:customStyle="1" w:styleId="23">
    <w:name w:val="(一)下內文縮2 字元"/>
    <w:link w:val="22"/>
    <w:rsid w:val="00BE2ADF"/>
    <w:rPr>
      <w:rFonts w:ascii="標楷體" w:eastAsia="標楷體"/>
      <w:snapToGrid/>
      <w:kern w:val="2"/>
      <w:sz w:val="28"/>
      <w:szCs w:val="28"/>
    </w:rPr>
  </w:style>
  <w:style w:type="paragraph" w:styleId="11">
    <w:name w:val="toc 1"/>
    <w:basedOn w:val="a"/>
    <w:next w:val="a"/>
    <w:autoRedefine/>
    <w:uiPriority w:val="39"/>
    <w:rsid w:val="00D643B9"/>
    <w:pPr>
      <w:tabs>
        <w:tab w:val="right" w:leader="hyphen" w:pos="8505"/>
      </w:tabs>
      <w:ind w:leftChars="0" w:left="487" w:rightChars="99" w:right="281" w:hangingChars="200" w:hanging="487"/>
    </w:pPr>
    <w:rPr>
      <w:b/>
      <w:sz w:val="24"/>
    </w:rPr>
  </w:style>
  <w:style w:type="paragraph" w:styleId="24">
    <w:name w:val="toc 2"/>
    <w:basedOn w:val="a"/>
    <w:next w:val="a"/>
    <w:autoRedefine/>
    <w:uiPriority w:val="39"/>
    <w:rsid w:val="00E92BAD"/>
    <w:pPr>
      <w:tabs>
        <w:tab w:val="right" w:leader="hyphen" w:pos="8490"/>
      </w:tabs>
      <w:ind w:leftChars="0" w:left="566" w:hangingChars="200" w:hanging="566"/>
    </w:pPr>
    <w:rPr>
      <w:sz w:val="24"/>
    </w:rPr>
  </w:style>
  <w:style w:type="paragraph" w:styleId="af0">
    <w:name w:val="header"/>
    <w:basedOn w:val="a"/>
    <w:link w:val="af1"/>
    <w:rsid w:val="00E92BAD"/>
    <w:pPr>
      <w:tabs>
        <w:tab w:val="center" w:pos="4153"/>
        <w:tab w:val="right" w:pos="8306"/>
      </w:tabs>
      <w:snapToGrid w:val="0"/>
      <w:spacing w:line="480" w:lineRule="exact"/>
    </w:pPr>
    <w:rPr>
      <w:rFonts w:ascii="Times New Roman"/>
      <w:sz w:val="20"/>
      <w:szCs w:val="20"/>
    </w:rPr>
  </w:style>
  <w:style w:type="character" w:customStyle="1" w:styleId="af1">
    <w:name w:val="頁首 字元"/>
    <w:link w:val="af0"/>
    <w:rsid w:val="00E92BAD"/>
    <w:rPr>
      <w:rFonts w:eastAsia="標楷體"/>
      <w:snapToGrid/>
      <w:kern w:val="2"/>
    </w:rPr>
  </w:style>
  <w:style w:type="paragraph" w:styleId="af2">
    <w:name w:val="footer"/>
    <w:basedOn w:val="a"/>
    <w:link w:val="af3"/>
    <w:rsid w:val="00E92BAD"/>
    <w:pPr>
      <w:tabs>
        <w:tab w:val="center" w:pos="4153"/>
        <w:tab w:val="right" w:pos="8306"/>
      </w:tabs>
      <w:snapToGrid w:val="0"/>
      <w:spacing w:line="480" w:lineRule="exact"/>
    </w:pPr>
    <w:rPr>
      <w:rFonts w:ascii="Times New Roman"/>
      <w:sz w:val="20"/>
      <w:szCs w:val="20"/>
    </w:rPr>
  </w:style>
  <w:style w:type="character" w:customStyle="1" w:styleId="af3">
    <w:name w:val="頁尾 字元"/>
    <w:link w:val="af2"/>
    <w:rsid w:val="00E92BAD"/>
    <w:rPr>
      <w:rFonts w:eastAsia="標楷體"/>
      <w:snapToGrid/>
      <w:kern w:val="2"/>
    </w:rPr>
  </w:style>
  <w:style w:type="character" w:styleId="af4">
    <w:name w:val="page number"/>
    <w:rsid w:val="00E92BAD"/>
  </w:style>
  <w:style w:type="paragraph" w:styleId="af5">
    <w:name w:val="footnote text"/>
    <w:basedOn w:val="a"/>
    <w:link w:val="af6"/>
    <w:rsid w:val="00E92BAD"/>
    <w:pPr>
      <w:snapToGrid w:val="0"/>
      <w:jc w:val="left"/>
    </w:pPr>
    <w:rPr>
      <w:sz w:val="20"/>
      <w:szCs w:val="20"/>
    </w:rPr>
  </w:style>
  <w:style w:type="character" w:customStyle="1" w:styleId="af6">
    <w:name w:val="註腳文字 字元"/>
    <w:link w:val="af5"/>
    <w:rsid w:val="00E92BAD"/>
    <w:rPr>
      <w:rFonts w:ascii="標楷體" w:eastAsia="標楷體"/>
      <w:snapToGrid/>
      <w:kern w:val="2"/>
    </w:rPr>
  </w:style>
  <w:style w:type="character" w:styleId="af7">
    <w:name w:val="footnote reference"/>
    <w:aliases w:val="FR,Ref,de nota al pie,註腳內容,Error-Fußnotenzeichen5,Error-Fußnotenzeichen6,Error-Fußnotenzeichen3,4_G,FZ,Error-Fusnotßnotenzeichen5,Error-Fußnotenzeic"/>
    <w:qFormat/>
    <w:rsid w:val="00E92BAD"/>
    <w:rPr>
      <w:vertAlign w:val="superscript"/>
    </w:rPr>
  </w:style>
  <w:style w:type="paragraph" w:customStyle="1" w:styleId="af8">
    <w:name w:val="題目"/>
    <w:basedOn w:val="a"/>
    <w:rsid w:val="00BE2ADF"/>
    <w:pPr>
      <w:spacing w:line="240" w:lineRule="auto"/>
      <w:ind w:leftChars="0" w:left="600" w:firstLineChars="0" w:hanging="600"/>
    </w:pPr>
    <w:rPr>
      <w:rFonts w:ascii="Times New Roman"/>
      <w:kern w:val="0"/>
      <w:szCs w:val="20"/>
    </w:rPr>
  </w:style>
  <w:style w:type="table" w:styleId="af9">
    <w:name w:val="Table Grid"/>
    <w:basedOn w:val="a1"/>
    <w:rsid w:val="00BE2AD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字元 字元2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1"/>
    <w:basedOn w:val="a"/>
    <w:semiHidden/>
    <w:rsid w:val="00BE2AD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字元 字元 字元"/>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
    <w:name w:val="字元 字元5"/>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annotation reference"/>
    <w:semiHidden/>
    <w:rsid w:val="00BE2ADF"/>
    <w:rPr>
      <w:sz w:val="18"/>
      <w:szCs w:val="18"/>
    </w:rPr>
  </w:style>
  <w:style w:type="paragraph" w:styleId="afc">
    <w:name w:val="annotation text"/>
    <w:basedOn w:val="a"/>
    <w:link w:val="afd"/>
    <w:semiHidden/>
    <w:rsid w:val="00BE2ADF"/>
    <w:pPr>
      <w:jc w:val="left"/>
    </w:pPr>
  </w:style>
  <w:style w:type="character" w:customStyle="1" w:styleId="afd">
    <w:name w:val="註解文字 字元"/>
    <w:link w:val="afc"/>
    <w:semiHidden/>
    <w:rsid w:val="00BE2ADF"/>
    <w:rPr>
      <w:rFonts w:ascii="標楷體" w:eastAsia="標楷體"/>
      <w:snapToGrid/>
      <w:kern w:val="2"/>
      <w:sz w:val="28"/>
      <w:szCs w:val="28"/>
    </w:rPr>
  </w:style>
  <w:style w:type="paragraph" w:styleId="afe">
    <w:name w:val="annotation subject"/>
    <w:basedOn w:val="afc"/>
    <w:next w:val="afc"/>
    <w:link w:val="aff"/>
    <w:semiHidden/>
    <w:rsid w:val="00BE2ADF"/>
    <w:rPr>
      <w:b/>
      <w:bCs/>
    </w:rPr>
  </w:style>
  <w:style w:type="character" w:customStyle="1" w:styleId="aff">
    <w:name w:val="註解主旨 字元"/>
    <w:link w:val="afe"/>
    <w:semiHidden/>
    <w:rsid w:val="00BE2ADF"/>
    <w:rPr>
      <w:rFonts w:ascii="標楷體" w:eastAsia="標楷體"/>
      <w:b/>
      <w:bCs/>
      <w:snapToGrid/>
      <w:kern w:val="2"/>
      <w:sz w:val="28"/>
      <w:szCs w:val="28"/>
    </w:rPr>
  </w:style>
  <w:style w:type="paragraph" w:styleId="aff0">
    <w:name w:val="Balloon Text"/>
    <w:basedOn w:val="a"/>
    <w:link w:val="aff1"/>
    <w:semiHidden/>
    <w:rsid w:val="00BE2ADF"/>
    <w:rPr>
      <w:rFonts w:ascii="Arial" w:eastAsia="新細明體" w:hAnsi="Arial"/>
      <w:sz w:val="18"/>
      <w:szCs w:val="18"/>
    </w:rPr>
  </w:style>
  <w:style w:type="character" w:customStyle="1" w:styleId="aff1">
    <w:name w:val="註解方塊文字 字元"/>
    <w:link w:val="aff0"/>
    <w:semiHidden/>
    <w:rsid w:val="00BE2ADF"/>
    <w:rPr>
      <w:rFonts w:ascii="Arial" w:hAnsi="Arial"/>
      <w:snapToGrid/>
      <w:kern w:val="2"/>
      <w:sz w:val="18"/>
      <w:szCs w:val="18"/>
    </w:rPr>
  </w:style>
  <w:style w:type="paragraph" w:customStyle="1" w:styleId="aff2">
    <w:name w:val="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uiPriority w:val="99"/>
    <w:semiHidden/>
    <w:unhideWhenUsed/>
    <w:rsid w:val="00BE2ADF"/>
    <w:rPr>
      <w:color w:val="800080"/>
      <w:u w:val="single"/>
    </w:rPr>
  </w:style>
  <w:style w:type="paragraph" w:styleId="aff4">
    <w:name w:val="Closing"/>
    <w:basedOn w:val="a"/>
    <w:link w:val="aff5"/>
    <w:uiPriority w:val="99"/>
    <w:unhideWhenUsed/>
    <w:rsid w:val="00BE2ADF"/>
    <w:pPr>
      <w:ind w:leftChars="1800" w:left="100"/>
    </w:pPr>
    <w:rPr>
      <w:rFonts w:hAnsi="標楷體"/>
    </w:rPr>
  </w:style>
  <w:style w:type="character" w:customStyle="1" w:styleId="aff5">
    <w:name w:val="結語 字元"/>
    <w:link w:val="aff4"/>
    <w:uiPriority w:val="99"/>
    <w:rsid w:val="00BE2ADF"/>
    <w:rPr>
      <w:rFonts w:ascii="標楷體" w:eastAsia="標楷體" w:hAnsi="標楷體"/>
      <w:snapToGrid/>
      <w:kern w:val="2"/>
      <w:sz w:val="28"/>
      <w:szCs w:val="28"/>
    </w:rPr>
  </w:style>
  <w:style w:type="table" w:customStyle="1" w:styleId="28">
    <w:name w:val="表格格線2"/>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9D2F0C"/>
    <w:rPr>
      <w:rFonts w:ascii="標楷體" w:eastAsia="標楷體"/>
      <w:snapToGrid/>
      <w:kern w:val="2"/>
      <w:sz w:val="24"/>
      <w:szCs w:val="28"/>
    </w:rPr>
  </w:style>
  <w:style w:type="paragraph" w:styleId="aff6">
    <w:name w:val="Body Text"/>
    <w:basedOn w:val="a"/>
    <w:link w:val="aff7"/>
    <w:rsid w:val="00374D39"/>
    <w:pPr>
      <w:widowControl/>
      <w:spacing w:after="220" w:line="180" w:lineRule="atLeast"/>
      <w:ind w:leftChars="0" w:left="0" w:firstLineChars="0" w:firstLine="0"/>
    </w:pPr>
    <w:rPr>
      <w:rFonts w:ascii="Arial" w:hAnsi="Arial"/>
      <w:snapToGrid/>
      <w:spacing w:val="-5"/>
      <w:kern w:val="0"/>
      <w:szCs w:val="20"/>
    </w:rPr>
  </w:style>
  <w:style w:type="character" w:customStyle="1" w:styleId="aff7">
    <w:name w:val="本文 字元"/>
    <w:link w:val="aff6"/>
    <w:rsid w:val="00374D39"/>
    <w:rPr>
      <w:rFonts w:ascii="Arial" w:eastAsia="標楷體" w:hAnsi="Arial"/>
      <w:spacing w:val="-5"/>
      <w:sz w:val="28"/>
    </w:rPr>
  </w:style>
  <w:style w:type="character" w:customStyle="1" w:styleId="1230">
    <w:name w:val="1.2.3. 字元"/>
    <w:link w:val="123"/>
    <w:rsid w:val="00BE7B0A"/>
    <w:rPr>
      <w:rFonts w:ascii="標楷體" w:eastAsia="標楷體"/>
      <w:snapToGrid/>
      <w:kern w:val="2"/>
      <w:sz w:val="28"/>
      <w:szCs w:val="28"/>
    </w:rPr>
  </w:style>
  <w:style w:type="character" w:styleId="aff8">
    <w:name w:val="Emphasis"/>
    <w:qFormat/>
    <w:rsid w:val="00B773CA"/>
    <w:rPr>
      <w:i/>
      <w:iCs/>
    </w:rPr>
  </w:style>
  <w:style w:type="paragraph" w:customStyle="1" w:styleId="aff9">
    <w:name w:val="附註"/>
    <w:basedOn w:val="142"/>
    <w:qFormat/>
    <w:rsid w:val="00F07F58"/>
    <w:pPr>
      <w:ind w:leftChars="5" w:left="138" w:hangingChars="51" w:hanging="124"/>
      <w:jc w:val="both"/>
    </w:pPr>
    <w:rPr>
      <w:snapToGrid/>
    </w:rPr>
  </w:style>
  <w:style w:type="paragraph" w:customStyle="1" w:styleId="affa">
    <w:name w:val="表格內文標題(加粗)"/>
    <w:basedOn w:val="142"/>
    <w:qFormat/>
    <w:rsid w:val="00F07F58"/>
    <w:rPr>
      <w:b/>
    </w:rPr>
  </w:style>
  <w:style w:type="paragraph" w:customStyle="1" w:styleId="-">
    <w:name w:val="表格內文-置左"/>
    <w:basedOn w:val="142"/>
    <w:qFormat/>
    <w:rsid w:val="00F07F58"/>
    <w:rPr>
      <w:rFonts w:hAnsi="標楷體"/>
    </w:rPr>
  </w:style>
  <w:style w:type="paragraph" w:customStyle="1" w:styleId="29">
    <w:name w:val="(一)下內文縮2(現行)"/>
    <w:basedOn w:val="22"/>
    <w:qFormat/>
    <w:rsid w:val="00880E76"/>
    <w:pPr>
      <w:ind w:left="850" w:firstLine="566"/>
    </w:pPr>
  </w:style>
  <w:style w:type="paragraph" w:customStyle="1" w:styleId="-0">
    <w:name w:val="表格內文-置中"/>
    <w:basedOn w:val="142"/>
    <w:qFormat/>
    <w:rsid w:val="00880E76"/>
    <w:pPr>
      <w:jc w:val="center"/>
    </w:pPr>
  </w:style>
  <w:style w:type="paragraph" w:customStyle="1" w:styleId="affb">
    <w:name w:val="表格說明"/>
    <w:basedOn w:val="142"/>
    <w:qFormat/>
    <w:rsid w:val="00880E76"/>
    <w:pPr>
      <w:ind w:leftChars="-3" w:left="1208" w:hangingChars="500" w:hanging="1216"/>
      <w:jc w:val="both"/>
    </w:pPr>
  </w:style>
  <w:style w:type="paragraph" w:customStyle="1" w:styleId="affc">
    <w:name w:val="一、"/>
    <w:basedOn w:val="14"/>
    <w:qFormat/>
    <w:rsid w:val="00880E76"/>
    <w:pPr>
      <w:ind w:left="567" w:hanging="567"/>
    </w:pPr>
    <w:rPr>
      <w:color w:val="000000"/>
    </w:rPr>
  </w:style>
  <w:style w:type="paragraph" w:customStyle="1" w:styleId="affd">
    <w:name w:val="內文結語"/>
    <w:basedOn w:val="a"/>
    <w:qFormat/>
    <w:rsid w:val="00880E76"/>
    <w:pPr>
      <w:ind w:left="566" w:firstLine="566"/>
    </w:pPr>
    <w:rPr>
      <w:lang w:bidi="hi-IN"/>
    </w:rPr>
  </w:style>
  <w:style w:type="character" w:customStyle="1" w:styleId="affe">
    <w:name w:val="(一)(二)(三) 字元"/>
    <w:rsid w:val="004E5846"/>
    <w:rPr>
      <w:rFonts w:ascii="標楷體" w:eastAsia="標楷體"/>
      <w:snapToGrid w:val="0"/>
      <w:kern w:val="2"/>
      <w:sz w:val="28"/>
      <w:szCs w:val="28"/>
    </w:rPr>
  </w:style>
  <w:style w:type="character" w:customStyle="1" w:styleId="afff">
    <w:name w:val="未解析的提及"/>
    <w:uiPriority w:val="99"/>
    <w:semiHidden/>
    <w:unhideWhenUsed/>
    <w:rsid w:val="00C45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673617">
      <w:bodyDiv w:val="1"/>
      <w:marLeft w:val="0"/>
      <w:marRight w:val="0"/>
      <w:marTop w:val="0"/>
      <w:marBottom w:val="0"/>
      <w:divBdr>
        <w:top w:val="none" w:sz="0" w:space="0" w:color="auto"/>
        <w:left w:val="none" w:sz="0" w:space="0" w:color="auto"/>
        <w:bottom w:val="none" w:sz="0" w:space="0" w:color="auto"/>
        <w:right w:val="none" w:sz="0" w:space="0" w:color="auto"/>
      </w:divBdr>
    </w:div>
    <w:div w:id="829520356">
      <w:bodyDiv w:val="1"/>
      <w:marLeft w:val="0"/>
      <w:marRight w:val="0"/>
      <w:marTop w:val="0"/>
      <w:marBottom w:val="0"/>
      <w:divBdr>
        <w:top w:val="none" w:sz="0" w:space="0" w:color="auto"/>
        <w:left w:val="none" w:sz="0" w:space="0" w:color="auto"/>
        <w:bottom w:val="none" w:sz="0" w:space="0" w:color="auto"/>
        <w:right w:val="none" w:sz="0" w:space="0" w:color="auto"/>
      </w:divBdr>
    </w:div>
    <w:div w:id="1026519740">
      <w:bodyDiv w:val="1"/>
      <w:marLeft w:val="0"/>
      <w:marRight w:val="0"/>
      <w:marTop w:val="0"/>
      <w:marBottom w:val="0"/>
      <w:divBdr>
        <w:top w:val="none" w:sz="0" w:space="0" w:color="auto"/>
        <w:left w:val="none" w:sz="0" w:space="0" w:color="auto"/>
        <w:bottom w:val="none" w:sz="0" w:space="0" w:color="auto"/>
        <w:right w:val="none" w:sz="0" w:space="0" w:color="auto"/>
      </w:divBdr>
    </w:div>
    <w:div w:id="1069186578">
      <w:bodyDiv w:val="1"/>
      <w:marLeft w:val="0"/>
      <w:marRight w:val="0"/>
      <w:marTop w:val="0"/>
      <w:marBottom w:val="0"/>
      <w:divBdr>
        <w:top w:val="none" w:sz="0" w:space="0" w:color="auto"/>
        <w:left w:val="none" w:sz="0" w:space="0" w:color="auto"/>
        <w:bottom w:val="none" w:sz="0" w:space="0" w:color="auto"/>
        <w:right w:val="none" w:sz="0" w:space="0" w:color="auto"/>
      </w:divBdr>
    </w:div>
    <w:div w:id="1665086968">
      <w:bodyDiv w:val="1"/>
      <w:marLeft w:val="0"/>
      <w:marRight w:val="0"/>
      <w:marTop w:val="0"/>
      <w:marBottom w:val="0"/>
      <w:divBdr>
        <w:top w:val="none" w:sz="0" w:space="0" w:color="auto"/>
        <w:left w:val="none" w:sz="0" w:space="0" w:color="auto"/>
        <w:bottom w:val="none" w:sz="0" w:space="0" w:color="auto"/>
        <w:right w:val="none" w:sz="0" w:space="0" w:color="auto"/>
      </w:divBdr>
    </w:div>
    <w:div w:id="191924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F1B96-7D54-4FB6-9C6B-A88553B9B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1124</Words>
  <Characters>6412</Characters>
  <Application>Microsoft Office Word</Application>
  <DocSecurity>0</DocSecurity>
  <Lines>53</Lines>
  <Paragraphs>15</Paragraphs>
  <ScaleCrop>false</ScaleCrop>
  <Company>HOME</Company>
  <LinksUpToDate>false</LinksUpToDate>
  <CharactersWithSpaces>7521</CharactersWithSpaces>
  <SharedDoc>false</SharedDoc>
  <HLinks>
    <vt:vector size="18" baseType="variant">
      <vt:variant>
        <vt:i4>1966142</vt:i4>
      </vt:variant>
      <vt:variant>
        <vt:i4>14</vt:i4>
      </vt:variant>
      <vt:variant>
        <vt:i4>0</vt:i4>
      </vt:variant>
      <vt:variant>
        <vt:i4>5</vt:i4>
      </vt:variant>
      <vt:variant>
        <vt:lpwstr/>
      </vt:variant>
      <vt:variant>
        <vt:lpwstr>_Toc217892222</vt:lpwstr>
      </vt:variant>
      <vt:variant>
        <vt:i4>1966142</vt:i4>
      </vt:variant>
      <vt:variant>
        <vt:i4>8</vt:i4>
      </vt:variant>
      <vt:variant>
        <vt:i4>0</vt:i4>
      </vt:variant>
      <vt:variant>
        <vt:i4>5</vt:i4>
      </vt:variant>
      <vt:variant>
        <vt:lpwstr/>
      </vt:variant>
      <vt:variant>
        <vt:lpwstr>_Toc217892221</vt:lpwstr>
      </vt:variant>
      <vt:variant>
        <vt:i4>1966142</vt:i4>
      </vt:variant>
      <vt:variant>
        <vt:i4>2</vt:i4>
      </vt:variant>
      <vt:variant>
        <vt:i4>0</vt:i4>
      </vt:variant>
      <vt:variant>
        <vt:i4>5</vt:i4>
      </vt:variant>
      <vt:variant>
        <vt:lpwstr/>
      </vt:variant>
      <vt:variant>
        <vt:lpwstr>_Toc217892220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2025-12-30T01:19:00Z</cp:lastPrinted>
  <dcterms:created xsi:type="dcterms:W3CDTF">2025-12-30T02:40:00Z</dcterms:created>
  <dcterms:modified xsi:type="dcterms:W3CDTF">2025-12-30T02:40:00Z</dcterms:modified>
</cp:coreProperties>
</file>