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2D9" w:rsidRDefault="006702D9" w:rsidP="006702D9">
      <w:pPr>
        <w:pStyle w:val="a6"/>
        <w:overflowPunct w:val="0"/>
      </w:pPr>
      <w:bookmarkStart w:id="0" w:name="_GoBack"/>
      <w:bookmarkEnd w:id="0"/>
      <w:r>
        <w:rPr>
          <w:rFonts w:hint="eastAsia"/>
        </w:rPr>
        <w:t>審計部及所屬</w:t>
      </w:r>
      <w:r>
        <w:t>11</w:t>
      </w:r>
      <w:r>
        <w:rPr>
          <w:rFonts w:hint="eastAsia"/>
        </w:rPr>
        <w:t>3年度單位決算評估報告</w:t>
      </w:r>
    </w:p>
    <w:p w:rsidR="006702D9" w:rsidRPr="00CE6ED8" w:rsidRDefault="006702D9" w:rsidP="00CE6ED8">
      <w:pPr>
        <w:pStyle w:val="144"/>
        <w:ind w:left="454" w:hanging="454"/>
      </w:pPr>
      <w:bookmarkStart w:id="1" w:name="_Toc116371930"/>
      <w:bookmarkStart w:id="2" w:name="_Toc116372292"/>
      <w:bookmarkStart w:id="3" w:name="_Toc116372332"/>
      <w:bookmarkStart w:id="4" w:name="_Toc116373513"/>
      <w:bookmarkStart w:id="5" w:name="_Toc85458145"/>
      <w:bookmarkStart w:id="6" w:name="_Toc495936061"/>
      <w:bookmarkStart w:id="7" w:name="_Toc217639137"/>
      <w:bookmarkStart w:id="8" w:name="_Toc217996390"/>
      <w:bookmarkStart w:id="9" w:name="_Toc217996531"/>
      <w:r w:rsidRPr="00CE6ED8">
        <w:rPr>
          <w:rFonts w:hint="eastAsia"/>
        </w:rPr>
        <w:t>一、近年中央政府總決算修正減列數金額及主要原因</w:t>
      </w:r>
      <w:r w:rsidRPr="00A229FF">
        <w:rPr>
          <w:rFonts w:hint="eastAsia"/>
          <w:spacing w:val="2"/>
        </w:rPr>
        <w:t>無明顯差異，</w:t>
      </w:r>
      <w:r w:rsidRPr="00CE6ED8">
        <w:rPr>
          <w:rFonts w:hint="eastAsia"/>
        </w:rPr>
        <w:t>又113年度重要審核意見項數略減，112年度仍有近三成項目待改善，允宜持續加強審核及研謀強化查核方法，並追蹤督促改善</w:t>
      </w:r>
      <w:bookmarkEnd w:id="7"/>
      <w:bookmarkEnd w:id="8"/>
      <w:bookmarkEnd w:id="9"/>
    </w:p>
    <w:p w:rsidR="006702D9" w:rsidRPr="008F51DE" w:rsidRDefault="006702D9" w:rsidP="006702D9">
      <w:pPr>
        <w:overflowPunct w:val="0"/>
        <w:ind w:left="566" w:firstLine="566"/>
      </w:pPr>
      <w:r w:rsidRPr="00B14D86">
        <w:rPr>
          <w:rFonts w:hint="eastAsia"/>
        </w:rPr>
        <w:t>審計部11</w:t>
      </w:r>
      <w:r>
        <w:rPr>
          <w:rFonts w:hint="eastAsia"/>
        </w:rPr>
        <w:t>3</w:t>
      </w:r>
      <w:r w:rsidRPr="00B14D86">
        <w:rPr>
          <w:rFonts w:hint="eastAsia"/>
        </w:rPr>
        <w:t>年度</w:t>
      </w:r>
      <w:r>
        <w:rPr>
          <w:rFonts w:hint="eastAsia"/>
        </w:rPr>
        <w:t>「中央政府審計」預算數6</w:t>
      </w:r>
      <w:r>
        <w:t>,</w:t>
      </w:r>
      <w:r>
        <w:rPr>
          <w:rFonts w:hint="eastAsia"/>
        </w:rPr>
        <w:t>906萬1千元</w:t>
      </w:r>
      <w:r>
        <w:rPr>
          <w:rStyle w:val="af1"/>
        </w:rPr>
        <w:footnoteReference w:id="1"/>
      </w:r>
      <w:r>
        <w:rPr>
          <w:rFonts w:hint="eastAsia"/>
        </w:rPr>
        <w:t>、決算數6</w:t>
      </w:r>
      <w:r>
        <w:t>,</w:t>
      </w:r>
      <w:r>
        <w:rPr>
          <w:rFonts w:hint="eastAsia"/>
        </w:rPr>
        <w:t>903萬5千元，執行率99.96%</w:t>
      </w:r>
      <w:r w:rsidRPr="00DF1C6E">
        <w:rPr>
          <w:rFonts w:hAnsi="標楷體" w:hint="eastAsia"/>
        </w:rPr>
        <w:t>。</w:t>
      </w:r>
      <w:r>
        <w:rPr>
          <w:rFonts w:hAnsi="標楷體" w:hint="eastAsia"/>
        </w:rPr>
        <w:t>依</w:t>
      </w:r>
      <w:r w:rsidRPr="00766543">
        <w:rPr>
          <w:rFonts w:hint="eastAsia"/>
        </w:rPr>
        <w:t>審計法第2條規定：「審計職權如左：一、監督預算之執行。二、核定收支命令。三、審核財務收支，審定決算。四、稽察財物及財政上之不法或不忠於職務之行為。五、考核財務效能。六、核定財務責任。七、其他依法律應行辦理之審計事項。」</w:t>
      </w:r>
      <w:r>
        <w:rPr>
          <w:rFonts w:hint="eastAsia"/>
        </w:rPr>
        <w:t>惟</w:t>
      </w:r>
      <w:r w:rsidRPr="008B2E4D">
        <w:rPr>
          <w:rFonts w:hint="eastAsia"/>
        </w:rPr>
        <w:t>113年度重要審核意見項數略減，112年度仍有近三成項目待改善</w:t>
      </w:r>
      <w:r>
        <w:rPr>
          <w:rFonts w:hint="eastAsia"/>
        </w:rPr>
        <w:t>。</w:t>
      </w:r>
      <w:r>
        <w:rPr>
          <w:rFonts w:hAnsi="標楷體" w:hint="eastAsia"/>
        </w:rPr>
        <w:t>經查</w:t>
      </w:r>
      <w:r>
        <w:rPr>
          <w:rFonts w:ascii="新細明體" w:eastAsia="新細明體" w:hAnsi="新細明體" w:hint="eastAsia"/>
        </w:rPr>
        <w:t>：</w:t>
      </w:r>
    </w:p>
    <w:p w:rsidR="006702D9" w:rsidRPr="00CE6ED8" w:rsidRDefault="006702D9" w:rsidP="00CE6ED8">
      <w:pPr>
        <w:pStyle w:val="af9"/>
        <w:ind w:left="849" w:hanging="283"/>
        <w:rPr>
          <w:rFonts w:hAnsi="標楷體"/>
          <w:b/>
          <w:snapToGrid w:val="0"/>
        </w:rPr>
      </w:pPr>
      <w:r w:rsidRPr="00CE6ED8">
        <w:rPr>
          <w:rFonts w:hAnsi="標楷體" w:hint="eastAsia"/>
          <w:b/>
          <w:snapToGrid w:val="0"/>
        </w:rPr>
        <w:t>(一</w:t>
      </w:r>
      <w:r w:rsidRPr="00CE6ED8">
        <w:rPr>
          <w:rFonts w:hAnsi="標楷體"/>
          <w:b/>
          <w:snapToGrid w:val="0"/>
        </w:rPr>
        <w:t>)</w:t>
      </w:r>
      <w:r w:rsidRPr="00CE6ED8">
        <w:rPr>
          <w:rFonts w:hAnsi="標楷體" w:hint="eastAsia"/>
          <w:b/>
          <w:snapToGrid w:val="0"/>
        </w:rPr>
        <w:t>近4年度中央政府總決算歲出決算修正減列數金額介於5.2億餘元至5.8億餘元間，其中屬列支費用與法規未合者比率甚低，允宜研謀強化查核方法，俾提升審計功能</w:t>
      </w:r>
    </w:p>
    <w:p w:rsidR="006702D9" w:rsidRDefault="006702D9" w:rsidP="006702D9">
      <w:pPr>
        <w:overflowPunct w:val="0"/>
        <w:adjustRightInd w:val="0"/>
        <w:ind w:leftChars="300" w:left="850" w:firstLine="566"/>
      </w:pPr>
      <w:r>
        <w:rPr>
          <w:rFonts w:hint="eastAsia"/>
        </w:rPr>
        <w:t>揆</w:t>
      </w:r>
      <w:r w:rsidRPr="00787CDA">
        <w:rPr>
          <w:rFonts w:hint="eastAsia"/>
        </w:rPr>
        <w:t>審計部</w:t>
      </w:r>
      <w:r>
        <w:rPr>
          <w:rFonts w:hint="eastAsia"/>
        </w:rPr>
        <w:t>近10年度(</w:t>
      </w:r>
      <w:r w:rsidRPr="00787CDA">
        <w:rPr>
          <w:rFonts w:hint="eastAsia"/>
        </w:rPr>
        <w:t>10</w:t>
      </w:r>
      <w:r>
        <w:rPr>
          <w:rFonts w:hint="eastAsia"/>
        </w:rPr>
        <w:t>4</w:t>
      </w:r>
      <w:r w:rsidRPr="00787CDA">
        <w:rPr>
          <w:rFonts w:hint="eastAsia"/>
        </w:rPr>
        <w:t>至</w:t>
      </w:r>
      <w:r w:rsidRPr="00787CDA">
        <w:t>11</w:t>
      </w:r>
      <w:r>
        <w:rPr>
          <w:rFonts w:hint="eastAsia"/>
        </w:rPr>
        <w:t>3</w:t>
      </w:r>
      <w:r w:rsidRPr="00787CDA">
        <w:rPr>
          <w:rFonts w:hint="eastAsia"/>
        </w:rPr>
        <w:t>年度</w:t>
      </w:r>
      <w:r>
        <w:rPr>
          <w:rFonts w:hint="eastAsia"/>
        </w:rPr>
        <w:t>)</w:t>
      </w:r>
      <w:r w:rsidRPr="00787CDA">
        <w:rPr>
          <w:rFonts w:hint="eastAsia"/>
        </w:rPr>
        <w:t>中央政府總決算審核報告，修正歲出決算之減列繳庫數</w:t>
      </w:r>
      <w:r>
        <w:rPr>
          <w:rFonts w:hint="eastAsia"/>
        </w:rPr>
        <w:t>介於</w:t>
      </w:r>
      <w:r w:rsidRPr="00787CDA">
        <w:t>1</w:t>
      </w:r>
      <w:r w:rsidRPr="00787CDA">
        <w:rPr>
          <w:rFonts w:hint="eastAsia"/>
        </w:rPr>
        <w:t>億</w:t>
      </w:r>
      <w:r w:rsidRPr="00787CDA">
        <w:t>3,795</w:t>
      </w:r>
      <w:r w:rsidRPr="00787CDA">
        <w:rPr>
          <w:rFonts w:hint="eastAsia"/>
        </w:rPr>
        <w:t>萬元至</w:t>
      </w:r>
      <w:r w:rsidRPr="00787CDA">
        <w:t>36億7,674萬元</w:t>
      </w:r>
      <w:r>
        <w:rPr>
          <w:rFonts w:hint="eastAsia"/>
        </w:rPr>
        <w:t>間</w:t>
      </w:r>
      <w:r w:rsidRPr="00787CDA">
        <w:rPr>
          <w:rFonts w:hint="eastAsia"/>
        </w:rPr>
        <w:t>(詳表1)</w:t>
      </w:r>
      <w:r w:rsidRPr="001619EC">
        <w:rPr>
          <w:rFonts w:hAnsi="標楷體" w:hint="eastAsia"/>
        </w:rPr>
        <w:t>，</w:t>
      </w:r>
      <w:r>
        <w:rPr>
          <w:rFonts w:hAnsi="標楷體" w:hint="eastAsia"/>
        </w:rPr>
        <w:t>其中</w:t>
      </w:r>
      <w:r w:rsidRPr="001619EC">
        <w:rPr>
          <w:rFonts w:hAnsi="標楷體" w:hint="eastAsia"/>
        </w:rPr>
        <w:t>106年度決算歲出減列數遽增</w:t>
      </w:r>
      <w:r>
        <w:rPr>
          <w:rFonts w:hAnsi="標楷體" w:hint="eastAsia"/>
        </w:rPr>
        <w:t>，</w:t>
      </w:r>
      <w:r w:rsidRPr="001619EC">
        <w:rPr>
          <w:rFonts w:hAnsi="標楷體" w:hint="eastAsia"/>
        </w:rPr>
        <w:t>主要係衛生福利部所屬機關補助經費賸餘款減列31億餘元，其餘年度減列數最高為105年度之</w:t>
      </w:r>
      <w:r w:rsidRPr="001619EC">
        <w:rPr>
          <w:rFonts w:hAnsi="標楷體"/>
        </w:rPr>
        <w:t>6</w:t>
      </w:r>
      <w:r w:rsidRPr="001619EC">
        <w:rPr>
          <w:rFonts w:hAnsi="標楷體" w:hint="eastAsia"/>
        </w:rPr>
        <w:t>億</w:t>
      </w:r>
      <w:r w:rsidRPr="001619EC">
        <w:rPr>
          <w:rFonts w:hAnsi="標楷體"/>
        </w:rPr>
        <w:t>5</w:t>
      </w:r>
      <w:r w:rsidRPr="001619EC">
        <w:rPr>
          <w:rFonts w:hAnsi="標楷體" w:hint="eastAsia"/>
        </w:rPr>
        <w:t>,</w:t>
      </w:r>
      <w:r w:rsidRPr="001619EC">
        <w:rPr>
          <w:rFonts w:hAnsi="標楷體"/>
        </w:rPr>
        <w:t>587</w:t>
      </w:r>
      <w:r w:rsidRPr="001619EC">
        <w:rPr>
          <w:rFonts w:hAnsi="標楷體" w:hint="eastAsia"/>
        </w:rPr>
        <w:t>萬元</w:t>
      </w:r>
      <w:r>
        <w:rPr>
          <w:rFonts w:hint="eastAsia"/>
        </w:rPr>
        <w:t>；近4年度(</w:t>
      </w:r>
      <w:r w:rsidRPr="00787CDA">
        <w:t>110</w:t>
      </w:r>
      <w:r>
        <w:rPr>
          <w:rFonts w:hint="eastAsia"/>
        </w:rPr>
        <w:t>至113</w:t>
      </w:r>
      <w:r w:rsidRPr="00787CDA">
        <w:rPr>
          <w:rFonts w:hint="eastAsia"/>
        </w:rPr>
        <w:t>年度</w:t>
      </w:r>
      <w:r>
        <w:rPr>
          <w:rFonts w:hint="eastAsia"/>
        </w:rPr>
        <w:t>)</w:t>
      </w:r>
      <w:r w:rsidRPr="00787CDA">
        <w:rPr>
          <w:rFonts w:hint="eastAsia"/>
        </w:rPr>
        <w:t>減列繳庫數</w:t>
      </w:r>
      <w:r>
        <w:rPr>
          <w:rFonts w:hint="eastAsia"/>
        </w:rPr>
        <w:t>介於5.2億餘元至5.8億餘元間，</w:t>
      </w:r>
      <w:r w:rsidRPr="00787CDA">
        <w:rPr>
          <w:rFonts w:hint="eastAsia"/>
        </w:rPr>
        <w:t>細究減列原因主要</w:t>
      </w:r>
      <w:r>
        <w:rPr>
          <w:rFonts w:hint="eastAsia"/>
        </w:rPr>
        <w:t>或為</w:t>
      </w:r>
      <w:r w:rsidRPr="00787CDA">
        <w:rPr>
          <w:rFonts w:hint="eastAsia"/>
        </w:rPr>
        <w:t>補助</w:t>
      </w:r>
      <w:r>
        <w:rPr>
          <w:rFonts w:hint="eastAsia"/>
        </w:rPr>
        <w:t>經費尚未支用即逕列實現數</w:t>
      </w:r>
      <w:r w:rsidRPr="00787CDA">
        <w:rPr>
          <w:rFonts w:hint="eastAsia"/>
        </w:rPr>
        <w:t>，</w:t>
      </w:r>
      <w:r>
        <w:rPr>
          <w:rFonts w:hint="eastAsia"/>
        </w:rPr>
        <w:t>或為</w:t>
      </w:r>
      <w:r w:rsidRPr="00787CDA">
        <w:rPr>
          <w:rFonts w:hint="eastAsia"/>
        </w:rPr>
        <w:t>補(捐)助及委辦等經費賸餘款</w:t>
      </w:r>
      <w:r>
        <w:rPr>
          <w:rFonts w:hint="eastAsia"/>
        </w:rPr>
        <w:t>等</w:t>
      </w:r>
      <w:r w:rsidRPr="00787CDA">
        <w:rPr>
          <w:rFonts w:hint="eastAsia"/>
        </w:rPr>
        <w:t>，經該部修正為減列數應繳回國庫</w:t>
      </w:r>
      <w:r>
        <w:rPr>
          <w:rFonts w:hint="eastAsia"/>
        </w:rPr>
        <w:t>，惟屬列支費用與法規未合者比率甚低，皆不到當年度減列數1%，至保留款與預算項目未合者近4年度甚無減列數，允宜持續加強審核，</w:t>
      </w:r>
      <w:r>
        <w:rPr>
          <w:rFonts w:hAnsi="標楷體" w:hint="eastAsia"/>
        </w:rPr>
        <w:t>研謀強化查核方法，俾發揮審計功能</w:t>
      </w:r>
      <w:r w:rsidRPr="00787CDA">
        <w:rPr>
          <w:rFonts w:hint="eastAsia"/>
        </w:rPr>
        <w:t>。</w:t>
      </w:r>
    </w:p>
    <w:p w:rsidR="006702D9" w:rsidRPr="00787CDA" w:rsidRDefault="006702D9" w:rsidP="006702D9">
      <w:pPr>
        <w:overflowPunct w:val="0"/>
        <w:spacing w:beforeLines="25" w:before="127" w:line="440" w:lineRule="exact"/>
        <w:ind w:leftChars="0" w:left="709" w:hangingChars="250" w:hanging="709"/>
        <w:jc w:val="distribute"/>
        <w:rPr>
          <w:rFonts w:hAnsi="標楷體"/>
          <w:sz w:val="24"/>
        </w:rPr>
      </w:pPr>
      <w:r w:rsidRPr="00787CDA">
        <w:rPr>
          <w:rFonts w:hAnsi="標楷體" w:hint="eastAsia"/>
          <w:b/>
        </w:rPr>
        <w:lastRenderedPageBreak/>
        <w:t>表1</w:t>
      </w:r>
      <w:r w:rsidRPr="00787CDA">
        <w:rPr>
          <w:rFonts w:hAnsi="標楷體"/>
          <w:b/>
        </w:rPr>
        <w:t xml:space="preserve">  </w:t>
      </w:r>
      <w:r w:rsidRPr="00787CDA">
        <w:rPr>
          <w:rFonts w:hAnsi="標楷體" w:hint="eastAsia"/>
          <w:b/>
        </w:rPr>
        <w:t>10</w:t>
      </w:r>
      <w:r>
        <w:rPr>
          <w:rFonts w:hAnsi="標楷體" w:hint="eastAsia"/>
          <w:b/>
        </w:rPr>
        <w:t>4</w:t>
      </w:r>
      <w:r w:rsidRPr="00787CDA">
        <w:rPr>
          <w:rFonts w:hAnsi="標楷體" w:hint="eastAsia"/>
          <w:b/>
        </w:rPr>
        <w:t>至11</w:t>
      </w:r>
      <w:r>
        <w:rPr>
          <w:rFonts w:hAnsi="標楷體" w:hint="eastAsia"/>
          <w:b/>
        </w:rPr>
        <w:t>3</w:t>
      </w:r>
      <w:r w:rsidRPr="00787CDA">
        <w:rPr>
          <w:rFonts w:hAnsi="標楷體" w:hint="eastAsia"/>
          <w:b/>
        </w:rPr>
        <w:t xml:space="preserve">年度中央政府總決算審核報告歲出決算修正剔除及減列繳庫數明細表 </w:t>
      </w:r>
      <w:r w:rsidRPr="00787CDA">
        <w:rPr>
          <w:rFonts w:hAnsi="標楷體" w:hint="eastAsia"/>
          <w:sz w:val="24"/>
        </w:rPr>
        <w:t xml:space="preserve">                           </w:t>
      </w:r>
      <w:r w:rsidRPr="00787CDA">
        <w:rPr>
          <w:rFonts w:hAnsi="標楷體"/>
          <w:sz w:val="24"/>
        </w:rPr>
        <w:t xml:space="preserve">    </w:t>
      </w:r>
      <w:r w:rsidRPr="00787CDA">
        <w:rPr>
          <w:rFonts w:hAnsi="標楷體" w:hint="eastAsia"/>
          <w:sz w:val="24"/>
        </w:rPr>
        <w:t>單位：新臺幣萬元</w:t>
      </w:r>
    </w:p>
    <w:tbl>
      <w:tblPr>
        <w:tblW w:w="850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1E0" w:firstRow="1" w:lastRow="1" w:firstColumn="1" w:lastColumn="1" w:noHBand="0" w:noVBand="0"/>
      </w:tblPr>
      <w:tblGrid>
        <w:gridCol w:w="709"/>
        <w:gridCol w:w="912"/>
        <w:gridCol w:w="1214"/>
        <w:gridCol w:w="1827"/>
        <w:gridCol w:w="1859"/>
        <w:gridCol w:w="912"/>
        <w:gridCol w:w="1072"/>
      </w:tblGrid>
      <w:tr w:rsidR="006702D9" w:rsidRPr="00787CDA" w:rsidTr="00F14BA1">
        <w:trPr>
          <w:trHeight w:val="547"/>
          <w:tblHeader/>
        </w:trPr>
        <w:tc>
          <w:tcPr>
            <w:tcW w:w="709" w:type="dxa"/>
            <w:vMerge w:val="restart"/>
            <w:shd w:val="clear" w:color="auto" w:fill="auto"/>
            <w:vAlign w:val="center"/>
          </w:tcPr>
          <w:p w:rsidR="006702D9" w:rsidRPr="00787CDA" w:rsidRDefault="006702D9" w:rsidP="006702D9">
            <w:pPr>
              <w:overflowPunct w:val="0"/>
              <w:spacing w:line="280" w:lineRule="exact"/>
              <w:ind w:leftChars="0" w:left="0" w:firstLineChars="0" w:firstLine="0"/>
              <w:jc w:val="center"/>
              <w:rPr>
                <w:b/>
                <w:sz w:val="24"/>
              </w:rPr>
            </w:pPr>
            <w:r w:rsidRPr="00787CDA">
              <w:rPr>
                <w:rFonts w:hint="eastAsia"/>
                <w:b/>
                <w:sz w:val="24"/>
              </w:rPr>
              <w:t>年度</w:t>
            </w:r>
          </w:p>
        </w:tc>
        <w:tc>
          <w:tcPr>
            <w:tcW w:w="2126" w:type="dxa"/>
            <w:gridSpan w:val="2"/>
            <w:shd w:val="clear" w:color="auto" w:fill="auto"/>
            <w:vAlign w:val="center"/>
          </w:tcPr>
          <w:p w:rsidR="006702D9" w:rsidRPr="00787CDA" w:rsidRDefault="006702D9" w:rsidP="006702D9">
            <w:pPr>
              <w:overflowPunct w:val="0"/>
              <w:spacing w:line="280" w:lineRule="exact"/>
              <w:ind w:leftChars="0" w:left="0" w:firstLineChars="0" w:firstLine="0"/>
              <w:jc w:val="center"/>
              <w:rPr>
                <w:b/>
                <w:sz w:val="24"/>
              </w:rPr>
            </w:pPr>
            <w:r w:rsidRPr="00787CDA">
              <w:rPr>
                <w:rFonts w:hint="eastAsia"/>
                <w:b/>
                <w:sz w:val="24"/>
              </w:rPr>
              <w:t>列支費用與有關</w:t>
            </w:r>
          </w:p>
          <w:p w:rsidR="006702D9" w:rsidRPr="00787CDA" w:rsidRDefault="006702D9" w:rsidP="006702D9">
            <w:pPr>
              <w:overflowPunct w:val="0"/>
              <w:spacing w:line="280" w:lineRule="exact"/>
              <w:ind w:leftChars="0" w:left="0" w:firstLineChars="0" w:firstLine="0"/>
              <w:jc w:val="center"/>
              <w:rPr>
                <w:b/>
                <w:spacing w:val="-20"/>
                <w:sz w:val="24"/>
              </w:rPr>
            </w:pPr>
            <w:r w:rsidRPr="00787CDA">
              <w:rPr>
                <w:rFonts w:hint="eastAsia"/>
                <w:b/>
                <w:sz w:val="24"/>
              </w:rPr>
              <w:t>法令規定不合</w:t>
            </w:r>
          </w:p>
        </w:tc>
        <w:tc>
          <w:tcPr>
            <w:tcW w:w="1827" w:type="dxa"/>
            <w:vMerge w:val="restart"/>
            <w:shd w:val="clear" w:color="auto" w:fill="auto"/>
            <w:vAlign w:val="center"/>
          </w:tcPr>
          <w:p w:rsidR="006702D9" w:rsidRPr="00787CDA" w:rsidRDefault="006702D9" w:rsidP="006702D9">
            <w:pPr>
              <w:overflowPunct w:val="0"/>
              <w:spacing w:line="280" w:lineRule="exact"/>
              <w:ind w:leftChars="20" w:left="57" w:rightChars="20" w:right="57" w:firstLineChars="0" w:firstLine="0"/>
              <w:jc w:val="center"/>
              <w:rPr>
                <w:b/>
                <w:spacing w:val="-6"/>
                <w:sz w:val="24"/>
              </w:rPr>
            </w:pPr>
            <w:r w:rsidRPr="00787CDA">
              <w:rPr>
                <w:rFonts w:hint="eastAsia"/>
                <w:b/>
                <w:spacing w:val="-6"/>
                <w:sz w:val="24"/>
              </w:rPr>
              <w:t>委辦</w:t>
            </w:r>
            <w:r w:rsidRPr="00787CDA">
              <w:rPr>
                <w:rFonts w:hint="eastAsia"/>
                <w:b/>
                <w:color w:val="0000FF"/>
                <w:spacing w:val="-6"/>
                <w:sz w:val="24"/>
              </w:rPr>
              <w:t>、</w:t>
            </w:r>
            <w:r w:rsidRPr="00787CDA">
              <w:rPr>
                <w:rFonts w:hint="eastAsia"/>
                <w:b/>
                <w:spacing w:val="-6"/>
                <w:sz w:val="24"/>
              </w:rPr>
              <w:t>投資、補助或各項計畫結餘款之減列數</w:t>
            </w:r>
          </w:p>
        </w:tc>
        <w:tc>
          <w:tcPr>
            <w:tcW w:w="1859" w:type="dxa"/>
            <w:vMerge w:val="restart"/>
            <w:shd w:val="clear" w:color="auto" w:fill="auto"/>
            <w:vAlign w:val="center"/>
          </w:tcPr>
          <w:p w:rsidR="006702D9" w:rsidRDefault="006702D9" w:rsidP="006702D9">
            <w:pPr>
              <w:overflowPunct w:val="0"/>
              <w:spacing w:line="280" w:lineRule="exact"/>
              <w:ind w:leftChars="10" w:left="28" w:rightChars="10" w:right="28" w:firstLineChars="0" w:firstLine="0"/>
              <w:jc w:val="center"/>
              <w:rPr>
                <w:b/>
                <w:sz w:val="24"/>
              </w:rPr>
            </w:pPr>
            <w:r w:rsidRPr="00787CDA">
              <w:rPr>
                <w:rFonts w:hint="eastAsia"/>
                <w:b/>
                <w:sz w:val="24"/>
              </w:rPr>
              <w:t>保留款與預算</w:t>
            </w:r>
          </w:p>
          <w:p w:rsidR="006702D9" w:rsidRPr="00787CDA" w:rsidRDefault="006702D9" w:rsidP="006702D9">
            <w:pPr>
              <w:overflowPunct w:val="0"/>
              <w:spacing w:line="280" w:lineRule="exact"/>
              <w:ind w:leftChars="10" w:left="28" w:rightChars="10" w:right="28" w:firstLineChars="0" w:firstLine="0"/>
              <w:jc w:val="center"/>
              <w:rPr>
                <w:b/>
                <w:sz w:val="24"/>
              </w:rPr>
            </w:pPr>
            <w:r w:rsidRPr="00787CDA">
              <w:rPr>
                <w:rFonts w:hint="eastAsia"/>
                <w:b/>
                <w:sz w:val="24"/>
              </w:rPr>
              <w:t>項目不合或無須保留之減列數</w:t>
            </w:r>
          </w:p>
        </w:tc>
        <w:tc>
          <w:tcPr>
            <w:tcW w:w="1984" w:type="dxa"/>
            <w:gridSpan w:val="2"/>
            <w:shd w:val="clear" w:color="auto" w:fill="auto"/>
            <w:vAlign w:val="center"/>
          </w:tcPr>
          <w:p w:rsidR="006702D9" w:rsidRPr="00787CDA" w:rsidRDefault="006702D9" w:rsidP="006702D9">
            <w:pPr>
              <w:overflowPunct w:val="0"/>
              <w:spacing w:line="280" w:lineRule="exact"/>
              <w:ind w:leftChars="0" w:left="0" w:firstLineChars="0" w:firstLine="0"/>
              <w:jc w:val="center"/>
              <w:rPr>
                <w:b/>
                <w:sz w:val="24"/>
              </w:rPr>
            </w:pPr>
            <w:r w:rsidRPr="00787CDA">
              <w:rPr>
                <w:rFonts w:hint="eastAsia"/>
                <w:b/>
                <w:sz w:val="24"/>
              </w:rPr>
              <w:t>合 計</w:t>
            </w:r>
          </w:p>
        </w:tc>
      </w:tr>
      <w:tr w:rsidR="006702D9" w:rsidRPr="00787CDA" w:rsidTr="00F14BA1">
        <w:trPr>
          <w:trHeight w:val="376"/>
          <w:tblHeader/>
        </w:trPr>
        <w:tc>
          <w:tcPr>
            <w:tcW w:w="709" w:type="dxa"/>
            <w:vMerge/>
            <w:shd w:val="clear" w:color="auto" w:fill="auto"/>
          </w:tcPr>
          <w:p w:rsidR="006702D9" w:rsidRPr="00787CDA" w:rsidRDefault="006702D9" w:rsidP="006702D9">
            <w:pPr>
              <w:overflowPunct w:val="0"/>
              <w:spacing w:line="280" w:lineRule="exact"/>
              <w:ind w:leftChars="0" w:left="0" w:firstLineChars="0" w:firstLine="0"/>
              <w:jc w:val="center"/>
              <w:rPr>
                <w:b/>
                <w:sz w:val="24"/>
              </w:rPr>
            </w:pPr>
          </w:p>
        </w:tc>
        <w:tc>
          <w:tcPr>
            <w:tcW w:w="912" w:type="dxa"/>
            <w:shd w:val="clear" w:color="auto" w:fill="auto"/>
            <w:vAlign w:val="center"/>
          </w:tcPr>
          <w:p w:rsidR="006702D9" w:rsidRPr="00787CDA" w:rsidRDefault="006702D9" w:rsidP="006702D9">
            <w:pPr>
              <w:overflowPunct w:val="0"/>
              <w:spacing w:line="280" w:lineRule="exact"/>
              <w:ind w:leftChars="0" w:left="0" w:firstLineChars="0" w:firstLine="0"/>
              <w:jc w:val="center"/>
              <w:rPr>
                <w:b/>
                <w:sz w:val="24"/>
              </w:rPr>
            </w:pPr>
            <w:r w:rsidRPr="00787CDA">
              <w:rPr>
                <w:rFonts w:hint="eastAsia"/>
                <w:b/>
                <w:sz w:val="24"/>
              </w:rPr>
              <w:t>剔除數</w:t>
            </w:r>
          </w:p>
        </w:tc>
        <w:tc>
          <w:tcPr>
            <w:tcW w:w="1214" w:type="dxa"/>
            <w:shd w:val="clear" w:color="auto" w:fill="auto"/>
            <w:vAlign w:val="center"/>
          </w:tcPr>
          <w:p w:rsidR="006702D9" w:rsidRPr="00787CDA" w:rsidRDefault="006702D9" w:rsidP="006702D9">
            <w:pPr>
              <w:overflowPunct w:val="0"/>
              <w:spacing w:line="280" w:lineRule="exact"/>
              <w:ind w:leftChars="0" w:left="0" w:firstLineChars="0" w:firstLine="0"/>
              <w:jc w:val="center"/>
              <w:rPr>
                <w:b/>
                <w:sz w:val="24"/>
              </w:rPr>
            </w:pPr>
            <w:r w:rsidRPr="00787CDA">
              <w:rPr>
                <w:rFonts w:hint="eastAsia"/>
                <w:b/>
                <w:sz w:val="24"/>
              </w:rPr>
              <w:t>減列數</w:t>
            </w:r>
          </w:p>
        </w:tc>
        <w:tc>
          <w:tcPr>
            <w:tcW w:w="1827" w:type="dxa"/>
            <w:vMerge/>
            <w:shd w:val="clear" w:color="auto" w:fill="auto"/>
            <w:vAlign w:val="center"/>
          </w:tcPr>
          <w:p w:rsidR="006702D9" w:rsidRPr="00787CDA" w:rsidRDefault="006702D9" w:rsidP="006702D9">
            <w:pPr>
              <w:overflowPunct w:val="0"/>
              <w:spacing w:line="280" w:lineRule="exact"/>
              <w:ind w:leftChars="0" w:left="0" w:firstLineChars="0" w:firstLine="0"/>
              <w:jc w:val="center"/>
              <w:rPr>
                <w:b/>
                <w:sz w:val="24"/>
              </w:rPr>
            </w:pPr>
          </w:p>
        </w:tc>
        <w:tc>
          <w:tcPr>
            <w:tcW w:w="1859" w:type="dxa"/>
            <w:vMerge/>
            <w:shd w:val="clear" w:color="auto" w:fill="auto"/>
            <w:vAlign w:val="center"/>
          </w:tcPr>
          <w:p w:rsidR="006702D9" w:rsidRPr="00787CDA" w:rsidRDefault="006702D9" w:rsidP="006702D9">
            <w:pPr>
              <w:overflowPunct w:val="0"/>
              <w:spacing w:line="280" w:lineRule="exact"/>
              <w:ind w:leftChars="0" w:left="0" w:firstLineChars="0" w:firstLine="0"/>
              <w:jc w:val="center"/>
              <w:rPr>
                <w:b/>
                <w:sz w:val="24"/>
              </w:rPr>
            </w:pPr>
          </w:p>
        </w:tc>
        <w:tc>
          <w:tcPr>
            <w:tcW w:w="912" w:type="dxa"/>
            <w:shd w:val="clear" w:color="auto" w:fill="auto"/>
            <w:vAlign w:val="center"/>
          </w:tcPr>
          <w:p w:rsidR="006702D9" w:rsidRPr="00787CDA" w:rsidRDefault="006702D9" w:rsidP="006702D9">
            <w:pPr>
              <w:overflowPunct w:val="0"/>
              <w:spacing w:line="280" w:lineRule="exact"/>
              <w:ind w:leftChars="0" w:left="0" w:firstLineChars="0" w:firstLine="0"/>
              <w:jc w:val="center"/>
              <w:rPr>
                <w:b/>
                <w:sz w:val="24"/>
              </w:rPr>
            </w:pPr>
            <w:r w:rsidRPr="00787CDA">
              <w:rPr>
                <w:rFonts w:hint="eastAsia"/>
                <w:b/>
                <w:sz w:val="24"/>
              </w:rPr>
              <w:t>剔除數</w:t>
            </w:r>
          </w:p>
        </w:tc>
        <w:tc>
          <w:tcPr>
            <w:tcW w:w="1072" w:type="dxa"/>
            <w:shd w:val="clear" w:color="auto" w:fill="auto"/>
            <w:vAlign w:val="center"/>
          </w:tcPr>
          <w:p w:rsidR="006702D9" w:rsidRPr="00787CDA" w:rsidRDefault="006702D9" w:rsidP="006702D9">
            <w:pPr>
              <w:overflowPunct w:val="0"/>
              <w:spacing w:line="280" w:lineRule="exact"/>
              <w:ind w:leftChars="0" w:left="0" w:firstLineChars="0" w:firstLine="0"/>
              <w:jc w:val="center"/>
              <w:rPr>
                <w:b/>
                <w:sz w:val="24"/>
              </w:rPr>
            </w:pPr>
            <w:r w:rsidRPr="00787CDA">
              <w:rPr>
                <w:rFonts w:hint="eastAsia"/>
                <w:b/>
                <w:sz w:val="24"/>
              </w:rPr>
              <w:t>減列數</w:t>
            </w:r>
          </w:p>
        </w:tc>
      </w:tr>
      <w:tr w:rsidR="006702D9" w:rsidRPr="00787CDA" w:rsidTr="00F14BA1">
        <w:trPr>
          <w:trHeight w:val="340"/>
        </w:trPr>
        <w:tc>
          <w:tcPr>
            <w:tcW w:w="709" w:type="dxa"/>
            <w:shd w:val="clear" w:color="auto" w:fill="auto"/>
            <w:vAlign w:val="center"/>
          </w:tcPr>
          <w:p w:rsidR="006702D9" w:rsidRPr="005B3D6F" w:rsidRDefault="006702D9" w:rsidP="006702D9">
            <w:pPr>
              <w:overflowPunct w:val="0"/>
              <w:spacing w:line="280" w:lineRule="exact"/>
              <w:ind w:leftChars="0" w:left="0" w:firstLineChars="0" w:firstLine="0"/>
              <w:jc w:val="center"/>
              <w:rPr>
                <w:sz w:val="24"/>
              </w:rPr>
            </w:pPr>
            <w:r w:rsidRPr="005B3D6F">
              <w:rPr>
                <w:sz w:val="24"/>
              </w:rPr>
              <w:t>104</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214"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156</w:t>
            </w:r>
          </w:p>
        </w:tc>
        <w:tc>
          <w:tcPr>
            <w:tcW w:w="1827"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52,188</w:t>
            </w:r>
          </w:p>
        </w:tc>
        <w:tc>
          <w:tcPr>
            <w:tcW w:w="1859"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07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52,344</w:t>
            </w:r>
          </w:p>
        </w:tc>
      </w:tr>
      <w:tr w:rsidR="006702D9" w:rsidRPr="00787CDA" w:rsidTr="00F14BA1">
        <w:trPr>
          <w:trHeight w:val="340"/>
        </w:trPr>
        <w:tc>
          <w:tcPr>
            <w:tcW w:w="709" w:type="dxa"/>
            <w:shd w:val="clear" w:color="auto" w:fill="auto"/>
            <w:vAlign w:val="center"/>
          </w:tcPr>
          <w:p w:rsidR="006702D9" w:rsidRPr="005B3D6F" w:rsidRDefault="006702D9" w:rsidP="006702D9">
            <w:pPr>
              <w:overflowPunct w:val="0"/>
              <w:spacing w:line="280" w:lineRule="exact"/>
              <w:ind w:leftChars="0" w:left="0" w:firstLineChars="0" w:firstLine="0"/>
              <w:jc w:val="center"/>
              <w:rPr>
                <w:sz w:val="24"/>
              </w:rPr>
            </w:pPr>
            <w:r w:rsidRPr="005B3D6F">
              <w:rPr>
                <w:sz w:val="24"/>
              </w:rPr>
              <w:t>105</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214"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1</w:t>
            </w:r>
          </w:p>
        </w:tc>
        <w:tc>
          <w:tcPr>
            <w:tcW w:w="1827"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65,40</w:t>
            </w:r>
            <w:r w:rsidRPr="005B3D6F">
              <w:rPr>
                <w:rFonts w:hint="eastAsia"/>
                <w:sz w:val="24"/>
              </w:rPr>
              <w:t>2</w:t>
            </w:r>
          </w:p>
        </w:tc>
        <w:tc>
          <w:tcPr>
            <w:tcW w:w="1859"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18</w:t>
            </w:r>
            <w:r w:rsidRPr="005B3D6F">
              <w:rPr>
                <w:rFonts w:hint="eastAsia"/>
                <w:sz w:val="24"/>
              </w:rPr>
              <w:t>3</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w:t>
            </w:r>
          </w:p>
        </w:tc>
        <w:tc>
          <w:tcPr>
            <w:tcW w:w="107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65,58</w:t>
            </w:r>
            <w:r w:rsidRPr="005B3D6F">
              <w:rPr>
                <w:rFonts w:hint="eastAsia"/>
                <w:sz w:val="24"/>
              </w:rPr>
              <w:t>7</w:t>
            </w:r>
          </w:p>
        </w:tc>
      </w:tr>
      <w:tr w:rsidR="006702D9" w:rsidRPr="00787CDA" w:rsidTr="00F14BA1">
        <w:trPr>
          <w:trHeight w:val="340"/>
        </w:trPr>
        <w:tc>
          <w:tcPr>
            <w:tcW w:w="709" w:type="dxa"/>
            <w:shd w:val="clear" w:color="auto" w:fill="auto"/>
            <w:vAlign w:val="center"/>
          </w:tcPr>
          <w:p w:rsidR="006702D9" w:rsidRPr="005B3D6F" w:rsidRDefault="006702D9" w:rsidP="006702D9">
            <w:pPr>
              <w:overflowPunct w:val="0"/>
              <w:spacing w:line="280" w:lineRule="exact"/>
              <w:ind w:leftChars="0" w:left="0" w:firstLineChars="0" w:firstLine="0"/>
              <w:jc w:val="center"/>
              <w:rPr>
                <w:sz w:val="24"/>
              </w:rPr>
            </w:pPr>
            <w:r w:rsidRPr="005B3D6F">
              <w:rPr>
                <w:sz w:val="24"/>
              </w:rPr>
              <w:t>106</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214"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827"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367,674</w:t>
            </w:r>
          </w:p>
        </w:tc>
        <w:tc>
          <w:tcPr>
            <w:tcW w:w="1859"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07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367,674</w:t>
            </w:r>
          </w:p>
        </w:tc>
      </w:tr>
      <w:tr w:rsidR="006702D9" w:rsidRPr="00787CDA" w:rsidTr="00F14BA1">
        <w:trPr>
          <w:trHeight w:val="340"/>
        </w:trPr>
        <w:tc>
          <w:tcPr>
            <w:tcW w:w="709" w:type="dxa"/>
            <w:shd w:val="clear" w:color="auto" w:fill="auto"/>
            <w:vAlign w:val="center"/>
          </w:tcPr>
          <w:p w:rsidR="006702D9" w:rsidRPr="005B3D6F" w:rsidRDefault="006702D9" w:rsidP="006702D9">
            <w:pPr>
              <w:overflowPunct w:val="0"/>
              <w:spacing w:line="280" w:lineRule="exact"/>
              <w:ind w:leftChars="0" w:left="0" w:firstLineChars="0" w:firstLine="0"/>
              <w:jc w:val="center"/>
              <w:rPr>
                <w:sz w:val="24"/>
              </w:rPr>
            </w:pPr>
            <w:r w:rsidRPr="005B3D6F">
              <w:rPr>
                <w:sz w:val="24"/>
              </w:rPr>
              <w:t>107</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214"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157</w:t>
            </w:r>
          </w:p>
        </w:tc>
        <w:tc>
          <w:tcPr>
            <w:tcW w:w="1827"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29,842</w:t>
            </w:r>
          </w:p>
        </w:tc>
        <w:tc>
          <w:tcPr>
            <w:tcW w:w="1859"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07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29,999</w:t>
            </w:r>
          </w:p>
        </w:tc>
      </w:tr>
      <w:tr w:rsidR="006702D9" w:rsidRPr="00787CDA" w:rsidTr="00F14BA1">
        <w:trPr>
          <w:trHeight w:val="340"/>
        </w:trPr>
        <w:tc>
          <w:tcPr>
            <w:tcW w:w="709" w:type="dxa"/>
            <w:shd w:val="clear" w:color="auto" w:fill="auto"/>
            <w:vAlign w:val="center"/>
          </w:tcPr>
          <w:p w:rsidR="006702D9" w:rsidRPr="005B3D6F" w:rsidRDefault="006702D9" w:rsidP="006702D9">
            <w:pPr>
              <w:overflowPunct w:val="0"/>
              <w:spacing w:line="280" w:lineRule="exact"/>
              <w:ind w:leftChars="0" w:left="0" w:firstLineChars="0" w:firstLine="0"/>
              <w:jc w:val="center"/>
              <w:rPr>
                <w:sz w:val="24"/>
              </w:rPr>
            </w:pPr>
            <w:r w:rsidRPr="005B3D6F">
              <w:rPr>
                <w:rFonts w:hint="eastAsia"/>
                <w:sz w:val="24"/>
              </w:rPr>
              <w:t>108</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214"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827"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18,458</w:t>
            </w:r>
          </w:p>
        </w:tc>
        <w:tc>
          <w:tcPr>
            <w:tcW w:w="1859"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8,609</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07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27,068</w:t>
            </w:r>
          </w:p>
        </w:tc>
      </w:tr>
      <w:tr w:rsidR="006702D9" w:rsidRPr="00787CDA" w:rsidTr="00F14BA1">
        <w:trPr>
          <w:trHeight w:val="340"/>
        </w:trPr>
        <w:tc>
          <w:tcPr>
            <w:tcW w:w="709" w:type="dxa"/>
            <w:shd w:val="clear" w:color="auto" w:fill="auto"/>
            <w:vAlign w:val="center"/>
          </w:tcPr>
          <w:p w:rsidR="006702D9" w:rsidRPr="005B3D6F" w:rsidRDefault="006702D9" w:rsidP="006702D9">
            <w:pPr>
              <w:overflowPunct w:val="0"/>
              <w:spacing w:line="280" w:lineRule="exact"/>
              <w:ind w:leftChars="0" w:left="0" w:firstLineChars="0" w:firstLine="0"/>
              <w:jc w:val="center"/>
              <w:rPr>
                <w:sz w:val="24"/>
              </w:rPr>
            </w:pPr>
            <w:r w:rsidRPr="005B3D6F">
              <w:rPr>
                <w:rFonts w:hint="eastAsia"/>
                <w:sz w:val="24"/>
              </w:rPr>
              <w:t>109</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w:t>
            </w:r>
          </w:p>
        </w:tc>
        <w:tc>
          <w:tcPr>
            <w:tcW w:w="1214"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w:t>
            </w:r>
          </w:p>
        </w:tc>
        <w:tc>
          <w:tcPr>
            <w:tcW w:w="1827"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13,561</w:t>
            </w:r>
          </w:p>
        </w:tc>
        <w:tc>
          <w:tcPr>
            <w:tcW w:w="1859"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234</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w:t>
            </w:r>
          </w:p>
        </w:tc>
        <w:tc>
          <w:tcPr>
            <w:tcW w:w="107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13,795</w:t>
            </w:r>
          </w:p>
        </w:tc>
      </w:tr>
      <w:tr w:rsidR="006702D9" w:rsidRPr="00787CDA" w:rsidTr="00F14BA1">
        <w:trPr>
          <w:trHeight w:val="340"/>
        </w:trPr>
        <w:tc>
          <w:tcPr>
            <w:tcW w:w="709" w:type="dxa"/>
            <w:shd w:val="clear" w:color="auto" w:fill="auto"/>
            <w:vAlign w:val="center"/>
          </w:tcPr>
          <w:p w:rsidR="006702D9" w:rsidRPr="005B3D6F" w:rsidRDefault="006702D9" w:rsidP="006702D9">
            <w:pPr>
              <w:overflowPunct w:val="0"/>
              <w:spacing w:line="280" w:lineRule="exact"/>
              <w:ind w:leftChars="0" w:left="0" w:firstLineChars="0" w:firstLine="0"/>
              <w:jc w:val="center"/>
              <w:rPr>
                <w:sz w:val="24"/>
              </w:rPr>
            </w:pPr>
            <w:r w:rsidRPr="005B3D6F">
              <w:rPr>
                <w:rFonts w:hint="eastAsia"/>
                <w:sz w:val="24"/>
              </w:rPr>
              <w:t>110</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w:t>
            </w:r>
          </w:p>
        </w:tc>
        <w:tc>
          <w:tcPr>
            <w:tcW w:w="1214" w:type="dxa"/>
            <w:shd w:val="clear" w:color="auto" w:fill="auto"/>
            <w:vAlign w:val="center"/>
          </w:tcPr>
          <w:p w:rsidR="006702D9" w:rsidRPr="005B3D6F" w:rsidRDefault="006702D9" w:rsidP="006702D9">
            <w:pPr>
              <w:overflowPunct w:val="0"/>
              <w:spacing w:line="280" w:lineRule="exact"/>
              <w:ind w:leftChars="0" w:left="0" w:firstLineChars="0" w:firstLine="0"/>
              <w:jc w:val="right"/>
              <w:rPr>
                <w:b/>
                <w:sz w:val="24"/>
              </w:rPr>
            </w:pPr>
            <w:r w:rsidRPr="005B3D6F">
              <w:rPr>
                <w:rFonts w:hint="eastAsia"/>
                <w:b/>
                <w:sz w:val="24"/>
              </w:rPr>
              <w:t>-</w:t>
            </w:r>
          </w:p>
        </w:tc>
        <w:tc>
          <w:tcPr>
            <w:tcW w:w="1827"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56,914</w:t>
            </w:r>
          </w:p>
        </w:tc>
        <w:tc>
          <w:tcPr>
            <w:tcW w:w="1859"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w:t>
            </w:r>
          </w:p>
        </w:tc>
        <w:tc>
          <w:tcPr>
            <w:tcW w:w="107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56,914</w:t>
            </w:r>
          </w:p>
        </w:tc>
      </w:tr>
      <w:tr w:rsidR="006702D9" w:rsidRPr="00787CDA" w:rsidTr="00F14BA1">
        <w:trPr>
          <w:trHeight w:val="340"/>
        </w:trPr>
        <w:tc>
          <w:tcPr>
            <w:tcW w:w="709" w:type="dxa"/>
            <w:shd w:val="clear" w:color="auto" w:fill="auto"/>
            <w:vAlign w:val="center"/>
          </w:tcPr>
          <w:p w:rsidR="006702D9" w:rsidRPr="005B3D6F" w:rsidRDefault="006702D9" w:rsidP="006702D9">
            <w:pPr>
              <w:overflowPunct w:val="0"/>
              <w:spacing w:line="280" w:lineRule="exact"/>
              <w:ind w:leftChars="0" w:left="0" w:firstLineChars="0" w:firstLine="0"/>
              <w:jc w:val="center"/>
              <w:rPr>
                <w:sz w:val="24"/>
              </w:rPr>
            </w:pPr>
            <w:r w:rsidRPr="005B3D6F">
              <w:rPr>
                <w:rFonts w:hint="eastAsia"/>
                <w:sz w:val="24"/>
              </w:rPr>
              <w:t>111</w:t>
            </w:r>
          </w:p>
        </w:tc>
        <w:tc>
          <w:tcPr>
            <w:tcW w:w="912"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szCs w:val="24"/>
              </w:rPr>
              <w:t>-</w:t>
            </w:r>
          </w:p>
        </w:tc>
        <w:tc>
          <w:tcPr>
            <w:tcW w:w="1214"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155</w:t>
            </w:r>
          </w:p>
        </w:tc>
        <w:tc>
          <w:tcPr>
            <w:tcW w:w="1827"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52,016</w:t>
            </w:r>
          </w:p>
        </w:tc>
        <w:tc>
          <w:tcPr>
            <w:tcW w:w="1859"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w:t>
            </w:r>
          </w:p>
        </w:tc>
        <w:tc>
          <w:tcPr>
            <w:tcW w:w="912"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szCs w:val="24"/>
              </w:rPr>
              <w:t>-</w:t>
            </w:r>
          </w:p>
        </w:tc>
        <w:tc>
          <w:tcPr>
            <w:tcW w:w="1072"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52,171</w:t>
            </w:r>
          </w:p>
        </w:tc>
      </w:tr>
      <w:tr w:rsidR="006702D9" w:rsidRPr="00787CDA" w:rsidTr="00F14BA1">
        <w:trPr>
          <w:trHeight w:val="340"/>
        </w:trPr>
        <w:tc>
          <w:tcPr>
            <w:tcW w:w="709" w:type="dxa"/>
            <w:shd w:val="clear" w:color="auto" w:fill="auto"/>
            <w:vAlign w:val="center"/>
          </w:tcPr>
          <w:p w:rsidR="006702D9" w:rsidRPr="005B3D6F" w:rsidRDefault="006702D9" w:rsidP="006702D9">
            <w:pPr>
              <w:overflowPunct w:val="0"/>
              <w:spacing w:line="280" w:lineRule="exact"/>
              <w:ind w:leftChars="0" w:left="0" w:firstLineChars="0" w:firstLine="0"/>
              <w:jc w:val="center"/>
              <w:rPr>
                <w:sz w:val="24"/>
              </w:rPr>
            </w:pPr>
            <w:r w:rsidRPr="005B3D6F">
              <w:rPr>
                <w:rFonts w:hint="eastAsia"/>
                <w:sz w:val="24"/>
              </w:rPr>
              <w:t>112</w:t>
            </w:r>
          </w:p>
        </w:tc>
        <w:tc>
          <w:tcPr>
            <w:tcW w:w="912"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w:t>
            </w:r>
          </w:p>
        </w:tc>
        <w:tc>
          <w:tcPr>
            <w:tcW w:w="1214"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214</w:t>
            </w:r>
          </w:p>
        </w:tc>
        <w:tc>
          <w:tcPr>
            <w:tcW w:w="1827"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58,274</w:t>
            </w:r>
          </w:p>
        </w:tc>
        <w:tc>
          <w:tcPr>
            <w:tcW w:w="1859"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w:t>
            </w:r>
          </w:p>
        </w:tc>
        <w:tc>
          <w:tcPr>
            <w:tcW w:w="912"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w:t>
            </w:r>
          </w:p>
        </w:tc>
        <w:tc>
          <w:tcPr>
            <w:tcW w:w="1072"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58,488</w:t>
            </w:r>
          </w:p>
        </w:tc>
      </w:tr>
      <w:tr w:rsidR="006702D9" w:rsidRPr="00787CDA" w:rsidTr="00F14BA1">
        <w:trPr>
          <w:trHeight w:val="340"/>
        </w:trPr>
        <w:tc>
          <w:tcPr>
            <w:tcW w:w="709" w:type="dxa"/>
            <w:shd w:val="clear" w:color="auto" w:fill="auto"/>
            <w:vAlign w:val="center"/>
          </w:tcPr>
          <w:p w:rsidR="006702D9" w:rsidRPr="005B3D6F" w:rsidRDefault="006702D9" w:rsidP="006702D9">
            <w:pPr>
              <w:overflowPunct w:val="0"/>
              <w:spacing w:line="280" w:lineRule="exact"/>
              <w:ind w:leftChars="0" w:left="0" w:firstLineChars="0" w:firstLine="0"/>
              <w:jc w:val="center"/>
              <w:rPr>
                <w:sz w:val="24"/>
              </w:rPr>
            </w:pPr>
            <w:r w:rsidRPr="005B3D6F">
              <w:rPr>
                <w:rFonts w:hint="eastAsia"/>
                <w:sz w:val="24"/>
              </w:rPr>
              <w:t>113</w:t>
            </w:r>
          </w:p>
        </w:tc>
        <w:tc>
          <w:tcPr>
            <w:tcW w:w="912"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w:t>
            </w:r>
          </w:p>
        </w:tc>
        <w:tc>
          <w:tcPr>
            <w:tcW w:w="1214"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370</w:t>
            </w:r>
          </w:p>
        </w:tc>
        <w:tc>
          <w:tcPr>
            <w:tcW w:w="1827"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53,238</w:t>
            </w:r>
          </w:p>
        </w:tc>
        <w:tc>
          <w:tcPr>
            <w:tcW w:w="1859"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w:t>
            </w:r>
          </w:p>
        </w:tc>
        <w:tc>
          <w:tcPr>
            <w:tcW w:w="912"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w:t>
            </w:r>
          </w:p>
        </w:tc>
        <w:tc>
          <w:tcPr>
            <w:tcW w:w="1072"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53,608</w:t>
            </w:r>
          </w:p>
        </w:tc>
      </w:tr>
    </w:tbl>
    <w:p w:rsidR="006702D9" w:rsidRPr="00787CDA" w:rsidRDefault="006702D9" w:rsidP="006702D9">
      <w:pPr>
        <w:overflowPunct w:val="0"/>
        <w:spacing w:line="280" w:lineRule="exact"/>
        <w:ind w:leftChars="0" w:left="567" w:firstLineChars="0" w:hanging="567"/>
        <w:jc w:val="left"/>
        <w:rPr>
          <w:sz w:val="24"/>
        </w:rPr>
      </w:pPr>
      <w:r w:rsidRPr="00787CDA">
        <w:rPr>
          <w:rFonts w:hint="eastAsia"/>
          <w:sz w:val="24"/>
        </w:rPr>
        <w:t>說　　明：1.本表含以前年度歲出轉入數，不含特別預算。</w:t>
      </w:r>
    </w:p>
    <w:p w:rsidR="006702D9" w:rsidRPr="00787CDA" w:rsidRDefault="006702D9" w:rsidP="006702D9">
      <w:pPr>
        <w:overflowPunct w:val="0"/>
        <w:spacing w:line="280" w:lineRule="exact"/>
        <w:ind w:leftChars="425" w:left="1629" w:firstLineChars="0" w:hanging="425"/>
        <w:jc w:val="left"/>
        <w:rPr>
          <w:sz w:val="24"/>
        </w:rPr>
      </w:pPr>
      <w:r w:rsidRPr="00787CDA">
        <w:rPr>
          <w:rFonts w:hint="eastAsia"/>
          <w:sz w:val="24"/>
        </w:rPr>
        <w:t>2.細數之和因萬元以下全捨</w:t>
      </w:r>
      <w:r>
        <w:rPr>
          <w:rFonts w:hint="eastAsia"/>
          <w:sz w:val="24"/>
        </w:rPr>
        <w:t>，致有尾差</w:t>
      </w:r>
      <w:r w:rsidRPr="00787CDA">
        <w:rPr>
          <w:rFonts w:hint="eastAsia"/>
          <w:sz w:val="24"/>
        </w:rPr>
        <w:t>。</w:t>
      </w:r>
    </w:p>
    <w:p w:rsidR="006702D9" w:rsidRPr="00787CDA" w:rsidRDefault="006702D9" w:rsidP="006702D9">
      <w:pPr>
        <w:overflowPunct w:val="0"/>
        <w:spacing w:line="280" w:lineRule="exact"/>
        <w:ind w:leftChars="0" w:left="567" w:firstLineChars="0" w:hanging="567"/>
        <w:jc w:val="left"/>
        <w:rPr>
          <w:sz w:val="24"/>
        </w:rPr>
      </w:pPr>
      <w:r w:rsidRPr="00787CDA">
        <w:rPr>
          <w:rFonts w:hint="eastAsia"/>
          <w:sz w:val="24"/>
        </w:rPr>
        <w:t>資料來源：審計部。</w:t>
      </w:r>
    </w:p>
    <w:p w:rsidR="006702D9" w:rsidRPr="00CE6ED8" w:rsidRDefault="006702D9" w:rsidP="00CE6ED8">
      <w:pPr>
        <w:pStyle w:val="af9"/>
        <w:ind w:left="849" w:hanging="283"/>
        <w:rPr>
          <w:rFonts w:hAnsi="標楷體"/>
          <w:b/>
          <w:snapToGrid w:val="0"/>
        </w:rPr>
      </w:pPr>
      <w:r w:rsidRPr="00CE6ED8">
        <w:rPr>
          <w:rFonts w:hAnsi="標楷體" w:hint="eastAsia"/>
          <w:b/>
          <w:snapToGrid w:val="0"/>
        </w:rPr>
        <w:t>(二)審計部依職權監督機關預算執行，提出年度重要審核意見，112年度重要審核意見經覆核後近三成項目仍待繼續改善或處理，允宜持續追蹤並督促改善，俾提升中央政府財務效能</w:t>
      </w:r>
    </w:p>
    <w:p w:rsidR="006702D9" w:rsidRDefault="006702D9" w:rsidP="006702D9">
      <w:pPr>
        <w:pStyle w:val="21"/>
        <w:overflowPunct w:val="0"/>
        <w:ind w:left="850" w:firstLine="566"/>
        <w:rPr>
          <w:rFonts w:hAnsi="標楷體"/>
        </w:rPr>
      </w:pPr>
      <w:r>
        <w:rPr>
          <w:rFonts w:hAnsi="標楷體" w:hint="eastAsia"/>
        </w:rPr>
        <w:t>揆</w:t>
      </w:r>
      <w:r w:rsidRPr="00DE4107">
        <w:rPr>
          <w:rFonts w:hAnsi="標楷體" w:hint="eastAsia"/>
        </w:rPr>
        <w:t>113年度</w:t>
      </w:r>
      <w:r>
        <w:rPr>
          <w:rFonts w:hAnsi="標楷體" w:hint="eastAsia"/>
        </w:rPr>
        <w:t>審計部考核中央政府預算執行及財務效能之</w:t>
      </w:r>
      <w:r w:rsidRPr="00DE4107">
        <w:rPr>
          <w:rFonts w:hAnsi="標楷體" w:hint="eastAsia"/>
        </w:rPr>
        <w:t>結果，提出</w:t>
      </w:r>
      <w:r w:rsidRPr="00A14CE0">
        <w:rPr>
          <w:rFonts w:hAnsi="標楷體" w:hint="eastAsia"/>
        </w:rPr>
        <w:t>重要</w:t>
      </w:r>
      <w:r w:rsidRPr="00DE4107">
        <w:rPr>
          <w:rFonts w:hAnsi="標楷體" w:hint="eastAsia"/>
        </w:rPr>
        <w:t>審核意見共</w:t>
      </w:r>
      <w:r>
        <w:rPr>
          <w:rFonts w:hAnsi="標楷體" w:hint="eastAsia"/>
        </w:rPr>
        <w:t>618</w:t>
      </w:r>
      <w:r w:rsidRPr="00DE4107">
        <w:rPr>
          <w:rFonts w:hAnsi="標楷體" w:hint="eastAsia"/>
        </w:rPr>
        <w:t>項</w:t>
      </w:r>
      <w:r>
        <w:rPr>
          <w:rFonts w:hAnsi="標楷體" w:hint="eastAsia"/>
        </w:rPr>
        <w:t>(詳表2)，包含</w:t>
      </w:r>
      <w:r w:rsidRPr="00DE4107">
        <w:rPr>
          <w:rFonts w:hAnsi="標楷體" w:hint="eastAsia"/>
        </w:rPr>
        <w:t>對內部稽</w:t>
      </w:r>
      <w:r>
        <w:rPr>
          <w:rFonts w:hAnsi="標楷體" w:hint="eastAsia"/>
        </w:rPr>
        <w:t>(</w:t>
      </w:r>
      <w:r w:rsidRPr="00DE4107">
        <w:rPr>
          <w:rFonts w:hAnsi="標楷體" w:hint="eastAsia"/>
        </w:rPr>
        <w:t>審</w:t>
      </w:r>
      <w:r>
        <w:rPr>
          <w:rFonts w:hAnsi="標楷體" w:hint="eastAsia"/>
        </w:rPr>
        <w:t>)</w:t>
      </w:r>
      <w:r w:rsidRPr="00DE4107">
        <w:rPr>
          <w:rFonts w:hAnsi="標楷體" w:hint="eastAsia"/>
        </w:rPr>
        <w:t>核之實施提出意見者</w:t>
      </w:r>
      <w:r>
        <w:rPr>
          <w:rFonts w:hAnsi="標楷體" w:hint="eastAsia"/>
        </w:rPr>
        <w:t>24項、</w:t>
      </w:r>
      <w:r w:rsidRPr="00DE4107">
        <w:rPr>
          <w:rFonts w:hAnsi="標楷體" w:hint="eastAsia"/>
        </w:rPr>
        <w:t>對計畫之實施及預算之執行提出意見者</w:t>
      </w:r>
      <w:r>
        <w:rPr>
          <w:rFonts w:hAnsi="標楷體" w:hint="eastAsia"/>
        </w:rPr>
        <w:t>398項、</w:t>
      </w:r>
      <w:r w:rsidRPr="00DE4107">
        <w:rPr>
          <w:rFonts w:hAnsi="標楷體" w:hint="eastAsia"/>
        </w:rPr>
        <w:t>對財務</w:t>
      </w:r>
      <w:r>
        <w:rPr>
          <w:rFonts w:hAnsi="標楷體" w:hint="eastAsia"/>
        </w:rPr>
        <w:t>(</w:t>
      </w:r>
      <w:r w:rsidRPr="00DE4107">
        <w:rPr>
          <w:rFonts w:hAnsi="標楷體" w:hint="eastAsia"/>
        </w:rPr>
        <w:t>物</w:t>
      </w:r>
      <w:r>
        <w:rPr>
          <w:rFonts w:hAnsi="標楷體" w:hint="eastAsia"/>
        </w:rPr>
        <w:t>)</w:t>
      </w:r>
      <w:r w:rsidRPr="00DE4107">
        <w:rPr>
          <w:rFonts w:hAnsi="標楷體" w:hint="eastAsia"/>
        </w:rPr>
        <w:t>之管理運用提出意見者</w:t>
      </w:r>
      <w:r>
        <w:rPr>
          <w:rFonts w:hAnsi="標楷體" w:hint="eastAsia"/>
        </w:rPr>
        <w:t>62項、</w:t>
      </w:r>
      <w:r w:rsidRPr="00DE4107">
        <w:rPr>
          <w:rFonts w:hAnsi="標楷體" w:hint="eastAsia"/>
        </w:rPr>
        <w:t>對產銷營運管理提出意見者</w:t>
      </w:r>
      <w:r>
        <w:rPr>
          <w:rFonts w:hAnsi="標楷體" w:hint="eastAsia"/>
        </w:rPr>
        <w:t>50項、</w:t>
      </w:r>
      <w:r w:rsidRPr="00DE4107">
        <w:rPr>
          <w:rFonts w:hAnsi="標楷體" w:hint="eastAsia"/>
        </w:rPr>
        <w:t>對採購作業提出意見者</w:t>
      </w:r>
      <w:r>
        <w:rPr>
          <w:rFonts w:hAnsi="標楷體" w:hint="eastAsia"/>
        </w:rPr>
        <w:t>21項、</w:t>
      </w:r>
      <w:r w:rsidRPr="00DE4107">
        <w:rPr>
          <w:rFonts w:hAnsi="標楷體" w:hint="eastAsia"/>
        </w:rPr>
        <w:t>對事務管理及其他事項提出意見者</w:t>
      </w:r>
      <w:r>
        <w:rPr>
          <w:rFonts w:hAnsi="標楷體" w:hint="eastAsia"/>
        </w:rPr>
        <w:t>63項，合計項數較112年度微幅減少1項。又該部</w:t>
      </w:r>
      <w:r w:rsidRPr="00491B94">
        <w:rPr>
          <w:rFonts w:hAnsi="標楷體" w:hint="eastAsia"/>
        </w:rPr>
        <w:t>覆核</w:t>
      </w:r>
      <w:r>
        <w:rPr>
          <w:rFonts w:hAnsi="標楷體" w:hint="eastAsia"/>
        </w:rPr>
        <w:t>中央政府112年度</w:t>
      </w:r>
      <w:r w:rsidRPr="00A14CE0">
        <w:rPr>
          <w:rFonts w:hAnsi="標楷體" w:hint="eastAsia"/>
        </w:rPr>
        <w:t>重要</w:t>
      </w:r>
      <w:r w:rsidRPr="00DE4107">
        <w:rPr>
          <w:rFonts w:hAnsi="標楷體" w:hint="eastAsia"/>
        </w:rPr>
        <w:t>審核意見</w:t>
      </w:r>
      <w:r>
        <w:rPr>
          <w:rFonts w:hAnsi="標楷體" w:hint="eastAsia"/>
        </w:rPr>
        <w:t>辦理情形，其中</w:t>
      </w:r>
      <w:r w:rsidRPr="00491B94">
        <w:rPr>
          <w:rFonts w:hAnsi="標楷體" w:hint="eastAsia"/>
        </w:rPr>
        <w:t>已改善辦理</w:t>
      </w:r>
      <w:r>
        <w:rPr>
          <w:rFonts w:hAnsi="標楷體" w:hint="eastAsia"/>
        </w:rPr>
        <w:t>者</w:t>
      </w:r>
      <w:r>
        <w:rPr>
          <w:rStyle w:val="af1"/>
          <w:rFonts w:hAnsi="標楷體"/>
        </w:rPr>
        <w:footnoteReference w:id="2"/>
      </w:r>
      <w:r>
        <w:rPr>
          <w:rFonts w:hAnsi="標楷體" w:hint="eastAsia"/>
        </w:rPr>
        <w:t>計436項(占比70.44%)，</w:t>
      </w:r>
      <w:r w:rsidRPr="00491B94">
        <w:rPr>
          <w:rFonts w:hAnsi="標楷體" w:hint="eastAsia"/>
        </w:rPr>
        <w:t>仍待繼續改善</w:t>
      </w:r>
      <w:r>
        <w:rPr>
          <w:rFonts w:hAnsi="標楷體" w:hint="eastAsia"/>
        </w:rPr>
        <w:t>者計153項(占比24.72%)，處理中計30項(占比4.84</w:t>
      </w:r>
      <w:r w:rsidRPr="00354B2B">
        <w:rPr>
          <w:rFonts w:hAnsi="標楷體" w:hint="eastAsia"/>
        </w:rPr>
        <w:t>%)</w:t>
      </w:r>
      <w:r>
        <w:rPr>
          <w:rFonts w:hAnsi="標楷體" w:hint="eastAsia"/>
        </w:rPr>
        <w:t>，顯示近三成項目仍待繼續改善或處理中</w:t>
      </w:r>
      <w:r w:rsidRPr="00354B2B">
        <w:rPr>
          <w:rFonts w:hAnsi="標楷體" w:hint="eastAsia"/>
        </w:rPr>
        <w:t>，允宜賡續考核中央政府</w:t>
      </w:r>
      <w:r w:rsidRPr="00354B2B">
        <w:rPr>
          <w:rFonts w:hAnsi="標楷體" w:hint="eastAsia"/>
        </w:rPr>
        <w:lastRenderedPageBreak/>
        <w:t>財務效能並</w:t>
      </w:r>
      <w:r>
        <w:rPr>
          <w:rFonts w:hAnsi="標楷體" w:hint="eastAsia"/>
        </w:rPr>
        <w:t>持續追蹤督促</w:t>
      </w:r>
      <w:r w:rsidRPr="00354B2B">
        <w:rPr>
          <w:rFonts w:hAnsi="標楷體" w:hint="eastAsia"/>
        </w:rPr>
        <w:t>其改善。</w:t>
      </w:r>
    </w:p>
    <w:p w:rsidR="006702D9" w:rsidRPr="00181826" w:rsidRDefault="006702D9" w:rsidP="006702D9">
      <w:pPr>
        <w:overflowPunct w:val="0"/>
        <w:ind w:leftChars="0" w:left="765" w:hangingChars="270" w:hanging="765"/>
        <w:rPr>
          <w:rFonts w:hAnsi="標楷體"/>
          <w:bCs/>
          <w:sz w:val="24"/>
          <w:szCs w:val="24"/>
        </w:rPr>
      </w:pPr>
      <w:r w:rsidRPr="00A14CE0">
        <w:rPr>
          <w:rFonts w:hAnsi="標楷體" w:hint="eastAsia"/>
          <w:b/>
        </w:rPr>
        <w:t>表</w:t>
      </w:r>
      <w:r>
        <w:rPr>
          <w:rFonts w:hAnsi="標楷體" w:hint="eastAsia"/>
          <w:b/>
        </w:rPr>
        <w:t>2</w:t>
      </w:r>
      <w:r w:rsidRPr="00A14CE0">
        <w:rPr>
          <w:rFonts w:hAnsi="標楷體" w:hint="eastAsia"/>
          <w:b/>
        </w:rPr>
        <w:t xml:space="preserve"> </w:t>
      </w:r>
      <w:r>
        <w:rPr>
          <w:rFonts w:hAnsi="標楷體" w:hint="eastAsia"/>
          <w:b/>
        </w:rPr>
        <w:t xml:space="preserve"> 113年度中央政府</w:t>
      </w:r>
      <w:r w:rsidRPr="00A14CE0">
        <w:rPr>
          <w:rFonts w:hAnsi="標楷體" w:hint="eastAsia"/>
          <w:b/>
        </w:rPr>
        <w:t>總決算審核報告所列重要審核意見分類及覆核</w:t>
      </w:r>
      <w:r>
        <w:rPr>
          <w:rFonts w:hAnsi="標楷體" w:hint="eastAsia"/>
          <w:b/>
        </w:rPr>
        <w:t>112年度</w:t>
      </w:r>
      <w:r w:rsidRPr="00A14CE0">
        <w:rPr>
          <w:rFonts w:hAnsi="標楷體" w:hint="eastAsia"/>
          <w:b/>
        </w:rPr>
        <w:t>辦理情形</w:t>
      </w:r>
      <w:r>
        <w:rPr>
          <w:rFonts w:hAnsi="標楷體" w:hint="eastAsia"/>
          <w:b/>
        </w:rPr>
        <w:t xml:space="preserve">表                     </w:t>
      </w:r>
      <w:r>
        <w:rPr>
          <w:rFonts w:hAnsi="標楷體"/>
          <w:b/>
        </w:rPr>
        <w:t xml:space="preserve">    </w:t>
      </w:r>
      <w:r>
        <w:rPr>
          <w:rFonts w:hAnsi="標楷體" w:hint="eastAsia"/>
          <w:b/>
        </w:rPr>
        <w:t xml:space="preserve">      </w:t>
      </w:r>
      <w:r>
        <w:rPr>
          <w:rFonts w:hAnsi="標楷體" w:hint="eastAsia"/>
          <w:bCs/>
          <w:sz w:val="24"/>
          <w:szCs w:val="24"/>
        </w:rPr>
        <w:t>單位：項</w:t>
      </w:r>
    </w:p>
    <w:tbl>
      <w:tblPr>
        <w:tblW w:w="4995" w:type="pct"/>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666"/>
        <w:gridCol w:w="583"/>
        <w:gridCol w:w="583"/>
        <w:gridCol w:w="583"/>
        <w:gridCol w:w="583"/>
        <w:gridCol w:w="583"/>
        <w:gridCol w:w="592"/>
        <w:gridCol w:w="590"/>
        <w:gridCol w:w="703"/>
        <w:gridCol w:w="552"/>
        <w:gridCol w:w="869"/>
        <w:gridCol w:w="664"/>
      </w:tblGrid>
      <w:tr w:rsidR="006702D9" w:rsidRPr="00F77AB4" w:rsidTr="00F14BA1">
        <w:trPr>
          <w:trHeight w:val="156"/>
          <w:tblHeader/>
        </w:trPr>
        <w:tc>
          <w:tcPr>
            <w:tcW w:w="974" w:type="pct"/>
            <w:vMerge w:val="restart"/>
            <w:shd w:val="clear" w:color="auto" w:fill="auto"/>
            <w:noWrap/>
            <w:vAlign w:val="center"/>
          </w:tcPr>
          <w:p w:rsidR="006702D9" w:rsidRPr="00FC4F8B" w:rsidRDefault="006702D9" w:rsidP="006702D9">
            <w:pPr>
              <w:pStyle w:val="14"/>
              <w:overflowPunct w:val="0"/>
              <w:jc w:val="center"/>
              <w:rPr>
                <w:rFonts w:hAnsi="標楷體"/>
                <w:b/>
                <w:bCs/>
                <w:spacing w:val="-20"/>
              </w:rPr>
            </w:pPr>
            <w:r>
              <w:rPr>
                <w:rFonts w:hAnsi="標楷體" w:hint="eastAsia"/>
                <w:b/>
                <w:bCs/>
                <w:spacing w:val="-20"/>
              </w:rPr>
              <w:t>報告</w:t>
            </w:r>
            <w:r w:rsidRPr="00FC4F8B">
              <w:rPr>
                <w:rFonts w:hAnsi="標楷體" w:hint="eastAsia"/>
                <w:b/>
                <w:bCs/>
                <w:spacing w:val="-20"/>
              </w:rPr>
              <w:t>別</w:t>
            </w:r>
          </w:p>
        </w:tc>
        <w:tc>
          <w:tcPr>
            <w:tcW w:w="2396" w:type="pct"/>
            <w:gridSpan w:val="7"/>
            <w:vAlign w:val="center"/>
          </w:tcPr>
          <w:p w:rsidR="006702D9" w:rsidRPr="00FC4F8B" w:rsidRDefault="006702D9" w:rsidP="006702D9">
            <w:pPr>
              <w:pStyle w:val="14"/>
              <w:overflowPunct w:val="0"/>
              <w:jc w:val="center"/>
              <w:rPr>
                <w:rFonts w:hAnsi="標楷體"/>
                <w:b/>
                <w:bCs/>
                <w:color w:val="000000"/>
                <w:szCs w:val="24"/>
              </w:rPr>
            </w:pPr>
            <w:r w:rsidRPr="00FC4F8B">
              <w:rPr>
                <w:rFonts w:hAnsi="標楷體" w:hint="eastAsia"/>
                <w:b/>
                <w:bCs/>
                <w:color w:val="000000"/>
                <w:szCs w:val="24"/>
              </w:rPr>
              <w:t>113年度重要審核意見</w:t>
            </w:r>
          </w:p>
        </w:tc>
        <w:tc>
          <w:tcPr>
            <w:tcW w:w="1630" w:type="pct"/>
            <w:gridSpan w:val="4"/>
            <w:vAlign w:val="center"/>
          </w:tcPr>
          <w:p w:rsidR="006702D9" w:rsidRPr="00FC4F8B" w:rsidRDefault="006702D9" w:rsidP="006702D9">
            <w:pPr>
              <w:pStyle w:val="14"/>
              <w:overflowPunct w:val="0"/>
              <w:jc w:val="center"/>
              <w:rPr>
                <w:rFonts w:hAnsi="標楷體"/>
                <w:b/>
                <w:bCs/>
                <w:spacing w:val="-24"/>
                <w:szCs w:val="24"/>
              </w:rPr>
            </w:pPr>
            <w:r w:rsidRPr="00FC4F8B">
              <w:rPr>
                <w:rFonts w:hAnsi="標楷體" w:hint="eastAsia"/>
                <w:b/>
                <w:bCs/>
                <w:spacing w:val="-24"/>
                <w:szCs w:val="24"/>
              </w:rPr>
              <w:t>112年度重要審核意見覆核情形</w:t>
            </w:r>
          </w:p>
        </w:tc>
      </w:tr>
      <w:tr w:rsidR="006702D9" w:rsidRPr="00F77AB4" w:rsidTr="00F14BA1">
        <w:trPr>
          <w:trHeight w:val="397"/>
          <w:tblHeader/>
        </w:trPr>
        <w:tc>
          <w:tcPr>
            <w:tcW w:w="974" w:type="pct"/>
            <w:vMerge/>
            <w:shd w:val="clear" w:color="auto" w:fill="auto"/>
            <w:noWrap/>
            <w:vAlign w:val="center"/>
          </w:tcPr>
          <w:p w:rsidR="006702D9" w:rsidRPr="00FC4F8B" w:rsidRDefault="006702D9" w:rsidP="006702D9">
            <w:pPr>
              <w:pStyle w:val="14"/>
              <w:overflowPunct w:val="0"/>
              <w:jc w:val="center"/>
              <w:rPr>
                <w:rFonts w:hAnsi="標楷體"/>
                <w:b/>
                <w:bCs/>
                <w:spacing w:val="-20"/>
              </w:rPr>
            </w:pPr>
          </w:p>
        </w:tc>
        <w:tc>
          <w:tcPr>
            <w:tcW w:w="2051" w:type="pct"/>
            <w:gridSpan w:val="6"/>
            <w:vAlign w:val="center"/>
          </w:tcPr>
          <w:p w:rsidR="006702D9" w:rsidRPr="00FC4F8B" w:rsidRDefault="006702D9" w:rsidP="006702D9">
            <w:pPr>
              <w:pStyle w:val="14"/>
              <w:overflowPunct w:val="0"/>
              <w:jc w:val="center"/>
              <w:rPr>
                <w:rFonts w:hAnsi="標楷體"/>
                <w:b/>
                <w:bCs/>
                <w:color w:val="000000"/>
                <w:szCs w:val="24"/>
              </w:rPr>
            </w:pPr>
            <w:r w:rsidRPr="00FC4F8B">
              <w:rPr>
                <w:rFonts w:hAnsi="標楷體" w:hint="eastAsia"/>
                <w:b/>
                <w:bCs/>
                <w:color w:val="000000"/>
                <w:szCs w:val="24"/>
              </w:rPr>
              <w:t>分類</w:t>
            </w:r>
            <w:r w:rsidRPr="00181826">
              <w:rPr>
                <w:rFonts w:hAnsi="標楷體" w:hint="eastAsia"/>
                <w:b/>
                <w:bCs/>
                <w:color w:val="000000"/>
                <w:sz w:val="20"/>
                <w:szCs w:val="20"/>
              </w:rPr>
              <w:t>(</w:t>
            </w:r>
            <w:r w:rsidRPr="0049161C">
              <w:rPr>
                <w:rFonts w:hAnsi="標楷體" w:hint="eastAsia"/>
                <w:b/>
                <w:bCs/>
                <w:color w:val="000000"/>
                <w:sz w:val="20"/>
                <w:szCs w:val="20"/>
              </w:rPr>
              <w:t>說明1</w:t>
            </w:r>
            <w:r>
              <w:rPr>
                <w:rFonts w:hAnsi="標楷體" w:hint="eastAsia"/>
                <w:b/>
                <w:bCs/>
                <w:color w:val="000000"/>
                <w:sz w:val="20"/>
                <w:szCs w:val="20"/>
              </w:rPr>
              <w:t>)</w:t>
            </w:r>
          </w:p>
        </w:tc>
        <w:tc>
          <w:tcPr>
            <w:tcW w:w="345" w:type="pct"/>
            <w:vMerge w:val="restart"/>
            <w:vAlign w:val="center"/>
          </w:tcPr>
          <w:p w:rsidR="006702D9" w:rsidRPr="00FC4F8B" w:rsidRDefault="006702D9" w:rsidP="006702D9">
            <w:pPr>
              <w:pStyle w:val="14"/>
              <w:overflowPunct w:val="0"/>
              <w:jc w:val="center"/>
              <w:rPr>
                <w:rFonts w:hAnsi="標楷體"/>
                <w:b/>
                <w:bCs/>
                <w:color w:val="000000"/>
                <w:szCs w:val="24"/>
              </w:rPr>
            </w:pPr>
            <w:r>
              <w:rPr>
                <w:rFonts w:hAnsi="標楷體" w:hint="eastAsia"/>
                <w:b/>
                <w:bCs/>
                <w:color w:val="000000"/>
                <w:szCs w:val="24"/>
              </w:rPr>
              <w:t>項數</w:t>
            </w:r>
            <w:r w:rsidRPr="00FC4F8B">
              <w:rPr>
                <w:rFonts w:hAnsi="標楷體" w:hint="eastAsia"/>
                <w:b/>
                <w:bCs/>
                <w:color w:val="000000"/>
                <w:szCs w:val="24"/>
              </w:rPr>
              <w:t>合計</w:t>
            </w:r>
          </w:p>
        </w:tc>
        <w:tc>
          <w:tcPr>
            <w:tcW w:w="411" w:type="pct"/>
            <w:vMerge w:val="restart"/>
            <w:vAlign w:val="center"/>
          </w:tcPr>
          <w:p w:rsidR="006702D9" w:rsidRPr="00FC4F8B" w:rsidRDefault="006702D9" w:rsidP="006702D9">
            <w:pPr>
              <w:pStyle w:val="14"/>
              <w:overflowPunct w:val="0"/>
              <w:spacing w:line="240" w:lineRule="exact"/>
              <w:jc w:val="center"/>
              <w:rPr>
                <w:rFonts w:hAnsi="標楷體"/>
                <w:b/>
                <w:bCs/>
                <w:sz w:val="20"/>
                <w:szCs w:val="20"/>
              </w:rPr>
            </w:pPr>
            <w:r w:rsidRPr="00FC4F8B">
              <w:rPr>
                <w:rFonts w:hAnsi="標楷體" w:hint="eastAsia"/>
                <w:b/>
                <w:bCs/>
                <w:sz w:val="20"/>
                <w:szCs w:val="20"/>
              </w:rPr>
              <w:t>仍待繼</w:t>
            </w:r>
          </w:p>
          <w:p w:rsidR="006702D9" w:rsidRPr="00FC4F8B" w:rsidRDefault="006702D9" w:rsidP="006702D9">
            <w:pPr>
              <w:pStyle w:val="14"/>
              <w:overflowPunct w:val="0"/>
              <w:spacing w:line="240" w:lineRule="exact"/>
              <w:jc w:val="center"/>
              <w:rPr>
                <w:rFonts w:hAnsi="標楷體"/>
                <w:b/>
                <w:bCs/>
                <w:spacing w:val="-24"/>
                <w:szCs w:val="24"/>
              </w:rPr>
            </w:pPr>
            <w:r w:rsidRPr="00FC4F8B">
              <w:rPr>
                <w:rFonts w:hAnsi="標楷體" w:hint="eastAsia"/>
                <w:b/>
                <w:bCs/>
                <w:sz w:val="20"/>
                <w:szCs w:val="20"/>
              </w:rPr>
              <w:t>續改善</w:t>
            </w:r>
          </w:p>
        </w:tc>
        <w:tc>
          <w:tcPr>
            <w:tcW w:w="323" w:type="pct"/>
            <w:vMerge w:val="restart"/>
            <w:vAlign w:val="center"/>
          </w:tcPr>
          <w:p w:rsidR="006702D9" w:rsidRPr="00FC4F8B" w:rsidRDefault="006702D9" w:rsidP="006702D9">
            <w:pPr>
              <w:pStyle w:val="14"/>
              <w:overflowPunct w:val="0"/>
              <w:spacing w:line="240" w:lineRule="exact"/>
              <w:jc w:val="center"/>
              <w:rPr>
                <w:rFonts w:hAnsi="標楷體"/>
                <w:b/>
                <w:bCs/>
                <w:spacing w:val="-24"/>
                <w:szCs w:val="24"/>
              </w:rPr>
            </w:pPr>
            <w:r w:rsidRPr="00FC4F8B">
              <w:rPr>
                <w:rFonts w:hAnsi="標楷體" w:hint="eastAsia"/>
                <w:b/>
                <w:bCs/>
                <w:sz w:val="20"/>
                <w:szCs w:val="20"/>
              </w:rPr>
              <w:t>處理中</w:t>
            </w:r>
          </w:p>
        </w:tc>
        <w:tc>
          <w:tcPr>
            <w:tcW w:w="508" w:type="pct"/>
            <w:vMerge w:val="restart"/>
            <w:vAlign w:val="center"/>
          </w:tcPr>
          <w:p w:rsidR="006702D9" w:rsidRPr="00FC4F8B" w:rsidRDefault="006702D9" w:rsidP="006702D9">
            <w:pPr>
              <w:pStyle w:val="14"/>
              <w:overflowPunct w:val="0"/>
              <w:spacing w:line="240" w:lineRule="exact"/>
              <w:jc w:val="center"/>
              <w:rPr>
                <w:rFonts w:hAnsi="標楷體"/>
                <w:b/>
                <w:bCs/>
                <w:spacing w:val="-24"/>
                <w:szCs w:val="24"/>
              </w:rPr>
            </w:pPr>
            <w:r>
              <w:rPr>
                <w:rFonts w:hAnsi="標楷體" w:hint="eastAsia"/>
                <w:b/>
                <w:bCs/>
                <w:spacing w:val="-20"/>
                <w:sz w:val="20"/>
                <w:szCs w:val="20"/>
              </w:rPr>
              <w:t>已</w:t>
            </w:r>
            <w:r w:rsidRPr="0049161C">
              <w:rPr>
                <w:rFonts w:hAnsi="標楷體" w:hint="eastAsia"/>
                <w:b/>
                <w:bCs/>
                <w:spacing w:val="-20"/>
                <w:sz w:val="20"/>
                <w:szCs w:val="20"/>
              </w:rPr>
              <w:t>改善</w:t>
            </w:r>
            <w:r>
              <w:rPr>
                <w:rFonts w:hAnsi="標楷體" w:hint="eastAsia"/>
                <w:b/>
                <w:bCs/>
                <w:spacing w:val="-20"/>
                <w:sz w:val="20"/>
                <w:szCs w:val="20"/>
              </w:rPr>
              <w:t>辦理</w:t>
            </w:r>
            <w:r w:rsidRPr="0049161C">
              <w:rPr>
                <w:rFonts w:hAnsi="標楷體" w:hint="eastAsia"/>
                <w:b/>
                <w:bCs/>
                <w:spacing w:val="-20"/>
                <w:sz w:val="20"/>
                <w:szCs w:val="20"/>
              </w:rPr>
              <w:t>(</w:t>
            </w:r>
            <w:r w:rsidRPr="0049161C">
              <w:rPr>
                <w:rFonts w:hAnsi="標楷體" w:hint="eastAsia"/>
                <w:b/>
                <w:bCs/>
                <w:color w:val="000000"/>
                <w:spacing w:val="-20"/>
                <w:sz w:val="20"/>
                <w:szCs w:val="20"/>
              </w:rPr>
              <w:t>說明2)</w:t>
            </w:r>
          </w:p>
        </w:tc>
        <w:tc>
          <w:tcPr>
            <w:tcW w:w="388" w:type="pct"/>
            <w:vMerge w:val="restart"/>
            <w:vAlign w:val="center"/>
          </w:tcPr>
          <w:p w:rsidR="006702D9" w:rsidRPr="00D93114" w:rsidRDefault="006702D9" w:rsidP="006702D9">
            <w:pPr>
              <w:pStyle w:val="14"/>
              <w:overflowPunct w:val="0"/>
              <w:spacing w:line="240" w:lineRule="exact"/>
              <w:jc w:val="center"/>
              <w:rPr>
                <w:rFonts w:hAnsi="標楷體"/>
                <w:b/>
                <w:bCs/>
                <w:szCs w:val="24"/>
              </w:rPr>
            </w:pPr>
            <w:r>
              <w:rPr>
                <w:rFonts w:hAnsi="標楷體" w:hint="eastAsia"/>
                <w:b/>
                <w:bCs/>
                <w:szCs w:val="24"/>
              </w:rPr>
              <w:t>項數</w:t>
            </w:r>
            <w:r w:rsidRPr="00D93114">
              <w:rPr>
                <w:rFonts w:hAnsi="標楷體" w:hint="eastAsia"/>
                <w:b/>
                <w:bCs/>
                <w:szCs w:val="24"/>
              </w:rPr>
              <w:t>合計</w:t>
            </w:r>
          </w:p>
        </w:tc>
      </w:tr>
      <w:tr w:rsidR="006702D9" w:rsidRPr="00F77AB4" w:rsidTr="00F14BA1">
        <w:trPr>
          <w:trHeight w:val="351"/>
          <w:tblHeader/>
        </w:trPr>
        <w:tc>
          <w:tcPr>
            <w:tcW w:w="974" w:type="pct"/>
            <w:vMerge/>
            <w:shd w:val="clear" w:color="auto" w:fill="auto"/>
            <w:noWrap/>
            <w:vAlign w:val="center"/>
          </w:tcPr>
          <w:p w:rsidR="006702D9" w:rsidRPr="00FC4F8B" w:rsidRDefault="006702D9" w:rsidP="006702D9">
            <w:pPr>
              <w:pStyle w:val="14"/>
              <w:overflowPunct w:val="0"/>
              <w:jc w:val="center"/>
              <w:rPr>
                <w:rFonts w:hAnsi="標楷體"/>
                <w:b/>
                <w:bCs/>
                <w:spacing w:val="-20"/>
              </w:rPr>
            </w:pPr>
          </w:p>
        </w:tc>
        <w:tc>
          <w:tcPr>
            <w:tcW w:w="341" w:type="pct"/>
            <w:vAlign w:val="center"/>
          </w:tcPr>
          <w:p w:rsidR="006702D9" w:rsidRPr="00FC4F8B" w:rsidRDefault="006702D9" w:rsidP="006702D9">
            <w:pPr>
              <w:pStyle w:val="14"/>
              <w:overflowPunct w:val="0"/>
              <w:jc w:val="center"/>
              <w:rPr>
                <w:rFonts w:hAnsi="標楷體"/>
                <w:b/>
                <w:bCs/>
                <w:szCs w:val="24"/>
              </w:rPr>
            </w:pPr>
            <w:r w:rsidRPr="00FC4F8B">
              <w:rPr>
                <w:rFonts w:hAnsi="標楷體" w:hint="eastAsia"/>
                <w:b/>
                <w:bCs/>
                <w:szCs w:val="24"/>
              </w:rPr>
              <w:t>(1)</w:t>
            </w:r>
          </w:p>
        </w:tc>
        <w:tc>
          <w:tcPr>
            <w:tcW w:w="341" w:type="pct"/>
            <w:vAlign w:val="center"/>
          </w:tcPr>
          <w:p w:rsidR="006702D9" w:rsidRPr="00FC4F8B" w:rsidRDefault="006702D9" w:rsidP="006702D9">
            <w:pPr>
              <w:pStyle w:val="14"/>
              <w:overflowPunct w:val="0"/>
              <w:jc w:val="center"/>
              <w:rPr>
                <w:rFonts w:hAnsi="標楷體"/>
                <w:b/>
                <w:bCs/>
                <w:color w:val="000000"/>
                <w:szCs w:val="24"/>
              </w:rPr>
            </w:pPr>
            <w:r w:rsidRPr="00FC4F8B">
              <w:rPr>
                <w:rFonts w:hAnsi="標楷體" w:hint="eastAsia"/>
                <w:b/>
                <w:bCs/>
                <w:color w:val="000000"/>
                <w:szCs w:val="24"/>
              </w:rPr>
              <w:t>(2)</w:t>
            </w:r>
          </w:p>
        </w:tc>
        <w:tc>
          <w:tcPr>
            <w:tcW w:w="341" w:type="pct"/>
            <w:shd w:val="clear" w:color="auto" w:fill="auto"/>
            <w:noWrap/>
            <w:vAlign w:val="center"/>
          </w:tcPr>
          <w:p w:rsidR="006702D9" w:rsidRPr="00FC4F8B" w:rsidRDefault="006702D9" w:rsidP="006702D9">
            <w:pPr>
              <w:pStyle w:val="14"/>
              <w:overflowPunct w:val="0"/>
              <w:jc w:val="center"/>
              <w:rPr>
                <w:rFonts w:hAnsi="標楷體"/>
                <w:b/>
                <w:bCs/>
                <w:color w:val="000000"/>
                <w:szCs w:val="24"/>
              </w:rPr>
            </w:pPr>
            <w:r w:rsidRPr="00FC4F8B">
              <w:rPr>
                <w:rFonts w:hAnsi="標楷體" w:hint="eastAsia"/>
                <w:b/>
                <w:bCs/>
                <w:color w:val="000000"/>
                <w:szCs w:val="24"/>
              </w:rPr>
              <w:t>(3)</w:t>
            </w:r>
          </w:p>
        </w:tc>
        <w:tc>
          <w:tcPr>
            <w:tcW w:w="341" w:type="pct"/>
            <w:vAlign w:val="center"/>
          </w:tcPr>
          <w:p w:rsidR="006702D9" w:rsidRPr="00FC4F8B" w:rsidRDefault="006702D9" w:rsidP="006702D9">
            <w:pPr>
              <w:pStyle w:val="14"/>
              <w:overflowPunct w:val="0"/>
              <w:jc w:val="center"/>
              <w:rPr>
                <w:rFonts w:hAnsi="標楷體"/>
                <w:b/>
                <w:bCs/>
                <w:color w:val="000000"/>
                <w:szCs w:val="24"/>
              </w:rPr>
            </w:pPr>
            <w:r w:rsidRPr="00FC4F8B">
              <w:rPr>
                <w:rFonts w:hAnsi="標楷體" w:hint="eastAsia"/>
                <w:b/>
                <w:bCs/>
                <w:color w:val="000000"/>
                <w:szCs w:val="24"/>
              </w:rPr>
              <w:t>(4)</w:t>
            </w:r>
          </w:p>
        </w:tc>
        <w:tc>
          <w:tcPr>
            <w:tcW w:w="341" w:type="pct"/>
            <w:vAlign w:val="center"/>
          </w:tcPr>
          <w:p w:rsidR="006702D9" w:rsidRPr="00FC4F8B" w:rsidRDefault="006702D9" w:rsidP="006702D9">
            <w:pPr>
              <w:pStyle w:val="14"/>
              <w:overflowPunct w:val="0"/>
              <w:jc w:val="center"/>
              <w:rPr>
                <w:rFonts w:hAnsi="標楷體"/>
                <w:b/>
                <w:bCs/>
                <w:color w:val="000000"/>
                <w:szCs w:val="24"/>
              </w:rPr>
            </w:pPr>
            <w:r w:rsidRPr="00FC4F8B">
              <w:rPr>
                <w:rFonts w:hAnsi="標楷體" w:hint="eastAsia"/>
                <w:b/>
                <w:bCs/>
                <w:color w:val="000000"/>
                <w:szCs w:val="24"/>
              </w:rPr>
              <w:t>(5)</w:t>
            </w:r>
          </w:p>
        </w:tc>
        <w:tc>
          <w:tcPr>
            <w:tcW w:w="344" w:type="pct"/>
            <w:shd w:val="clear" w:color="auto" w:fill="auto"/>
            <w:noWrap/>
            <w:vAlign w:val="center"/>
          </w:tcPr>
          <w:p w:rsidR="006702D9" w:rsidRPr="00FC4F8B" w:rsidRDefault="006702D9" w:rsidP="006702D9">
            <w:pPr>
              <w:pStyle w:val="14"/>
              <w:overflowPunct w:val="0"/>
              <w:jc w:val="center"/>
              <w:rPr>
                <w:rFonts w:hAnsi="標楷體"/>
                <w:b/>
                <w:bCs/>
                <w:color w:val="000000"/>
                <w:szCs w:val="24"/>
              </w:rPr>
            </w:pPr>
            <w:r w:rsidRPr="00FC4F8B">
              <w:rPr>
                <w:rFonts w:hAnsi="標楷體" w:hint="eastAsia"/>
                <w:b/>
                <w:bCs/>
                <w:color w:val="000000"/>
                <w:szCs w:val="24"/>
              </w:rPr>
              <w:t>(6)</w:t>
            </w:r>
          </w:p>
        </w:tc>
        <w:tc>
          <w:tcPr>
            <w:tcW w:w="345" w:type="pct"/>
            <w:vMerge/>
            <w:vAlign w:val="center"/>
          </w:tcPr>
          <w:p w:rsidR="006702D9" w:rsidRPr="00FC4F8B" w:rsidRDefault="006702D9" w:rsidP="006702D9">
            <w:pPr>
              <w:pStyle w:val="14"/>
              <w:overflowPunct w:val="0"/>
              <w:jc w:val="center"/>
              <w:rPr>
                <w:rFonts w:hAnsi="標楷體"/>
                <w:b/>
                <w:bCs/>
                <w:color w:val="000000"/>
                <w:szCs w:val="24"/>
              </w:rPr>
            </w:pPr>
          </w:p>
        </w:tc>
        <w:tc>
          <w:tcPr>
            <w:tcW w:w="411" w:type="pct"/>
            <w:vMerge/>
            <w:vAlign w:val="center"/>
          </w:tcPr>
          <w:p w:rsidR="006702D9" w:rsidRPr="00FC4F8B" w:rsidRDefault="006702D9" w:rsidP="006702D9">
            <w:pPr>
              <w:pStyle w:val="14"/>
              <w:overflowPunct w:val="0"/>
              <w:spacing w:line="240" w:lineRule="exact"/>
              <w:jc w:val="center"/>
              <w:rPr>
                <w:rFonts w:hAnsi="標楷體"/>
                <w:b/>
                <w:bCs/>
                <w:sz w:val="20"/>
                <w:szCs w:val="20"/>
              </w:rPr>
            </w:pPr>
          </w:p>
        </w:tc>
        <w:tc>
          <w:tcPr>
            <w:tcW w:w="323" w:type="pct"/>
            <w:vMerge/>
            <w:shd w:val="clear" w:color="auto" w:fill="auto"/>
            <w:noWrap/>
            <w:vAlign w:val="center"/>
          </w:tcPr>
          <w:p w:rsidR="006702D9" w:rsidRPr="00FC4F8B" w:rsidRDefault="006702D9" w:rsidP="006702D9">
            <w:pPr>
              <w:pStyle w:val="14"/>
              <w:overflowPunct w:val="0"/>
              <w:spacing w:line="240" w:lineRule="exact"/>
              <w:jc w:val="center"/>
              <w:rPr>
                <w:rFonts w:hAnsi="標楷體"/>
                <w:b/>
                <w:bCs/>
                <w:sz w:val="20"/>
                <w:szCs w:val="20"/>
              </w:rPr>
            </w:pPr>
          </w:p>
        </w:tc>
        <w:tc>
          <w:tcPr>
            <w:tcW w:w="508" w:type="pct"/>
            <w:vMerge/>
            <w:vAlign w:val="center"/>
          </w:tcPr>
          <w:p w:rsidR="006702D9" w:rsidRPr="0049161C" w:rsidRDefault="006702D9" w:rsidP="006702D9">
            <w:pPr>
              <w:pStyle w:val="14"/>
              <w:overflowPunct w:val="0"/>
              <w:spacing w:line="240" w:lineRule="exact"/>
              <w:jc w:val="center"/>
              <w:rPr>
                <w:rFonts w:hAnsi="標楷體"/>
                <w:b/>
                <w:bCs/>
                <w:spacing w:val="-20"/>
                <w:sz w:val="20"/>
                <w:szCs w:val="20"/>
              </w:rPr>
            </w:pPr>
          </w:p>
        </w:tc>
        <w:tc>
          <w:tcPr>
            <w:tcW w:w="388" w:type="pct"/>
            <w:vMerge/>
            <w:vAlign w:val="center"/>
          </w:tcPr>
          <w:p w:rsidR="006702D9" w:rsidRPr="00FC4F8B" w:rsidRDefault="006702D9" w:rsidP="006702D9">
            <w:pPr>
              <w:pStyle w:val="14"/>
              <w:overflowPunct w:val="0"/>
              <w:spacing w:line="240" w:lineRule="exact"/>
              <w:jc w:val="center"/>
              <w:rPr>
                <w:rFonts w:hAnsi="標楷體"/>
                <w:b/>
                <w:bCs/>
                <w:spacing w:val="-24"/>
                <w:szCs w:val="24"/>
              </w:rPr>
            </w:pPr>
          </w:p>
        </w:tc>
      </w:tr>
      <w:tr w:rsidR="006702D9" w:rsidRPr="00F77AB4" w:rsidTr="00F14BA1">
        <w:trPr>
          <w:trHeight w:val="351"/>
        </w:trPr>
        <w:tc>
          <w:tcPr>
            <w:tcW w:w="974" w:type="pct"/>
            <w:shd w:val="clear" w:color="auto" w:fill="auto"/>
            <w:noWrap/>
            <w:vAlign w:val="center"/>
            <w:hideMark/>
          </w:tcPr>
          <w:p w:rsidR="006702D9" w:rsidRPr="001479FD" w:rsidRDefault="006702D9" w:rsidP="006702D9">
            <w:pPr>
              <w:pStyle w:val="14"/>
              <w:overflowPunct w:val="0"/>
              <w:jc w:val="center"/>
              <w:rPr>
                <w:rFonts w:hAnsi="標楷體"/>
                <w:b/>
                <w:spacing w:val="-20"/>
              </w:rPr>
            </w:pPr>
            <w:r>
              <w:rPr>
                <w:rFonts w:hAnsi="標楷體" w:hint="eastAsia"/>
                <w:b/>
                <w:spacing w:val="-20"/>
              </w:rPr>
              <w:t xml:space="preserve">合 </w:t>
            </w:r>
            <w:r w:rsidRPr="001479FD">
              <w:rPr>
                <w:rFonts w:hAnsi="標楷體" w:hint="eastAsia"/>
                <w:b/>
                <w:spacing w:val="-20"/>
              </w:rPr>
              <w:t>計</w:t>
            </w:r>
          </w:p>
        </w:tc>
        <w:tc>
          <w:tcPr>
            <w:tcW w:w="341" w:type="pct"/>
            <w:vAlign w:val="center"/>
          </w:tcPr>
          <w:p w:rsidR="006702D9" w:rsidRPr="0076106D" w:rsidRDefault="006702D9" w:rsidP="006702D9">
            <w:pPr>
              <w:pStyle w:val="14"/>
              <w:overflowPunct w:val="0"/>
              <w:jc w:val="right"/>
              <w:rPr>
                <w:rFonts w:hAnsi="標楷體"/>
                <w:b/>
                <w:szCs w:val="22"/>
              </w:rPr>
            </w:pPr>
            <w:r w:rsidRPr="0076106D">
              <w:rPr>
                <w:rFonts w:hAnsi="標楷體"/>
                <w:b/>
                <w:szCs w:val="22"/>
              </w:rPr>
              <w:t>24</w:t>
            </w:r>
          </w:p>
        </w:tc>
        <w:tc>
          <w:tcPr>
            <w:tcW w:w="341" w:type="pct"/>
            <w:vAlign w:val="center"/>
          </w:tcPr>
          <w:p w:rsidR="006702D9" w:rsidRPr="0076106D" w:rsidRDefault="006702D9" w:rsidP="006702D9">
            <w:pPr>
              <w:pStyle w:val="14"/>
              <w:overflowPunct w:val="0"/>
              <w:jc w:val="right"/>
              <w:rPr>
                <w:rFonts w:hAnsi="標楷體"/>
                <w:b/>
                <w:szCs w:val="22"/>
              </w:rPr>
            </w:pPr>
            <w:r w:rsidRPr="0076106D">
              <w:rPr>
                <w:rFonts w:hAnsi="標楷體" w:hint="eastAsia"/>
                <w:b/>
                <w:szCs w:val="22"/>
              </w:rPr>
              <w:t>398</w:t>
            </w:r>
          </w:p>
        </w:tc>
        <w:tc>
          <w:tcPr>
            <w:tcW w:w="341" w:type="pct"/>
            <w:shd w:val="clear" w:color="auto" w:fill="auto"/>
            <w:noWrap/>
            <w:vAlign w:val="center"/>
          </w:tcPr>
          <w:p w:rsidR="006702D9" w:rsidRPr="0076106D" w:rsidRDefault="006702D9" w:rsidP="006702D9">
            <w:pPr>
              <w:pStyle w:val="14"/>
              <w:overflowPunct w:val="0"/>
              <w:jc w:val="right"/>
              <w:rPr>
                <w:rFonts w:hAnsi="標楷體"/>
                <w:b/>
                <w:szCs w:val="22"/>
              </w:rPr>
            </w:pPr>
            <w:r w:rsidRPr="0076106D">
              <w:rPr>
                <w:rFonts w:hAnsi="標楷體" w:hint="eastAsia"/>
                <w:b/>
                <w:szCs w:val="22"/>
              </w:rPr>
              <w:t>62</w:t>
            </w:r>
          </w:p>
        </w:tc>
        <w:tc>
          <w:tcPr>
            <w:tcW w:w="341" w:type="pct"/>
            <w:vAlign w:val="center"/>
          </w:tcPr>
          <w:p w:rsidR="006702D9" w:rsidRPr="0076106D" w:rsidRDefault="006702D9" w:rsidP="006702D9">
            <w:pPr>
              <w:pStyle w:val="14"/>
              <w:overflowPunct w:val="0"/>
              <w:jc w:val="right"/>
              <w:rPr>
                <w:rFonts w:hAnsi="標楷體"/>
                <w:b/>
                <w:szCs w:val="22"/>
              </w:rPr>
            </w:pPr>
            <w:r w:rsidRPr="0076106D">
              <w:rPr>
                <w:rFonts w:hAnsi="標楷體" w:hint="eastAsia"/>
                <w:b/>
                <w:szCs w:val="22"/>
              </w:rPr>
              <w:t>50</w:t>
            </w:r>
          </w:p>
        </w:tc>
        <w:tc>
          <w:tcPr>
            <w:tcW w:w="341" w:type="pct"/>
            <w:vAlign w:val="center"/>
          </w:tcPr>
          <w:p w:rsidR="006702D9" w:rsidRPr="0076106D" w:rsidRDefault="006702D9" w:rsidP="006702D9">
            <w:pPr>
              <w:pStyle w:val="14"/>
              <w:overflowPunct w:val="0"/>
              <w:jc w:val="right"/>
              <w:rPr>
                <w:rFonts w:hAnsi="標楷體"/>
                <w:b/>
                <w:szCs w:val="22"/>
              </w:rPr>
            </w:pPr>
            <w:r w:rsidRPr="0076106D">
              <w:rPr>
                <w:rFonts w:hAnsi="標楷體" w:hint="eastAsia"/>
                <w:b/>
                <w:szCs w:val="22"/>
              </w:rPr>
              <w:t>21</w:t>
            </w:r>
          </w:p>
        </w:tc>
        <w:tc>
          <w:tcPr>
            <w:tcW w:w="344" w:type="pct"/>
            <w:shd w:val="clear" w:color="auto" w:fill="auto"/>
            <w:noWrap/>
            <w:vAlign w:val="center"/>
          </w:tcPr>
          <w:p w:rsidR="006702D9" w:rsidRPr="0076106D" w:rsidRDefault="006702D9" w:rsidP="006702D9">
            <w:pPr>
              <w:pStyle w:val="14"/>
              <w:overflowPunct w:val="0"/>
              <w:jc w:val="right"/>
              <w:rPr>
                <w:rFonts w:hAnsi="標楷體"/>
                <w:b/>
                <w:szCs w:val="22"/>
              </w:rPr>
            </w:pPr>
            <w:r w:rsidRPr="0076106D">
              <w:rPr>
                <w:rFonts w:hAnsi="標楷體" w:hint="eastAsia"/>
                <w:b/>
                <w:szCs w:val="22"/>
              </w:rPr>
              <w:t>63</w:t>
            </w:r>
          </w:p>
        </w:tc>
        <w:tc>
          <w:tcPr>
            <w:tcW w:w="345" w:type="pct"/>
            <w:vAlign w:val="center"/>
          </w:tcPr>
          <w:p w:rsidR="006702D9" w:rsidRPr="0076106D" w:rsidRDefault="006702D9" w:rsidP="006702D9">
            <w:pPr>
              <w:pStyle w:val="14"/>
              <w:overflowPunct w:val="0"/>
              <w:jc w:val="right"/>
              <w:rPr>
                <w:rFonts w:hAnsi="標楷體"/>
                <w:b/>
                <w:szCs w:val="22"/>
              </w:rPr>
            </w:pPr>
            <w:r w:rsidRPr="0076106D">
              <w:rPr>
                <w:rFonts w:hAnsi="標楷體" w:hint="eastAsia"/>
                <w:b/>
                <w:szCs w:val="22"/>
              </w:rPr>
              <w:t>61</w:t>
            </w:r>
            <w:r>
              <w:rPr>
                <w:rFonts w:hAnsi="標楷體" w:hint="eastAsia"/>
                <w:b/>
                <w:szCs w:val="22"/>
              </w:rPr>
              <w:t>8</w:t>
            </w:r>
          </w:p>
        </w:tc>
        <w:tc>
          <w:tcPr>
            <w:tcW w:w="411" w:type="pct"/>
            <w:vAlign w:val="center"/>
          </w:tcPr>
          <w:p w:rsidR="006702D9" w:rsidRPr="0076106D" w:rsidRDefault="006702D9" w:rsidP="006702D9">
            <w:pPr>
              <w:pStyle w:val="14"/>
              <w:overflowPunct w:val="0"/>
              <w:jc w:val="right"/>
              <w:rPr>
                <w:rFonts w:hAnsi="標楷體"/>
                <w:b/>
                <w:szCs w:val="22"/>
              </w:rPr>
            </w:pPr>
            <w:r w:rsidRPr="0076106D">
              <w:rPr>
                <w:rFonts w:hAnsi="標楷體" w:hint="eastAsia"/>
                <w:b/>
                <w:szCs w:val="22"/>
              </w:rPr>
              <w:t>153</w:t>
            </w:r>
          </w:p>
        </w:tc>
        <w:tc>
          <w:tcPr>
            <w:tcW w:w="323" w:type="pct"/>
            <w:shd w:val="clear" w:color="auto" w:fill="auto"/>
            <w:noWrap/>
            <w:vAlign w:val="center"/>
          </w:tcPr>
          <w:p w:rsidR="006702D9" w:rsidRPr="0076106D" w:rsidRDefault="006702D9" w:rsidP="006702D9">
            <w:pPr>
              <w:pStyle w:val="14"/>
              <w:overflowPunct w:val="0"/>
              <w:jc w:val="right"/>
              <w:rPr>
                <w:rFonts w:hAnsi="標楷體"/>
                <w:b/>
                <w:szCs w:val="22"/>
              </w:rPr>
            </w:pPr>
            <w:r w:rsidRPr="0076106D">
              <w:rPr>
                <w:rFonts w:hAnsi="標楷體" w:hint="eastAsia"/>
                <w:b/>
                <w:szCs w:val="22"/>
              </w:rPr>
              <w:t>30</w:t>
            </w:r>
          </w:p>
        </w:tc>
        <w:tc>
          <w:tcPr>
            <w:tcW w:w="508" w:type="pct"/>
            <w:vAlign w:val="center"/>
          </w:tcPr>
          <w:p w:rsidR="006702D9" w:rsidRPr="0076106D" w:rsidRDefault="006702D9" w:rsidP="006702D9">
            <w:pPr>
              <w:pStyle w:val="14"/>
              <w:overflowPunct w:val="0"/>
              <w:jc w:val="right"/>
              <w:rPr>
                <w:rFonts w:hAnsi="標楷體"/>
                <w:b/>
                <w:szCs w:val="22"/>
              </w:rPr>
            </w:pPr>
            <w:r w:rsidRPr="0076106D">
              <w:rPr>
                <w:rFonts w:hAnsi="標楷體" w:hint="eastAsia"/>
                <w:b/>
                <w:szCs w:val="22"/>
              </w:rPr>
              <w:t>436</w:t>
            </w:r>
          </w:p>
        </w:tc>
        <w:tc>
          <w:tcPr>
            <w:tcW w:w="388" w:type="pct"/>
            <w:vAlign w:val="center"/>
          </w:tcPr>
          <w:p w:rsidR="006702D9" w:rsidRPr="0076106D" w:rsidRDefault="006702D9" w:rsidP="006702D9">
            <w:pPr>
              <w:pStyle w:val="14"/>
              <w:overflowPunct w:val="0"/>
              <w:jc w:val="right"/>
              <w:rPr>
                <w:rFonts w:hAnsi="標楷體"/>
                <w:b/>
                <w:szCs w:val="22"/>
              </w:rPr>
            </w:pPr>
            <w:r w:rsidRPr="0076106D">
              <w:rPr>
                <w:rFonts w:hAnsi="標楷體" w:hint="eastAsia"/>
                <w:b/>
                <w:szCs w:val="22"/>
              </w:rPr>
              <w:t>619</w:t>
            </w:r>
          </w:p>
        </w:tc>
      </w:tr>
      <w:tr w:rsidR="006702D9" w:rsidRPr="00F77AB4" w:rsidTr="00F14BA1">
        <w:trPr>
          <w:trHeight w:val="351"/>
        </w:trPr>
        <w:tc>
          <w:tcPr>
            <w:tcW w:w="974" w:type="pct"/>
            <w:shd w:val="clear" w:color="auto" w:fill="auto"/>
            <w:noWrap/>
            <w:vAlign w:val="center"/>
          </w:tcPr>
          <w:p w:rsidR="006702D9" w:rsidRPr="00D93114" w:rsidRDefault="006702D9" w:rsidP="006702D9">
            <w:pPr>
              <w:pStyle w:val="14"/>
              <w:overflowPunct w:val="0"/>
              <w:jc w:val="center"/>
              <w:rPr>
                <w:rFonts w:hAnsi="標楷體"/>
                <w:spacing w:val="-20"/>
              </w:rPr>
            </w:pPr>
            <w:r w:rsidRPr="00D93114">
              <w:rPr>
                <w:rFonts w:hAnsi="標楷體" w:hint="eastAsia"/>
                <w:spacing w:val="-20"/>
              </w:rPr>
              <w:t>總決算審核報告</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9</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249</w:t>
            </w:r>
          </w:p>
        </w:tc>
        <w:tc>
          <w:tcPr>
            <w:tcW w:w="341" w:type="pct"/>
            <w:shd w:val="clear" w:color="auto" w:fill="auto"/>
            <w:noWrap/>
            <w:vAlign w:val="center"/>
          </w:tcPr>
          <w:p w:rsidR="006702D9" w:rsidRPr="0076106D" w:rsidRDefault="006702D9" w:rsidP="006702D9">
            <w:pPr>
              <w:pStyle w:val="14"/>
              <w:overflowPunct w:val="0"/>
              <w:jc w:val="right"/>
              <w:rPr>
                <w:rFonts w:hAnsi="標楷體"/>
                <w:szCs w:val="24"/>
              </w:rPr>
            </w:pPr>
            <w:r>
              <w:rPr>
                <w:rFonts w:hAnsi="標楷體" w:hint="eastAsia"/>
                <w:szCs w:val="24"/>
              </w:rPr>
              <w:t>16</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2</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8</w:t>
            </w:r>
          </w:p>
        </w:tc>
        <w:tc>
          <w:tcPr>
            <w:tcW w:w="344" w:type="pct"/>
            <w:shd w:val="clear" w:color="auto" w:fill="auto"/>
            <w:noWrap/>
            <w:vAlign w:val="center"/>
          </w:tcPr>
          <w:p w:rsidR="006702D9" w:rsidRPr="0076106D" w:rsidRDefault="006702D9" w:rsidP="006702D9">
            <w:pPr>
              <w:pStyle w:val="14"/>
              <w:overflowPunct w:val="0"/>
              <w:jc w:val="right"/>
              <w:rPr>
                <w:rFonts w:hAnsi="標楷體"/>
                <w:szCs w:val="24"/>
              </w:rPr>
            </w:pPr>
            <w:r>
              <w:rPr>
                <w:rFonts w:hAnsi="標楷體" w:hint="eastAsia"/>
                <w:szCs w:val="24"/>
              </w:rPr>
              <w:t>37</w:t>
            </w:r>
          </w:p>
        </w:tc>
        <w:tc>
          <w:tcPr>
            <w:tcW w:w="345" w:type="pct"/>
            <w:vAlign w:val="center"/>
          </w:tcPr>
          <w:p w:rsidR="006702D9" w:rsidRPr="0076106D" w:rsidRDefault="006702D9" w:rsidP="006702D9">
            <w:pPr>
              <w:pStyle w:val="14"/>
              <w:overflowPunct w:val="0"/>
              <w:jc w:val="right"/>
              <w:rPr>
                <w:rFonts w:hAnsi="標楷體"/>
                <w:b/>
                <w:szCs w:val="24"/>
              </w:rPr>
            </w:pPr>
            <w:r w:rsidRPr="0076106D">
              <w:rPr>
                <w:rFonts w:hAnsi="標楷體" w:hint="eastAsia"/>
                <w:b/>
                <w:szCs w:val="24"/>
              </w:rPr>
              <w:t>321</w:t>
            </w:r>
          </w:p>
        </w:tc>
        <w:tc>
          <w:tcPr>
            <w:tcW w:w="41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67</w:t>
            </w:r>
          </w:p>
        </w:tc>
        <w:tc>
          <w:tcPr>
            <w:tcW w:w="323" w:type="pct"/>
            <w:shd w:val="clear" w:color="auto" w:fill="auto"/>
            <w:noWrap/>
            <w:vAlign w:val="center"/>
          </w:tcPr>
          <w:p w:rsidR="006702D9" w:rsidRPr="0076106D" w:rsidRDefault="006702D9" w:rsidP="006702D9">
            <w:pPr>
              <w:pStyle w:val="14"/>
              <w:overflowPunct w:val="0"/>
              <w:jc w:val="right"/>
              <w:rPr>
                <w:rFonts w:hAnsi="標楷體"/>
                <w:szCs w:val="24"/>
              </w:rPr>
            </w:pPr>
            <w:r>
              <w:rPr>
                <w:rFonts w:hAnsi="標楷體" w:hint="eastAsia"/>
                <w:szCs w:val="24"/>
              </w:rPr>
              <w:t>22</w:t>
            </w:r>
          </w:p>
        </w:tc>
        <w:tc>
          <w:tcPr>
            <w:tcW w:w="508"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237</w:t>
            </w:r>
          </w:p>
        </w:tc>
        <w:tc>
          <w:tcPr>
            <w:tcW w:w="388" w:type="pct"/>
            <w:vAlign w:val="center"/>
          </w:tcPr>
          <w:p w:rsidR="006702D9" w:rsidRPr="0076106D" w:rsidRDefault="006702D9" w:rsidP="006702D9">
            <w:pPr>
              <w:pStyle w:val="14"/>
              <w:overflowPunct w:val="0"/>
              <w:jc w:val="right"/>
              <w:rPr>
                <w:rFonts w:hAnsi="標楷體"/>
                <w:b/>
                <w:bCs/>
                <w:szCs w:val="24"/>
              </w:rPr>
            </w:pPr>
            <w:r w:rsidRPr="0076106D">
              <w:rPr>
                <w:rFonts w:hAnsi="標楷體" w:hint="eastAsia"/>
                <w:b/>
                <w:bCs/>
                <w:szCs w:val="24"/>
              </w:rPr>
              <w:t>326</w:t>
            </w:r>
          </w:p>
        </w:tc>
      </w:tr>
      <w:tr w:rsidR="006702D9" w:rsidRPr="00F77AB4" w:rsidTr="00F14BA1">
        <w:trPr>
          <w:trHeight w:val="351"/>
        </w:trPr>
        <w:tc>
          <w:tcPr>
            <w:tcW w:w="974" w:type="pct"/>
            <w:shd w:val="clear" w:color="auto" w:fill="auto"/>
            <w:noWrap/>
            <w:vAlign w:val="center"/>
          </w:tcPr>
          <w:p w:rsidR="006702D9" w:rsidRPr="00D93114" w:rsidRDefault="006702D9" w:rsidP="006702D9">
            <w:pPr>
              <w:pStyle w:val="14"/>
              <w:overflowPunct w:val="0"/>
              <w:jc w:val="center"/>
              <w:rPr>
                <w:rFonts w:hAnsi="標楷體"/>
                <w:spacing w:val="-20"/>
              </w:rPr>
            </w:pPr>
            <w:r w:rsidRPr="00D93114">
              <w:rPr>
                <w:rFonts w:hAnsi="標楷體" w:hint="eastAsia"/>
                <w:spacing w:val="-20"/>
              </w:rPr>
              <w:t>審核報告營業部分</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12</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56</w:t>
            </w:r>
          </w:p>
        </w:tc>
        <w:tc>
          <w:tcPr>
            <w:tcW w:w="341" w:type="pct"/>
            <w:shd w:val="clear" w:color="auto" w:fill="auto"/>
            <w:noWrap/>
            <w:vAlign w:val="center"/>
          </w:tcPr>
          <w:p w:rsidR="006702D9" w:rsidRPr="0076106D" w:rsidRDefault="006702D9" w:rsidP="006702D9">
            <w:pPr>
              <w:pStyle w:val="14"/>
              <w:overflowPunct w:val="0"/>
              <w:jc w:val="right"/>
              <w:rPr>
                <w:rFonts w:hAnsi="標楷體"/>
                <w:szCs w:val="24"/>
              </w:rPr>
            </w:pPr>
            <w:r>
              <w:rPr>
                <w:rFonts w:hAnsi="標楷體" w:hint="eastAsia"/>
                <w:szCs w:val="24"/>
              </w:rPr>
              <w:t>23</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36</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9</w:t>
            </w:r>
          </w:p>
        </w:tc>
        <w:tc>
          <w:tcPr>
            <w:tcW w:w="344" w:type="pct"/>
            <w:shd w:val="clear" w:color="auto" w:fill="auto"/>
            <w:noWrap/>
            <w:vAlign w:val="center"/>
          </w:tcPr>
          <w:p w:rsidR="006702D9" w:rsidRPr="0076106D" w:rsidRDefault="006702D9" w:rsidP="006702D9">
            <w:pPr>
              <w:pStyle w:val="14"/>
              <w:overflowPunct w:val="0"/>
              <w:jc w:val="right"/>
              <w:rPr>
                <w:rFonts w:hAnsi="標楷體"/>
                <w:szCs w:val="24"/>
              </w:rPr>
            </w:pPr>
            <w:r>
              <w:rPr>
                <w:rFonts w:hAnsi="標楷體" w:hint="eastAsia"/>
                <w:szCs w:val="24"/>
              </w:rPr>
              <w:t>16</w:t>
            </w:r>
          </w:p>
        </w:tc>
        <w:tc>
          <w:tcPr>
            <w:tcW w:w="345" w:type="pct"/>
            <w:vAlign w:val="center"/>
          </w:tcPr>
          <w:p w:rsidR="006702D9" w:rsidRPr="0076106D" w:rsidRDefault="006702D9" w:rsidP="006702D9">
            <w:pPr>
              <w:pStyle w:val="14"/>
              <w:overflowPunct w:val="0"/>
              <w:jc w:val="right"/>
              <w:rPr>
                <w:rFonts w:hAnsi="標楷體"/>
                <w:b/>
                <w:szCs w:val="24"/>
              </w:rPr>
            </w:pPr>
            <w:r>
              <w:rPr>
                <w:rFonts w:hAnsi="標楷體" w:hint="eastAsia"/>
                <w:b/>
                <w:szCs w:val="24"/>
              </w:rPr>
              <w:t>152</w:t>
            </w:r>
          </w:p>
        </w:tc>
        <w:tc>
          <w:tcPr>
            <w:tcW w:w="41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51</w:t>
            </w:r>
          </w:p>
        </w:tc>
        <w:tc>
          <w:tcPr>
            <w:tcW w:w="323" w:type="pct"/>
            <w:shd w:val="clear" w:color="auto" w:fill="auto"/>
            <w:noWrap/>
            <w:vAlign w:val="center"/>
          </w:tcPr>
          <w:p w:rsidR="006702D9" w:rsidRPr="0076106D" w:rsidRDefault="006702D9" w:rsidP="006702D9">
            <w:pPr>
              <w:pStyle w:val="14"/>
              <w:overflowPunct w:val="0"/>
              <w:jc w:val="right"/>
              <w:rPr>
                <w:rFonts w:hAnsi="標楷體"/>
                <w:szCs w:val="24"/>
              </w:rPr>
            </w:pPr>
            <w:r>
              <w:rPr>
                <w:rFonts w:hAnsi="標楷體" w:hint="eastAsia"/>
                <w:szCs w:val="24"/>
              </w:rPr>
              <w:t>1</w:t>
            </w:r>
          </w:p>
        </w:tc>
        <w:tc>
          <w:tcPr>
            <w:tcW w:w="508"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99</w:t>
            </w:r>
          </w:p>
        </w:tc>
        <w:tc>
          <w:tcPr>
            <w:tcW w:w="388" w:type="pct"/>
            <w:vAlign w:val="center"/>
          </w:tcPr>
          <w:p w:rsidR="006702D9" w:rsidRPr="0076106D" w:rsidRDefault="006702D9" w:rsidP="006702D9">
            <w:pPr>
              <w:pStyle w:val="14"/>
              <w:overflowPunct w:val="0"/>
              <w:jc w:val="right"/>
              <w:rPr>
                <w:rFonts w:hAnsi="標楷體"/>
                <w:b/>
                <w:bCs/>
                <w:szCs w:val="24"/>
              </w:rPr>
            </w:pPr>
            <w:r>
              <w:rPr>
                <w:rFonts w:hAnsi="標楷體" w:hint="eastAsia"/>
                <w:b/>
                <w:bCs/>
                <w:szCs w:val="24"/>
              </w:rPr>
              <w:t>151</w:t>
            </w:r>
          </w:p>
        </w:tc>
      </w:tr>
      <w:tr w:rsidR="006702D9" w:rsidRPr="00F77AB4" w:rsidTr="00F14BA1">
        <w:trPr>
          <w:trHeight w:val="351"/>
        </w:trPr>
        <w:tc>
          <w:tcPr>
            <w:tcW w:w="974" w:type="pct"/>
            <w:shd w:val="clear" w:color="auto" w:fill="auto"/>
            <w:noWrap/>
            <w:vAlign w:val="center"/>
          </w:tcPr>
          <w:p w:rsidR="006702D9" w:rsidRPr="00D93114" w:rsidRDefault="006702D9" w:rsidP="006702D9">
            <w:pPr>
              <w:pStyle w:val="14"/>
              <w:overflowPunct w:val="0"/>
              <w:jc w:val="center"/>
              <w:rPr>
                <w:rFonts w:hAnsi="標楷體"/>
                <w:spacing w:val="-32"/>
              </w:rPr>
            </w:pPr>
            <w:r w:rsidRPr="00D93114">
              <w:rPr>
                <w:rFonts w:hAnsi="標楷體" w:hint="eastAsia"/>
                <w:spacing w:val="-32"/>
              </w:rPr>
              <w:t>審核報告非營業部分</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3</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93</w:t>
            </w:r>
          </w:p>
        </w:tc>
        <w:tc>
          <w:tcPr>
            <w:tcW w:w="341" w:type="pct"/>
            <w:shd w:val="clear" w:color="auto" w:fill="auto"/>
            <w:noWrap/>
            <w:vAlign w:val="center"/>
          </w:tcPr>
          <w:p w:rsidR="006702D9" w:rsidRPr="0076106D" w:rsidRDefault="006702D9" w:rsidP="006702D9">
            <w:pPr>
              <w:pStyle w:val="14"/>
              <w:overflowPunct w:val="0"/>
              <w:jc w:val="right"/>
              <w:rPr>
                <w:rFonts w:hAnsi="標楷體"/>
                <w:szCs w:val="24"/>
              </w:rPr>
            </w:pPr>
            <w:r>
              <w:rPr>
                <w:rFonts w:hAnsi="標楷體" w:hint="eastAsia"/>
                <w:szCs w:val="24"/>
              </w:rPr>
              <w:t>23</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12</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4</w:t>
            </w:r>
          </w:p>
        </w:tc>
        <w:tc>
          <w:tcPr>
            <w:tcW w:w="344"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10</w:t>
            </w:r>
          </w:p>
        </w:tc>
        <w:tc>
          <w:tcPr>
            <w:tcW w:w="345" w:type="pct"/>
            <w:vAlign w:val="center"/>
          </w:tcPr>
          <w:p w:rsidR="006702D9" w:rsidRPr="0076106D" w:rsidRDefault="006702D9" w:rsidP="006702D9">
            <w:pPr>
              <w:pStyle w:val="14"/>
              <w:overflowPunct w:val="0"/>
              <w:jc w:val="right"/>
              <w:rPr>
                <w:rFonts w:hAnsi="標楷體"/>
                <w:b/>
                <w:szCs w:val="24"/>
              </w:rPr>
            </w:pPr>
            <w:r>
              <w:rPr>
                <w:rFonts w:hAnsi="標楷體" w:hint="eastAsia"/>
                <w:b/>
                <w:szCs w:val="24"/>
              </w:rPr>
              <w:t>145</w:t>
            </w:r>
          </w:p>
        </w:tc>
        <w:tc>
          <w:tcPr>
            <w:tcW w:w="411" w:type="pct"/>
            <w:shd w:val="clear" w:color="auto" w:fill="auto"/>
            <w:noWrap/>
            <w:vAlign w:val="center"/>
          </w:tcPr>
          <w:p w:rsidR="006702D9" w:rsidRPr="0076106D" w:rsidRDefault="006702D9" w:rsidP="006702D9">
            <w:pPr>
              <w:pStyle w:val="14"/>
              <w:overflowPunct w:val="0"/>
              <w:jc w:val="right"/>
              <w:rPr>
                <w:rFonts w:hAnsi="標楷體"/>
                <w:szCs w:val="24"/>
              </w:rPr>
            </w:pPr>
            <w:r>
              <w:rPr>
                <w:rFonts w:hAnsi="標楷體" w:hint="eastAsia"/>
                <w:szCs w:val="24"/>
              </w:rPr>
              <w:t>35</w:t>
            </w:r>
          </w:p>
        </w:tc>
        <w:tc>
          <w:tcPr>
            <w:tcW w:w="323"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7</w:t>
            </w:r>
          </w:p>
        </w:tc>
        <w:tc>
          <w:tcPr>
            <w:tcW w:w="508"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100</w:t>
            </w:r>
          </w:p>
        </w:tc>
        <w:tc>
          <w:tcPr>
            <w:tcW w:w="388" w:type="pct"/>
            <w:shd w:val="clear" w:color="auto" w:fill="auto"/>
            <w:noWrap/>
            <w:vAlign w:val="center"/>
          </w:tcPr>
          <w:p w:rsidR="006702D9" w:rsidRPr="0076106D" w:rsidRDefault="006702D9" w:rsidP="006702D9">
            <w:pPr>
              <w:pStyle w:val="14"/>
              <w:overflowPunct w:val="0"/>
              <w:jc w:val="right"/>
              <w:rPr>
                <w:rFonts w:hAnsi="標楷體"/>
                <w:b/>
                <w:bCs/>
                <w:szCs w:val="24"/>
              </w:rPr>
            </w:pPr>
            <w:r>
              <w:rPr>
                <w:rFonts w:hAnsi="標楷體" w:hint="eastAsia"/>
                <w:b/>
                <w:bCs/>
                <w:szCs w:val="24"/>
              </w:rPr>
              <w:t>142</w:t>
            </w:r>
          </w:p>
        </w:tc>
      </w:tr>
    </w:tbl>
    <w:p w:rsidR="006702D9" w:rsidRDefault="006702D9" w:rsidP="006702D9">
      <w:pPr>
        <w:pStyle w:val="14"/>
        <w:overflowPunct w:val="0"/>
        <w:ind w:left="1459" w:hangingChars="600" w:hanging="1459"/>
        <w:jc w:val="both"/>
      </w:pPr>
      <w:r>
        <w:rPr>
          <w:rFonts w:hint="eastAsia"/>
        </w:rPr>
        <w:t>說　　明：1.</w:t>
      </w:r>
      <w:r w:rsidRPr="0049161C">
        <w:rPr>
          <w:rFonts w:hint="eastAsia"/>
        </w:rPr>
        <w:t>分類：</w:t>
      </w:r>
      <w:r>
        <w:rPr>
          <w:rFonts w:hint="eastAsia"/>
        </w:rPr>
        <w:t>(</w:t>
      </w:r>
      <w:r w:rsidRPr="0049161C">
        <w:rPr>
          <w:rFonts w:hint="eastAsia"/>
        </w:rPr>
        <w:t>1</w:t>
      </w:r>
      <w:r>
        <w:rPr>
          <w:rFonts w:hint="eastAsia"/>
        </w:rPr>
        <w:t>)</w:t>
      </w:r>
      <w:r w:rsidRPr="0049161C">
        <w:rPr>
          <w:rFonts w:hint="eastAsia"/>
        </w:rPr>
        <w:t>對於內部稽</w:t>
      </w:r>
      <w:r>
        <w:rPr>
          <w:rFonts w:hint="eastAsia"/>
        </w:rPr>
        <w:t>(</w:t>
      </w:r>
      <w:r w:rsidRPr="0049161C">
        <w:rPr>
          <w:rFonts w:hint="eastAsia"/>
        </w:rPr>
        <w:t>審</w:t>
      </w:r>
      <w:r>
        <w:rPr>
          <w:rFonts w:hint="eastAsia"/>
        </w:rPr>
        <w:t>)</w:t>
      </w:r>
      <w:r w:rsidRPr="0049161C">
        <w:rPr>
          <w:rFonts w:hint="eastAsia"/>
        </w:rPr>
        <w:t>核之實施提出意見者；</w:t>
      </w:r>
      <w:r>
        <w:rPr>
          <w:rFonts w:hint="eastAsia"/>
        </w:rPr>
        <w:t>(</w:t>
      </w:r>
      <w:r w:rsidRPr="0049161C">
        <w:rPr>
          <w:rFonts w:hint="eastAsia"/>
        </w:rPr>
        <w:t>2</w:t>
      </w:r>
      <w:r>
        <w:rPr>
          <w:rFonts w:hint="eastAsia"/>
        </w:rPr>
        <w:t>)</w:t>
      </w:r>
      <w:r w:rsidRPr="0049161C">
        <w:rPr>
          <w:rFonts w:hint="eastAsia"/>
        </w:rPr>
        <w:t>對於計畫之實施及預算之執行提出意見者；</w:t>
      </w:r>
      <w:r>
        <w:rPr>
          <w:rFonts w:hint="eastAsia"/>
        </w:rPr>
        <w:t>(</w:t>
      </w:r>
      <w:r w:rsidRPr="0049161C">
        <w:rPr>
          <w:rFonts w:hint="eastAsia"/>
        </w:rPr>
        <w:t>3</w:t>
      </w:r>
      <w:r>
        <w:rPr>
          <w:rFonts w:hint="eastAsia"/>
        </w:rPr>
        <w:t>)</w:t>
      </w:r>
      <w:r w:rsidRPr="0049161C">
        <w:rPr>
          <w:rFonts w:hint="eastAsia"/>
        </w:rPr>
        <w:t>對於財務</w:t>
      </w:r>
      <w:r>
        <w:rPr>
          <w:rFonts w:hint="eastAsia"/>
        </w:rPr>
        <w:t>(</w:t>
      </w:r>
      <w:r w:rsidRPr="0049161C">
        <w:rPr>
          <w:rFonts w:hint="eastAsia"/>
        </w:rPr>
        <w:t>物</w:t>
      </w:r>
      <w:r>
        <w:rPr>
          <w:rFonts w:hint="eastAsia"/>
        </w:rPr>
        <w:t>)</w:t>
      </w:r>
      <w:r w:rsidRPr="0049161C">
        <w:rPr>
          <w:rFonts w:hint="eastAsia"/>
        </w:rPr>
        <w:t>之管理、運用提出意見者；</w:t>
      </w:r>
      <w:r>
        <w:rPr>
          <w:rFonts w:hint="eastAsia"/>
        </w:rPr>
        <w:t>(4)</w:t>
      </w:r>
      <w:r w:rsidRPr="0049161C">
        <w:rPr>
          <w:rFonts w:hint="eastAsia"/>
        </w:rPr>
        <w:t>對於產銷營運管理提出意見者；</w:t>
      </w:r>
      <w:r>
        <w:rPr>
          <w:rFonts w:hint="eastAsia"/>
        </w:rPr>
        <w:t>(5)</w:t>
      </w:r>
      <w:r w:rsidRPr="0049161C">
        <w:rPr>
          <w:rFonts w:hint="eastAsia"/>
        </w:rPr>
        <w:t>對於採購作業提出意見者；</w:t>
      </w:r>
      <w:r>
        <w:rPr>
          <w:rFonts w:hint="eastAsia"/>
        </w:rPr>
        <w:t>(6)</w:t>
      </w:r>
      <w:r w:rsidRPr="0049161C">
        <w:rPr>
          <w:rFonts w:hint="eastAsia"/>
        </w:rPr>
        <w:t>對於事務管理及其他事項提出意見者</w:t>
      </w:r>
      <w:r>
        <w:rPr>
          <w:rFonts w:hint="eastAsia"/>
        </w:rPr>
        <w:t>。</w:t>
      </w:r>
    </w:p>
    <w:p w:rsidR="006702D9" w:rsidRDefault="006702D9" w:rsidP="006702D9">
      <w:pPr>
        <w:pStyle w:val="14"/>
        <w:overflowPunct w:val="0"/>
        <w:ind w:leftChars="431" w:left="1464" w:hangingChars="100" w:hanging="243"/>
        <w:jc w:val="both"/>
      </w:pPr>
      <w:r>
        <w:rPr>
          <w:rFonts w:hint="eastAsia"/>
        </w:rPr>
        <w:t>2.</w:t>
      </w:r>
      <w:r w:rsidRPr="0049161C">
        <w:rPr>
          <w:rFonts w:hint="eastAsia"/>
        </w:rPr>
        <w:t>係機關已研謀改善或依改善措施持續辦理。</w:t>
      </w:r>
    </w:p>
    <w:p w:rsidR="006702D9" w:rsidRDefault="006702D9" w:rsidP="006702D9">
      <w:pPr>
        <w:pStyle w:val="14"/>
        <w:overflowPunct w:val="0"/>
        <w:jc w:val="both"/>
      </w:pPr>
      <w:r>
        <w:rPr>
          <w:rFonts w:hint="eastAsia"/>
        </w:rPr>
        <w:t>資料來源：113年度中央政府總決算審核報告。</w:t>
      </w:r>
    </w:p>
    <w:p w:rsidR="006702D9" w:rsidRDefault="006702D9" w:rsidP="006702D9">
      <w:pPr>
        <w:overflowPunct w:val="0"/>
        <w:ind w:left="566" w:firstLine="566"/>
      </w:pPr>
      <w:r w:rsidRPr="003D6DA8">
        <w:rPr>
          <w:rFonts w:hint="eastAsia"/>
        </w:rPr>
        <w:t>綜上，審計部依法行使審計職權，審計成果包含審定決算</w:t>
      </w:r>
      <w:r>
        <w:rPr>
          <w:rFonts w:hint="eastAsia"/>
        </w:rPr>
        <w:t>、</w:t>
      </w:r>
      <w:r w:rsidRPr="003D6DA8">
        <w:rPr>
          <w:rFonts w:hint="eastAsia"/>
        </w:rPr>
        <w:t>提出預算執行及財務效能之重要審核意見</w:t>
      </w:r>
      <w:r>
        <w:rPr>
          <w:rFonts w:hint="eastAsia"/>
        </w:rPr>
        <w:t>等</w:t>
      </w:r>
      <w:r w:rsidRPr="003D6DA8">
        <w:rPr>
          <w:rFonts w:hint="eastAsia"/>
        </w:rPr>
        <w:t>，</w:t>
      </w:r>
      <w:r w:rsidRPr="00D711AA">
        <w:rPr>
          <w:rFonts w:hint="eastAsia"/>
        </w:rPr>
        <w:t>惟近4年度中央政府總決算歲出決算修正減列數金額及主要原因無明顯差異，又113年度所提出重要審核意見</w:t>
      </w:r>
      <w:r>
        <w:rPr>
          <w:rFonts w:hint="eastAsia"/>
        </w:rPr>
        <w:t>項數</w:t>
      </w:r>
      <w:r w:rsidRPr="00D711AA">
        <w:rPr>
          <w:rFonts w:hint="eastAsia"/>
        </w:rPr>
        <w:t>較112年度略減，</w:t>
      </w:r>
      <w:r>
        <w:rPr>
          <w:rFonts w:hint="eastAsia"/>
        </w:rPr>
        <w:t>且</w:t>
      </w:r>
      <w:r w:rsidRPr="00D711AA">
        <w:rPr>
          <w:rFonts w:hint="eastAsia"/>
        </w:rPr>
        <w:t>112</w:t>
      </w:r>
      <w:r>
        <w:rPr>
          <w:rFonts w:hint="eastAsia"/>
        </w:rPr>
        <w:t>年度</w:t>
      </w:r>
      <w:r w:rsidRPr="00D711AA">
        <w:rPr>
          <w:rFonts w:hint="eastAsia"/>
        </w:rPr>
        <w:t>審核意見</w:t>
      </w:r>
      <w:r>
        <w:rPr>
          <w:rFonts w:hint="eastAsia"/>
        </w:rPr>
        <w:t>之覆核</w:t>
      </w:r>
      <w:r w:rsidRPr="00D711AA">
        <w:rPr>
          <w:rFonts w:hint="eastAsia"/>
        </w:rPr>
        <w:t>，近三成項目仍待繼續改善或處理中，允宜持續加強審核決算及</w:t>
      </w:r>
      <w:r>
        <w:rPr>
          <w:rFonts w:hint="eastAsia"/>
        </w:rPr>
        <w:t>考核</w:t>
      </w:r>
      <w:r w:rsidRPr="00D711AA">
        <w:rPr>
          <w:rFonts w:hint="eastAsia"/>
        </w:rPr>
        <w:t>財務效能，研謀強化查核方法，並賡續追蹤督促改善，俾增進公共利益。</w:t>
      </w:r>
    </w:p>
    <w:bookmarkEnd w:id="6"/>
    <w:bookmarkEnd w:id="1"/>
    <w:bookmarkEnd w:id="2"/>
    <w:bookmarkEnd w:id="3"/>
    <w:bookmarkEnd w:id="4"/>
    <w:bookmarkEnd w:id="5"/>
    <w:sectPr w:rsidR="006702D9" w:rsidSect="006702D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4A9D" w:rsidRDefault="00354A9D" w:rsidP="006702D9">
      <w:pPr>
        <w:spacing w:line="240" w:lineRule="auto"/>
        <w:ind w:left="560" w:firstLine="560"/>
      </w:pPr>
      <w:r>
        <w:separator/>
      </w:r>
    </w:p>
  </w:endnote>
  <w:endnote w:type="continuationSeparator" w:id="0">
    <w:p w:rsidR="00354A9D" w:rsidRDefault="00354A9D" w:rsidP="006702D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BA1" w:rsidRDefault="00F14BA1" w:rsidP="00F14BA1">
    <w:pPr>
      <w:pStyle w:val="ab"/>
      <w:framePr w:wrap="around" w:vAnchor="text" w:hAnchor="margin" w:xAlign="center" w:y="1"/>
      <w:ind w:left="560" w:firstLine="400"/>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rsidR="00F14BA1" w:rsidRDefault="00F14BA1" w:rsidP="00F14BA1">
    <w:pPr>
      <w:pStyle w:val="ab"/>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BA1" w:rsidRPr="009A0690" w:rsidRDefault="00F14BA1" w:rsidP="00F14BA1">
    <w:pPr>
      <w:pStyle w:val="ab"/>
      <w:framePr w:wrap="around" w:vAnchor="text" w:hAnchor="margin" w:xAlign="center" w:y="1"/>
      <w:ind w:leftChars="0" w:left="566" w:firstLineChars="0" w:firstLine="566"/>
      <w:rPr>
        <w:rStyle w:val="ad"/>
      </w:rPr>
    </w:pPr>
    <w:r w:rsidRPr="009A0690">
      <w:rPr>
        <w:rStyle w:val="ad"/>
      </w:rPr>
      <w:fldChar w:fldCharType="begin"/>
    </w:r>
    <w:r w:rsidRPr="009A0690">
      <w:rPr>
        <w:rStyle w:val="ad"/>
      </w:rPr>
      <w:instrText xml:space="preserve">PAGE  </w:instrText>
    </w:r>
    <w:r w:rsidRPr="009A0690">
      <w:rPr>
        <w:rStyle w:val="ad"/>
      </w:rPr>
      <w:fldChar w:fldCharType="separate"/>
    </w:r>
    <w:r w:rsidR="007A3221">
      <w:rPr>
        <w:rStyle w:val="ad"/>
        <w:noProof/>
      </w:rPr>
      <w:t>2</w:t>
    </w:r>
    <w:r w:rsidRPr="009A0690">
      <w:rPr>
        <w:rStyle w:val="ad"/>
      </w:rPr>
      <w:fldChar w:fldCharType="end"/>
    </w:r>
  </w:p>
  <w:p w:rsidR="00F14BA1" w:rsidRPr="00A416A8" w:rsidRDefault="00F14BA1" w:rsidP="006702D9">
    <w:pPr>
      <w:pStyle w:val="ab"/>
      <w:ind w:leftChars="0" w:left="0" w:rightChars="129" w:right="361" w:firstLineChars="0" w:firstLine="0"/>
      <w:rPr>
        <w:rFonts w:hint="eastAsia"/>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BA1" w:rsidRDefault="00F14BA1" w:rsidP="00F14BA1">
    <w:pPr>
      <w:pStyle w:val="ab"/>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4A9D" w:rsidRDefault="00354A9D" w:rsidP="006702D9">
      <w:pPr>
        <w:spacing w:line="240" w:lineRule="auto"/>
        <w:ind w:left="560" w:firstLine="560"/>
      </w:pPr>
      <w:r>
        <w:separator/>
      </w:r>
    </w:p>
  </w:footnote>
  <w:footnote w:type="continuationSeparator" w:id="0">
    <w:p w:rsidR="00354A9D" w:rsidRDefault="00354A9D" w:rsidP="006702D9">
      <w:pPr>
        <w:spacing w:line="240" w:lineRule="auto"/>
        <w:ind w:left="560" w:firstLine="560"/>
      </w:pPr>
      <w:r>
        <w:continuationSeparator/>
      </w:r>
    </w:p>
  </w:footnote>
  <w:footnote w:id="1">
    <w:p w:rsidR="006702D9" w:rsidRPr="0038072E" w:rsidRDefault="006702D9" w:rsidP="006702D9">
      <w:pPr>
        <w:pStyle w:val="af"/>
        <w:spacing w:line="280" w:lineRule="exact"/>
        <w:ind w:leftChars="0" w:left="0" w:firstLineChars="0" w:firstLine="0"/>
        <w:rPr>
          <w:sz w:val="24"/>
          <w:szCs w:val="24"/>
        </w:rPr>
      </w:pPr>
      <w:r w:rsidRPr="0038072E">
        <w:rPr>
          <w:rStyle w:val="af1"/>
          <w:sz w:val="24"/>
          <w:szCs w:val="24"/>
        </w:rPr>
        <w:footnoteRef/>
      </w:r>
      <w:r w:rsidRPr="0038072E">
        <w:rPr>
          <w:sz w:val="24"/>
          <w:szCs w:val="24"/>
        </w:rPr>
        <w:t xml:space="preserve"> </w:t>
      </w:r>
      <w:r w:rsidRPr="0038072E">
        <w:rPr>
          <w:rFonts w:hint="eastAsia"/>
          <w:sz w:val="24"/>
          <w:szCs w:val="24"/>
        </w:rPr>
        <w:t>原預算數6</w:t>
      </w:r>
      <w:r w:rsidRPr="0038072E">
        <w:rPr>
          <w:sz w:val="24"/>
          <w:szCs w:val="24"/>
        </w:rPr>
        <w:t>,</w:t>
      </w:r>
      <w:r w:rsidRPr="0038072E">
        <w:rPr>
          <w:rFonts w:hint="eastAsia"/>
          <w:sz w:val="24"/>
          <w:szCs w:val="24"/>
        </w:rPr>
        <w:t>762萬元及加計動支第一預備金</w:t>
      </w:r>
      <w:r w:rsidRPr="0038072E">
        <w:rPr>
          <w:sz w:val="24"/>
          <w:szCs w:val="24"/>
        </w:rPr>
        <w:t>144</w:t>
      </w:r>
      <w:r w:rsidRPr="0038072E">
        <w:rPr>
          <w:rFonts w:hint="eastAsia"/>
          <w:sz w:val="24"/>
          <w:szCs w:val="24"/>
        </w:rPr>
        <w:t>萬</w:t>
      </w:r>
      <w:r w:rsidRPr="0038072E">
        <w:rPr>
          <w:sz w:val="24"/>
          <w:szCs w:val="24"/>
        </w:rPr>
        <w:t>1</w:t>
      </w:r>
      <w:r w:rsidRPr="0038072E">
        <w:rPr>
          <w:rFonts w:hint="eastAsia"/>
          <w:sz w:val="24"/>
          <w:szCs w:val="24"/>
        </w:rPr>
        <w:t>千元。</w:t>
      </w:r>
    </w:p>
  </w:footnote>
  <w:footnote w:id="2">
    <w:p w:rsidR="006702D9" w:rsidRPr="0038072E" w:rsidRDefault="006702D9" w:rsidP="006702D9">
      <w:pPr>
        <w:pStyle w:val="14"/>
        <w:ind w:left="61" w:hangingChars="25" w:hanging="61"/>
        <w:rPr>
          <w:szCs w:val="24"/>
        </w:rPr>
      </w:pPr>
      <w:r w:rsidRPr="0038072E">
        <w:rPr>
          <w:rStyle w:val="af1"/>
          <w:szCs w:val="24"/>
        </w:rPr>
        <w:footnoteRef/>
      </w:r>
      <w:r w:rsidRPr="0038072E">
        <w:rPr>
          <w:rFonts w:hint="eastAsia"/>
          <w:szCs w:val="24"/>
        </w:rPr>
        <w:t xml:space="preserve"> 係機關已研謀改善或依改善措施持續辦理。</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BA1" w:rsidRDefault="00F14BA1" w:rsidP="00F14BA1">
    <w:pPr>
      <w:pStyle w:val="a9"/>
      <w:framePr w:wrap="around" w:vAnchor="text" w:hAnchor="margin" w:xAlign="right" w:y="1"/>
      <w:ind w:left="560" w:firstLine="400"/>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rsidR="00F14BA1" w:rsidRDefault="00F14BA1" w:rsidP="00F14BA1">
    <w:pPr>
      <w:pStyle w:val="a9"/>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BA1" w:rsidRPr="00003C0A" w:rsidRDefault="00F14BA1" w:rsidP="00F14BA1">
    <w:pPr>
      <w:pStyle w:val="a9"/>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BA1" w:rsidRDefault="00F14BA1" w:rsidP="00F14BA1">
    <w:pPr>
      <w:pStyle w:val="a9"/>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CD5B2A"/>
    <w:multiLevelType w:val="hybridMultilevel"/>
    <w:tmpl w:val="EF7026C4"/>
    <w:lvl w:ilvl="0" w:tplc="E6B8DDB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6165343"/>
    <w:multiLevelType w:val="multilevel"/>
    <w:tmpl w:val="D43E0504"/>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68C10F80"/>
    <w:multiLevelType w:val="hybridMultilevel"/>
    <w:tmpl w:val="E6C6CEA0"/>
    <w:lvl w:ilvl="0" w:tplc="D2CA0C6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702D9"/>
    <w:rsid w:val="0015587E"/>
    <w:rsid w:val="00354A9D"/>
    <w:rsid w:val="005725BC"/>
    <w:rsid w:val="00637F4E"/>
    <w:rsid w:val="006702D9"/>
    <w:rsid w:val="006777F9"/>
    <w:rsid w:val="007941C3"/>
    <w:rsid w:val="007A3221"/>
    <w:rsid w:val="009D0920"/>
    <w:rsid w:val="00A229FF"/>
    <w:rsid w:val="00BE6E84"/>
    <w:rsid w:val="00BF46D4"/>
    <w:rsid w:val="00CE6ED8"/>
    <w:rsid w:val="00D44ADB"/>
    <w:rsid w:val="00D76AE2"/>
    <w:rsid w:val="00E305A2"/>
    <w:rsid w:val="00E36730"/>
    <w:rsid w:val="00F14BA1"/>
    <w:rsid w:val="00FD21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FED4F934-7B60-4107-9ED0-9C17DFEB8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702D9"/>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
    <w:next w:val="a"/>
    <w:link w:val="10"/>
    <w:qFormat/>
    <w:rsid w:val="00BF46D4"/>
    <w:pPr>
      <w:keepNext/>
      <w:spacing w:before="180" w:after="180" w:line="720" w:lineRule="auto"/>
      <w:outlineLvl w:val="0"/>
    </w:pPr>
    <w:rPr>
      <w:rFonts w:ascii="Calibri Light" w:hAnsi="Calibri Light"/>
      <w:b/>
      <w:bCs/>
      <w:kern w:val="52"/>
      <w:sz w:val="52"/>
      <w:szCs w:val="52"/>
    </w:rPr>
  </w:style>
  <w:style w:type="paragraph" w:styleId="2">
    <w:name w:val="heading 2"/>
    <w:basedOn w:val="a"/>
    <w:next w:val="a"/>
    <w:link w:val="20"/>
    <w:unhideWhenUsed/>
    <w:qFormat/>
    <w:rsid w:val="00BF46D4"/>
    <w:pPr>
      <w:keepNext/>
      <w:numPr>
        <w:numId w:val="2"/>
      </w:numPr>
      <w:ind w:left="480" w:hanging="480"/>
      <w:outlineLvl w:val="1"/>
    </w:pPr>
    <w:rPr>
      <w:rFonts w:ascii="Calibri Light" w:hAnsi="Calibri Light"/>
      <w:b/>
      <w:bCs/>
      <w:kern w:val="0"/>
      <w:szCs w:val="48"/>
    </w:rPr>
  </w:style>
  <w:style w:type="paragraph" w:styleId="4">
    <w:name w:val="heading 4"/>
    <w:basedOn w:val="a"/>
    <w:next w:val="a"/>
    <w:link w:val="40"/>
    <w:uiPriority w:val="9"/>
    <w:semiHidden/>
    <w:unhideWhenUsed/>
    <w:qFormat/>
    <w:rsid w:val="00BF46D4"/>
    <w:pPr>
      <w:keepNext/>
      <w:spacing w:line="720" w:lineRule="auto"/>
      <w:outlineLvl w:val="3"/>
    </w:pPr>
    <w:rPr>
      <w:rFonts w:ascii="Calibri Light" w:hAnsi="Calibri Light"/>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uiPriority w:val="1"/>
    <w:qFormat/>
    <w:rsid w:val="00BF46D4"/>
    <w:pPr>
      <w:autoSpaceDE w:val="0"/>
      <w:autoSpaceDN w:val="0"/>
    </w:pPr>
    <w:rPr>
      <w:rFonts w:hAnsi="標楷體" w:cs="標楷體"/>
      <w:kern w:val="0"/>
      <w:sz w:val="22"/>
      <w:lang w:val="zh-TW" w:bidi="zh-TW"/>
    </w:rPr>
  </w:style>
  <w:style w:type="character" w:customStyle="1" w:styleId="10">
    <w:name w:val="標題 1 字元"/>
    <w:link w:val="1"/>
    <w:uiPriority w:val="9"/>
    <w:rsid w:val="00BF46D4"/>
    <w:rPr>
      <w:rFonts w:ascii="Calibri Light" w:hAnsi="Calibri Light"/>
      <w:b/>
      <w:bCs/>
      <w:kern w:val="52"/>
      <w:sz w:val="52"/>
      <w:szCs w:val="52"/>
    </w:rPr>
  </w:style>
  <w:style w:type="character" w:customStyle="1" w:styleId="20">
    <w:name w:val="標題 2 字元"/>
    <w:link w:val="2"/>
    <w:uiPriority w:val="9"/>
    <w:rsid w:val="00BF46D4"/>
    <w:rPr>
      <w:rFonts w:ascii="Calibri Light" w:eastAsia="標楷體" w:hAnsi="Calibri Light"/>
      <w:b/>
      <w:bCs/>
      <w:sz w:val="28"/>
      <w:szCs w:val="48"/>
    </w:rPr>
  </w:style>
  <w:style w:type="character" w:customStyle="1" w:styleId="40">
    <w:name w:val="標題 4 字元"/>
    <w:link w:val="4"/>
    <w:uiPriority w:val="9"/>
    <w:semiHidden/>
    <w:rsid w:val="00BF46D4"/>
    <w:rPr>
      <w:rFonts w:ascii="Calibri Light" w:hAnsi="Calibri Light"/>
      <w:sz w:val="36"/>
      <w:szCs w:val="36"/>
    </w:rPr>
  </w:style>
  <w:style w:type="paragraph" w:styleId="a3">
    <w:name w:val="List Paragraph"/>
    <w:basedOn w:val="a"/>
    <w:link w:val="a4"/>
    <w:uiPriority w:val="34"/>
    <w:qFormat/>
    <w:rsid w:val="00BF46D4"/>
    <w:pPr>
      <w:ind w:left="480"/>
    </w:pPr>
    <w:rPr>
      <w:kern w:val="0"/>
      <w:sz w:val="20"/>
      <w:szCs w:val="20"/>
    </w:rPr>
  </w:style>
  <w:style w:type="character" w:customStyle="1" w:styleId="a4">
    <w:name w:val="清單段落 字元"/>
    <w:link w:val="a3"/>
    <w:uiPriority w:val="34"/>
    <w:rsid w:val="00BF46D4"/>
  </w:style>
  <w:style w:type="paragraph" w:styleId="a5">
    <w:name w:val="TOC Heading"/>
    <w:basedOn w:val="1"/>
    <w:next w:val="a"/>
    <w:uiPriority w:val="39"/>
    <w:unhideWhenUsed/>
    <w:qFormat/>
    <w:rsid w:val="00BF46D4"/>
    <w:pPr>
      <w:keepLines/>
      <w:widowControl/>
      <w:spacing w:before="240" w:after="0" w:line="259" w:lineRule="auto"/>
      <w:outlineLvl w:val="9"/>
    </w:pPr>
    <w:rPr>
      <w:b w:val="0"/>
      <w:bCs w:val="0"/>
      <w:color w:val="2E74B5"/>
      <w:kern w:val="0"/>
      <w:sz w:val="32"/>
      <w:szCs w:val="32"/>
    </w:rPr>
  </w:style>
  <w:style w:type="paragraph" w:customStyle="1" w:styleId="14">
    <w:name w:val="表格內文(14行高)"/>
    <w:basedOn w:val="a"/>
    <w:link w:val="140"/>
    <w:qFormat/>
    <w:rsid w:val="006702D9"/>
    <w:pPr>
      <w:spacing w:line="280" w:lineRule="exact"/>
      <w:ind w:leftChars="0" w:left="0" w:firstLineChars="0" w:firstLine="0"/>
      <w:jc w:val="left"/>
    </w:pPr>
    <w:rPr>
      <w:sz w:val="24"/>
    </w:rPr>
  </w:style>
  <w:style w:type="character" w:customStyle="1" w:styleId="140">
    <w:name w:val="表格內文(14行高) 字元"/>
    <w:link w:val="14"/>
    <w:rsid w:val="006702D9"/>
    <w:rPr>
      <w:rFonts w:ascii="標楷體" w:eastAsia="標楷體" w:hAnsi="Times New Roman"/>
      <w:snapToGrid w:val="0"/>
      <w:kern w:val="2"/>
      <w:sz w:val="24"/>
      <w:szCs w:val="28"/>
    </w:rPr>
  </w:style>
  <w:style w:type="paragraph" w:customStyle="1" w:styleId="a6">
    <w:name w:val="報告名稱"/>
    <w:basedOn w:val="a"/>
    <w:rsid w:val="006702D9"/>
    <w:pPr>
      <w:adjustRightInd w:val="0"/>
      <w:ind w:leftChars="0" w:left="0" w:firstLineChars="0" w:firstLine="0"/>
    </w:pPr>
    <w:rPr>
      <w:b/>
      <w:sz w:val="36"/>
    </w:rPr>
  </w:style>
  <w:style w:type="paragraph" w:customStyle="1" w:styleId="a7">
    <w:name w:val="姓名及分機"/>
    <w:basedOn w:val="a"/>
    <w:link w:val="a8"/>
    <w:rsid w:val="006702D9"/>
    <w:pPr>
      <w:ind w:leftChars="0" w:left="0" w:firstLineChars="0" w:firstLine="0"/>
      <w:jc w:val="right"/>
    </w:pPr>
    <w:rPr>
      <w:sz w:val="24"/>
    </w:rPr>
  </w:style>
  <w:style w:type="character" w:customStyle="1" w:styleId="a8">
    <w:name w:val="姓名及分機 字元"/>
    <w:link w:val="a7"/>
    <w:rsid w:val="006702D9"/>
    <w:rPr>
      <w:rFonts w:ascii="標楷體" w:eastAsia="標楷體" w:hAnsi="Times New Roman"/>
      <w:snapToGrid w:val="0"/>
      <w:kern w:val="2"/>
      <w:sz w:val="24"/>
      <w:szCs w:val="28"/>
    </w:rPr>
  </w:style>
  <w:style w:type="paragraph" w:customStyle="1" w:styleId="21">
    <w:name w:val="(一)下內文縮2"/>
    <w:basedOn w:val="a"/>
    <w:qFormat/>
    <w:rsid w:val="006702D9"/>
    <w:pPr>
      <w:adjustRightInd w:val="0"/>
      <w:ind w:leftChars="300" w:left="300"/>
    </w:pPr>
  </w:style>
  <w:style w:type="paragraph" w:styleId="a9">
    <w:name w:val="header"/>
    <w:basedOn w:val="a"/>
    <w:link w:val="aa"/>
    <w:uiPriority w:val="99"/>
    <w:rsid w:val="006702D9"/>
    <w:pPr>
      <w:tabs>
        <w:tab w:val="center" w:pos="4153"/>
        <w:tab w:val="right" w:pos="8306"/>
      </w:tabs>
      <w:snapToGrid w:val="0"/>
    </w:pPr>
    <w:rPr>
      <w:sz w:val="20"/>
      <w:szCs w:val="20"/>
    </w:rPr>
  </w:style>
  <w:style w:type="character" w:customStyle="1" w:styleId="aa">
    <w:name w:val="頁首 字元"/>
    <w:link w:val="a9"/>
    <w:uiPriority w:val="99"/>
    <w:rsid w:val="006702D9"/>
    <w:rPr>
      <w:rFonts w:ascii="標楷體" w:eastAsia="標楷體" w:hAnsi="Times New Roman"/>
      <w:snapToGrid w:val="0"/>
      <w:kern w:val="2"/>
    </w:rPr>
  </w:style>
  <w:style w:type="paragraph" w:styleId="ab">
    <w:name w:val="footer"/>
    <w:basedOn w:val="a"/>
    <w:link w:val="ac"/>
    <w:rsid w:val="006702D9"/>
    <w:pPr>
      <w:tabs>
        <w:tab w:val="center" w:pos="4153"/>
        <w:tab w:val="right" w:pos="8306"/>
      </w:tabs>
      <w:snapToGrid w:val="0"/>
    </w:pPr>
    <w:rPr>
      <w:sz w:val="20"/>
      <w:szCs w:val="20"/>
    </w:rPr>
  </w:style>
  <w:style w:type="character" w:customStyle="1" w:styleId="ac">
    <w:name w:val="頁尾 字元"/>
    <w:link w:val="ab"/>
    <w:rsid w:val="006702D9"/>
    <w:rPr>
      <w:rFonts w:ascii="標楷體" w:eastAsia="標楷體" w:hAnsi="Times New Roman"/>
      <w:snapToGrid w:val="0"/>
      <w:kern w:val="2"/>
    </w:rPr>
  </w:style>
  <w:style w:type="character" w:styleId="ad">
    <w:name w:val="page number"/>
    <w:basedOn w:val="a0"/>
    <w:rsid w:val="006702D9"/>
  </w:style>
  <w:style w:type="character" w:customStyle="1" w:styleId="141">
    <w:name w:val="表格內文(14行高) 字元 字元"/>
    <w:rsid w:val="006702D9"/>
    <w:rPr>
      <w:rFonts w:ascii="標楷體" w:eastAsia="標楷體"/>
      <w:snapToGrid w:val="0"/>
      <w:kern w:val="2"/>
      <w:sz w:val="24"/>
      <w:szCs w:val="28"/>
      <w:lang w:val="en-US" w:eastAsia="zh-TW" w:bidi="ar-SA"/>
    </w:rPr>
  </w:style>
  <w:style w:type="table" w:styleId="ae">
    <w:name w:val="Table Grid"/>
    <w:basedOn w:val="a1"/>
    <w:rsid w:val="006702D9"/>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basedOn w:val="a"/>
    <w:link w:val="af0"/>
    <w:uiPriority w:val="99"/>
    <w:rsid w:val="006702D9"/>
    <w:pPr>
      <w:snapToGrid w:val="0"/>
      <w:jc w:val="left"/>
    </w:pPr>
    <w:rPr>
      <w:sz w:val="20"/>
      <w:szCs w:val="20"/>
    </w:rPr>
  </w:style>
  <w:style w:type="character" w:customStyle="1" w:styleId="af0">
    <w:name w:val="註腳文字 字元"/>
    <w:link w:val="af"/>
    <w:uiPriority w:val="99"/>
    <w:rsid w:val="006702D9"/>
    <w:rPr>
      <w:rFonts w:ascii="標楷體" w:eastAsia="標楷體" w:hAnsi="Times New Roman"/>
      <w:snapToGrid w:val="0"/>
      <w:kern w:val="2"/>
    </w:rPr>
  </w:style>
  <w:style w:type="character" w:styleId="af1">
    <w:name w:val="footnote reference"/>
    <w:aliases w:val="FR,Ref,de nota al pie,註腳內容,Error-Fußnotenzeichen5,Error-Fußnotenzeichen6,Error-Fußnotenzeichen3"/>
    <w:uiPriority w:val="99"/>
    <w:rsid w:val="006702D9"/>
    <w:rPr>
      <w:vertAlign w:val="superscript"/>
    </w:rPr>
  </w:style>
  <w:style w:type="paragraph" w:customStyle="1" w:styleId="142">
    <w:name w:val="表格內文(14行高) 字元 字元 字元 字元 字元"/>
    <w:basedOn w:val="af2"/>
    <w:link w:val="143"/>
    <w:rsid w:val="006702D9"/>
    <w:pPr>
      <w:spacing w:line="280" w:lineRule="exact"/>
      <w:ind w:leftChars="0" w:firstLineChars="0" w:firstLine="0"/>
      <w:jc w:val="left"/>
    </w:pPr>
    <w:rPr>
      <w:sz w:val="24"/>
    </w:rPr>
  </w:style>
  <w:style w:type="character" w:customStyle="1" w:styleId="143">
    <w:name w:val="表格內文(14行高) 字元 字元 字元 字元 字元 字元"/>
    <w:link w:val="142"/>
    <w:rsid w:val="006702D9"/>
    <w:rPr>
      <w:rFonts w:ascii="標楷體" w:eastAsia="標楷體" w:hAnsi="Times New Roman"/>
      <w:snapToGrid w:val="0"/>
      <w:kern w:val="2"/>
      <w:sz w:val="24"/>
      <w:szCs w:val="28"/>
    </w:rPr>
  </w:style>
  <w:style w:type="paragraph" w:styleId="af2">
    <w:name w:val="table of figures"/>
    <w:basedOn w:val="a"/>
    <w:next w:val="a"/>
    <w:uiPriority w:val="99"/>
    <w:semiHidden/>
    <w:unhideWhenUsed/>
    <w:rsid w:val="006702D9"/>
    <w:pPr>
      <w:ind w:leftChars="400" w:left="0" w:hangingChars="200" w:hanging="200"/>
    </w:pPr>
  </w:style>
  <w:style w:type="character" w:styleId="af3">
    <w:name w:val="line number"/>
    <w:basedOn w:val="a0"/>
    <w:uiPriority w:val="99"/>
    <w:semiHidden/>
    <w:unhideWhenUsed/>
    <w:rsid w:val="006702D9"/>
  </w:style>
  <w:style w:type="paragraph" w:styleId="11">
    <w:name w:val="toc 1"/>
    <w:basedOn w:val="a"/>
    <w:next w:val="a"/>
    <w:autoRedefine/>
    <w:uiPriority w:val="39"/>
    <w:unhideWhenUsed/>
    <w:rsid w:val="00BE6E84"/>
    <w:pPr>
      <w:tabs>
        <w:tab w:val="left" w:leader="middleDot" w:pos="8433"/>
      </w:tabs>
      <w:ind w:leftChars="0" w:left="487" w:rightChars="175" w:right="496" w:hangingChars="200" w:hanging="487"/>
    </w:pPr>
    <w:rPr>
      <w:sz w:val="24"/>
    </w:rPr>
  </w:style>
  <w:style w:type="character" w:styleId="af4">
    <w:name w:val="Hyperlink"/>
    <w:uiPriority w:val="99"/>
    <w:unhideWhenUsed/>
    <w:rsid w:val="006702D9"/>
    <w:rPr>
      <w:color w:val="0563C1"/>
      <w:u w:val="single"/>
    </w:rPr>
  </w:style>
  <w:style w:type="paragraph" w:styleId="af5">
    <w:name w:val="Body Text"/>
    <w:basedOn w:val="a"/>
    <w:link w:val="af6"/>
    <w:unhideWhenUsed/>
    <w:rsid w:val="00637F4E"/>
    <w:pPr>
      <w:spacing w:after="120"/>
    </w:pPr>
  </w:style>
  <w:style w:type="character" w:customStyle="1" w:styleId="af6">
    <w:name w:val="本文 字元"/>
    <w:link w:val="af5"/>
    <w:rsid w:val="00637F4E"/>
    <w:rPr>
      <w:rFonts w:ascii="標楷體" w:eastAsia="標楷體" w:hAnsi="Times New Roman"/>
      <w:snapToGrid w:val="0"/>
      <w:kern w:val="2"/>
      <w:sz w:val="28"/>
      <w:szCs w:val="28"/>
    </w:rPr>
  </w:style>
  <w:style w:type="paragraph" w:styleId="af7">
    <w:name w:val="Date"/>
    <w:basedOn w:val="a"/>
    <w:next w:val="a"/>
    <w:link w:val="af8"/>
    <w:rsid w:val="00637F4E"/>
    <w:pPr>
      <w:spacing w:line="240" w:lineRule="auto"/>
      <w:ind w:leftChars="0" w:left="0" w:firstLineChars="0" w:firstLine="0"/>
      <w:jc w:val="right"/>
    </w:pPr>
    <w:rPr>
      <w:rFonts w:ascii="Times New Roman"/>
      <w:b/>
      <w:bCs/>
      <w:snapToGrid/>
      <w:sz w:val="36"/>
      <w:szCs w:val="24"/>
    </w:rPr>
  </w:style>
  <w:style w:type="character" w:customStyle="1" w:styleId="af8">
    <w:name w:val="日期 字元"/>
    <w:link w:val="af7"/>
    <w:rsid w:val="00637F4E"/>
    <w:rPr>
      <w:rFonts w:ascii="Times New Roman" w:eastAsia="標楷體" w:hAnsi="Times New Roman"/>
      <w:b/>
      <w:bCs/>
      <w:kern w:val="2"/>
      <w:sz w:val="36"/>
      <w:szCs w:val="24"/>
    </w:rPr>
  </w:style>
  <w:style w:type="paragraph" w:customStyle="1" w:styleId="144">
    <w:name w:val="第二層(14號字)"/>
    <w:link w:val="1410"/>
    <w:qFormat/>
    <w:rsid w:val="00D76AE2"/>
    <w:pPr>
      <w:wordWrap w:val="0"/>
      <w:spacing w:line="500" w:lineRule="exact"/>
      <w:ind w:left="160" w:hangingChars="160" w:hanging="160"/>
      <w:jc w:val="both"/>
    </w:pPr>
    <w:rPr>
      <w:rFonts w:ascii="標楷體" w:eastAsia="標楷體" w:hAnsi="標楷體"/>
      <w:b/>
      <w:snapToGrid w:val="0"/>
      <w:color w:val="000000"/>
      <w:kern w:val="2"/>
      <w:sz w:val="28"/>
      <w:szCs w:val="28"/>
    </w:rPr>
  </w:style>
  <w:style w:type="character" w:customStyle="1" w:styleId="1410">
    <w:name w:val="第二層(14號字) 字元1"/>
    <w:link w:val="144"/>
    <w:rsid w:val="00D76AE2"/>
    <w:rPr>
      <w:rFonts w:ascii="標楷體" w:eastAsia="標楷體" w:hAnsi="標楷體"/>
      <w:b/>
      <w:snapToGrid w:val="0"/>
      <w:color w:val="000000"/>
      <w:kern w:val="2"/>
      <w:sz w:val="28"/>
      <w:szCs w:val="28"/>
    </w:rPr>
  </w:style>
  <w:style w:type="paragraph" w:customStyle="1" w:styleId="af9">
    <w:name w:val="(一)(二)(三)"/>
    <w:basedOn w:val="a"/>
    <w:link w:val="12"/>
    <w:qFormat/>
    <w:rsid w:val="00D76AE2"/>
    <w:pPr>
      <w:spacing w:line="480" w:lineRule="exact"/>
      <w:ind w:left="300" w:hangingChars="100" w:hanging="100"/>
    </w:pPr>
    <w:rPr>
      <w:snapToGrid/>
    </w:rPr>
  </w:style>
  <w:style w:type="character" w:customStyle="1" w:styleId="12">
    <w:name w:val="(一)(二)(三) 字元1"/>
    <w:link w:val="af9"/>
    <w:rsid w:val="00D76AE2"/>
    <w:rPr>
      <w:rFonts w:ascii="標楷體" w:eastAsia="標楷體" w:hAnsi="Times New Roman"/>
      <w:kern w:val="2"/>
      <w:sz w:val="28"/>
      <w:szCs w:val="28"/>
    </w:rPr>
  </w:style>
  <w:style w:type="paragraph" w:styleId="22">
    <w:name w:val="toc 2"/>
    <w:basedOn w:val="a"/>
    <w:next w:val="a"/>
    <w:autoRedefine/>
    <w:uiPriority w:val="39"/>
    <w:unhideWhenUsed/>
    <w:rsid w:val="00D76AE2"/>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9C8EB-98F7-4E64-9FB1-B8FA826AD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347</Words>
  <Characters>1979</Characters>
  <Application>Microsoft Office Word</Application>
  <DocSecurity>0</DocSecurity>
  <Lines>16</Lines>
  <Paragraphs>4</Paragraphs>
  <ScaleCrop>false</ScaleCrop>
  <Company/>
  <LinksUpToDate>false</LinksUpToDate>
  <CharactersWithSpaces>2322</CharactersWithSpaces>
  <SharedDoc>false</SharedDoc>
  <HLinks>
    <vt:vector size="12" baseType="variant">
      <vt:variant>
        <vt:i4>1703993</vt:i4>
      </vt:variant>
      <vt:variant>
        <vt:i4>8</vt:i4>
      </vt:variant>
      <vt:variant>
        <vt:i4>0</vt:i4>
      </vt:variant>
      <vt:variant>
        <vt:i4>5</vt:i4>
      </vt:variant>
      <vt:variant>
        <vt:lpwstr/>
      </vt:variant>
      <vt:variant>
        <vt:lpwstr>_Toc217996532</vt:lpwstr>
      </vt:variant>
      <vt:variant>
        <vt:i4>1703993</vt:i4>
      </vt:variant>
      <vt:variant>
        <vt:i4>2</vt:i4>
      </vt:variant>
      <vt:variant>
        <vt:i4>0</vt:i4>
      </vt:variant>
      <vt:variant>
        <vt:i4>5</vt:i4>
      </vt:variant>
      <vt:variant>
        <vt:lpwstr/>
      </vt:variant>
      <vt:variant>
        <vt:lpwstr>_Toc217996531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劉忠豪</dc:creator>
  <cp:keywords/>
  <dc:description/>
  <cp:lastModifiedBy>Administrator</cp:lastModifiedBy>
  <cp:revision>2</cp:revision>
  <dcterms:created xsi:type="dcterms:W3CDTF">2025-12-31T02:39:00Z</dcterms:created>
  <dcterms:modified xsi:type="dcterms:W3CDTF">2025-12-31T02:39:00Z</dcterms:modified>
</cp:coreProperties>
</file>