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02D9" w:rsidRDefault="006702D9" w:rsidP="006702D9">
      <w:pPr>
        <w:pStyle w:val="a6"/>
        <w:overflowPunct w:val="0"/>
      </w:pPr>
      <w:r>
        <w:rPr>
          <w:rFonts w:hint="eastAsia"/>
        </w:rPr>
        <w:t>審計部及所屬</w:t>
      </w:r>
      <w:r>
        <w:t>11</w:t>
      </w:r>
      <w:r>
        <w:rPr>
          <w:rFonts w:hint="eastAsia"/>
        </w:rPr>
        <w:t>3年度單位決算評估報告</w:t>
      </w:r>
    </w:p>
    <w:p w:rsidR="006702D9" w:rsidRPr="00CE6ED8" w:rsidRDefault="006702D9" w:rsidP="00CE6ED8">
      <w:pPr>
        <w:pStyle w:val="144"/>
        <w:ind w:left="454" w:hanging="454"/>
      </w:pPr>
      <w:bookmarkStart w:id="0" w:name="_Toc116371930"/>
      <w:bookmarkStart w:id="1" w:name="_Toc116372292"/>
      <w:bookmarkStart w:id="2" w:name="_Toc116372332"/>
      <w:bookmarkStart w:id="3" w:name="_Toc116373513"/>
      <w:bookmarkStart w:id="4" w:name="_Toc85458145"/>
      <w:bookmarkStart w:id="5" w:name="_Toc495936061"/>
      <w:bookmarkStart w:id="6" w:name="_Toc217639138"/>
      <w:bookmarkStart w:id="7" w:name="_Toc217996391"/>
      <w:bookmarkStart w:id="8" w:name="_Toc217996532"/>
      <w:r w:rsidRPr="00CE6ED8">
        <w:rPr>
          <w:rFonts w:hint="eastAsia"/>
        </w:rPr>
        <w:t>二、</w:t>
      </w:r>
      <w:bookmarkEnd w:id="5"/>
      <w:r w:rsidRPr="00CE6ED8">
        <w:rPr>
          <w:rFonts w:hint="eastAsia"/>
        </w:rPr>
        <w:t>近年審計機關依審計法第69條考核各機關之績效雖具成果，惟部分審計機關113年度執行情形略遜於先前年度，允宜持續精進及優化政府審計業務，俾達成施政目標</w:t>
      </w:r>
      <w:bookmarkEnd w:id="6"/>
      <w:bookmarkEnd w:id="7"/>
      <w:bookmarkEnd w:id="8"/>
    </w:p>
    <w:p w:rsidR="006702D9" w:rsidRDefault="006702D9" w:rsidP="006702D9">
      <w:pPr>
        <w:overflowPunct w:val="0"/>
        <w:ind w:left="566" w:firstLine="566"/>
        <w:rPr>
          <w:color w:val="FF0000"/>
        </w:rPr>
      </w:pPr>
      <w:r>
        <w:rPr>
          <w:rFonts w:hint="eastAsia"/>
        </w:rPr>
        <w:t>審計部113年度「中央政府審計」預算數6</w:t>
      </w:r>
      <w:r>
        <w:t>,</w:t>
      </w:r>
      <w:r>
        <w:rPr>
          <w:rFonts w:hint="eastAsia"/>
        </w:rPr>
        <w:t>906萬1千元</w:t>
      </w:r>
      <w:r>
        <w:rPr>
          <w:rFonts w:hAnsi="標楷體" w:hint="eastAsia"/>
        </w:rPr>
        <w:t>、</w:t>
      </w:r>
      <w:r>
        <w:rPr>
          <w:rFonts w:hint="eastAsia"/>
        </w:rPr>
        <w:t>決算數6</w:t>
      </w:r>
      <w:r>
        <w:t>,</w:t>
      </w:r>
      <w:r>
        <w:rPr>
          <w:rFonts w:hint="eastAsia"/>
        </w:rPr>
        <w:t>903萬5千元，「縣市地方審計」預算數</w:t>
      </w:r>
      <w:r>
        <w:t>975</w:t>
      </w:r>
      <w:r>
        <w:rPr>
          <w:rFonts w:hint="eastAsia"/>
        </w:rPr>
        <w:t>萬5千元</w:t>
      </w:r>
      <w:r>
        <w:rPr>
          <w:rFonts w:hAnsi="標楷體" w:hint="eastAsia"/>
        </w:rPr>
        <w:t>、</w:t>
      </w:r>
      <w:r>
        <w:rPr>
          <w:rFonts w:hint="eastAsia"/>
        </w:rPr>
        <w:t>決算數9</w:t>
      </w:r>
      <w:r>
        <w:t>74</w:t>
      </w:r>
      <w:r>
        <w:rPr>
          <w:rFonts w:hint="eastAsia"/>
        </w:rPr>
        <w:t>萬9千元</w:t>
      </w:r>
      <w:r>
        <w:rPr>
          <w:rFonts w:hAnsi="標楷體" w:hint="eastAsia"/>
        </w:rPr>
        <w:t>，上述2計畫執行率各為99.96%及</w:t>
      </w:r>
      <w:r>
        <w:rPr>
          <w:rFonts w:hint="eastAsia"/>
        </w:rPr>
        <w:t>99.9</w:t>
      </w:r>
      <w:r>
        <w:t>4</w:t>
      </w:r>
      <w:r>
        <w:rPr>
          <w:rFonts w:hint="eastAsia"/>
        </w:rPr>
        <w:t>%</w:t>
      </w:r>
      <w:r>
        <w:rPr>
          <w:rFonts w:hAnsi="標楷體" w:hint="eastAsia"/>
        </w:rPr>
        <w:t>，另該部所屬6個直轄市審計處「審計業務」</w:t>
      </w:r>
      <w:r>
        <w:rPr>
          <w:rFonts w:hint="eastAsia"/>
        </w:rPr>
        <w:t>預算數919萬8千元</w:t>
      </w:r>
      <w:r>
        <w:rPr>
          <w:rFonts w:hAnsi="標楷體" w:hint="eastAsia"/>
        </w:rPr>
        <w:t>、</w:t>
      </w:r>
      <w:r>
        <w:rPr>
          <w:rFonts w:hint="eastAsia"/>
        </w:rPr>
        <w:t>決算數919萬5千元，執行率99.97%，用以辦理全國各級政府及其所屬機關單位之審計業務</w:t>
      </w:r>
      <w:r>
        <w:rPr>
          <w:rFonts w:hAnsi="標楷體" w:hint="eastAsia"/>
        </w:rPr>
        <w:t>。</w:t>
      </w:r>
      <w:r w:rsidRPr="00575D8D">
        <w:rPr>
          <w:rFonts w:hAnsi="標楷體" w:hint="eastAsia"/>
        </w:rPr>
        <w:t>經查：</w:t>
      </w:r>
    </w:p>
    <w:p w:rsidR="006702D9" w:rsidRPr="00CE6ED8" w:rsidRDefault="006702D9" w:rsidP="00CE6ED8">
      <w:pPr>
        <w:pStyle w:val="af9"/>
        <w:ind w:left="849" w:hanging="283"/>
        <w:rPr>
          <w:rFonts w:hAnsi="標楷體"/>
          <w:b/>
          <w:snapToGrid w:val="0"/>
        </w:rPr>
      </w:pPr>
      <w:r w:rsidRPr="00CE6ED8">
        <w:rPr>
          <w:rFonts w:hAnsi="標楷體" w:hint="eastAsia"/>
          <w:b/>
          <w:snapToGrid w:val="0"/>
        </w:rPr>
        <w:t>(一)依審計法相關規定，審計工作內涵除傳統發揮監督功能外，允宜落實強化洞察、邁向前瞻之目標，俾符合近年國際審計組織之重要原則</w:t>
      </w:r>
    </w:p>
    <w:p w:rsidR="006702D9" w:rsidRDefault="006702D9" w:rsidP="006702D9">
      <w:pPr>
        <w:pStyle w:val="21"/>
        <w:overflowPunct w:val="0"/>
        <w:ind w:left="850" w:firstLine="566"/>
      </w:pPr>
      <w:r>
        <w:rPr>
          <w:rFonts w:hint="eastAsia"/>
        </w:rPr>
        <w:t>依第21屆(2013年)「國際最高審計機關會議」（</w:t>
      </w:r>
      <w:r>
        <w:t>International Congress of</w:t>
      </w:r>
      <w:r>
        <w:rPr>
          <w:rFonts w:hint="eastAsia"/>
        </w:rPr>
        <w:t xml:space="preserve"> </w:t>
      </w:r>
      <w:r>
        <w:t>Supreme Audit Institutions,</w:t>
      </w:r>
      <w:r>
        <w:rPr>
          <w:rFonts w:hint="eastAsia"/>
        </w:rPr>
        <w:t xml:space="preserve"> INCOSAI）宣言強調，審計機關應持續致力於發揮政府審計之洞察及前瞻功能，爰審計機關於政府治理功能，除傳統監督角色外，亦應積極朝向更具價值之洞察、前瞻角色邁進</w:t>
      </w:r>
      <w:r>
        <w:rPr>
          <w:rFonts w:hAnsi="標楷體" w:hint="eastAsia"/>
        </w:rPr>
        <w:t>。</w:t>
      </w:r>
      <w:r w:rsidRPr="00054A26">
        <w:rPr>
          <w:rFonts w:hint="eastAsia"/>
        </w:rPr>
        <w:t>依</w:t>
      </w:r>
      <w:r>
        <w:rPr>
          <w:rFonts w:hint="eastAsia"/>
        </w:rPr>
        <w:t>審計法第2條第5款規定</w:t>
      </w:r>
      <w:r>
        <w:rPr>
          <w:rFonts w:hAnsi="標楷體" w:hint="eastAsia"/>
        </w:rPr>
        <w:t>，</w:t>
      </w:r>
      <w:r>
        <w:rPr>
          <w:rFonts w:hint="eastAsia"/>
        </w:rPr>
        <w:t>考核財務效能為審計職權之一</w:t>
      </w:r>
      <w:r>
        <w:rPr>
          <w:rFonts w:hAnsi="標楷體" w:hint="eastAsia"/>
        </w:rPr>
        <w:t>，</w:t>
      </w:r>
      <w:r>
        <w:rPr>
          <w:rFonts w:hint="eastAsia"/>
        </w:rPr>
        <w:t>復依同法第69條規定</w:t>
      </w:r>
      <w:r>
        <w:rPr>
          <w:rStyle w:val="af1"/>
        </w:rPr>
        <w:footnoteReference w:id="1"/>
      </w:r>
      <w:r>
        <w:rPr>
          <w:rFonts w:hint="eastAsia"/>
        </w:rPr>
        <w:t>略以</w:t>
      </w:r>
      <w:r>
        <w:rPr>
          <w:rFonts w:hAnsi="標楷體" w:hint="eastAsia"/>
        </w:rPr>
        <w:t>，</w:t>
      </w:r>
      <w:r>
        <w:rPr>
          <w:rFonts w:hint="eastAsia"/>
        </w:rPr>
        <w:t>各機關之施政績效</w:t>
      </w:r>
      <w:r w:rsidRPr="007D0036">
        <w:rPr>
          <w:rFonts w:hint="eastAsia"/>
        </w:rPr>
        <w:t>如</w:t>
      </w:r>
      <w:r>
        <w:rPr>
          <w:rFonts w:hint="eastAsia"/>
        </w:rPr>
        <w:t>涉</w:t>
      </w:r>
      <w:r w:rsidRPr="007D0036">
        <w:rPr>
          <w:rFonts w:hint="eastAsia"/>
        </w:rPr>
        <w:t>有未盡職責或效能過低者，除</w:t>
      </w:r>
      <w:r>
        <w:rPr>
          <w:rFonts w:hint="eastAsia"/>
        </w:rPr>
        <w:t>依行政監督權之運用考量</w:t>
      </w:r>
      <w:r>
        <w:rPr>
          <w:rFonts w:hAnsi="標楷體" w:hint="eastAsia"/>
        </w:rPr>
        <w:t>，</w:t>
      </w:r>
      <w:r w:rsidRPr="007D0036">
        <w:rPr>
          <w:rFonts w:hint="eastAsia"/>
        </w:rPr>
        <w:t>通知其上級機關長官</w:t>
      </w:r>
      <w:r>
        <w:rPr>
          <w:rFonts w:hint="eastAsia"/>
        </w:rPr>
        <w:t>並</w:t>
      </w:r>
      <w:r w:rsidRPr="007D0036">
        <w:rPr>
          <w:rFonts w:hint="eastAsia"/>
        </w:rPr>
        <w:t>報告監察院</w:t>
      </w:r>
      <w:r>
        <w:rPr>
          <w:rFonts w:hint="eastAsia"/>
        </w:rPr>
        <w:t>外</w:t>
      </w:r>
      <w:r>
        <w:rPr>
          <w:rFonts w:hAnsi="標楷體" w:hint="eastAsia"/>
        </w:rPr>
        <w:t>，</w:t>
      </w:r>
      <w:r>
        <w:rPr>
          <w:rFonts w:hint="eastAsia"/>
        </w:rPr>
        <w:t>倘涉及</w:t>
      </w:r>
      <w:r w:rsidRPr="003C5BB6">
        <w:rPr>
          <w:rFonts w:hint="eastAsia"/>
        </w:rPr>
        <w:t>制度規章缺失或設施不良</w:t>
      </w:r>
      <w:r>
        <w:rPr>
          <w:rFonts w:hAnsi="標楷體" w:hint="eastAsia"/>
        </w:rPr>
        <w:t>，或</w:t>
      </w:r>
      <w:r w:rsidRPr="001E583E">
        <w:rPr>
          <w:rFonts w:hAnsi="標楷體" w:hint="eastAsia"/>
        </w:rPr>
        <w:t>認為有可提</w:t>
      </w:r>
      <w:r w:rsidRPr="001E583E">
        <w:rPr>
          <w:rFonts w:hAnsi="標楷體" w:hint="eastAsia"/>
        </w:rPr>
        <w:lastRenderedPageBreak/>
        <w:t>升效能或增進公共利益者</w:t>
      </w:r>
      <w:r>
        <w:rPr>
          <w:rFonts w:hAnsi="標楷體" w:hint="eastAsia"/>
        </w:rPr>
        <w:t>，應向該等機關或有關機關提出建議，另於</w:t>
      </w:r>
      <w:r w:rsidRPr="001E583E">
        <w:rPr>
          <w:rFonts w:hAnsi="標楷體" w:hint="eastAsia"/>
        </w:rPr>
        <w:t>發現有影響各機關施政或營</w:t>
      </w:r>
      <w:r>
        <w:rPr>
          <w:rFonts w:hAnsi="標楷體" w:hint="eastAsia"/>
        </w:rPr>
        <w:t>(</w:t>
      </w:r>
      <w:r w:rsidRPr="001E583E">
        <w:rPr>
          <w:rFonts w:hAnsi="標楷體" w:hint="eastAsia"/>
        </w:rPr>
        <w:t>事</w:t>
      </w:r>
      <w:r>
        <w:rPr>
          <w:rFonts w:hAnsi="標楷體" w:hint="eastAsia"/>
        </w:rPr>
        <w:t>)</w:t>
      </w:r>
      <w:r w:rsidRPr="001E583E">
        <w:rPr>
          <w:rFonts w:hAnsi="標楷體" w:hint="eastAsia"/>
        </w:rPr>
        <w:t>業效能之潛在風險事項，得提出預警性意見</w:t>
      </w:r>
      <w:r>
        <w:rPr>
          <w:rFonts w:hAnsi="標楷體" w:hint="eastAsia"/>
        </w:rPr>
        <w:t>；以上，審計工作內涵除落實監督及履行財務課責外，亦包括洞察環境情勢，審慎考核施政效能，增進公共利益，進而前瞻</w:t>
      </w:r>
      <w:r w:rsidRPr="00E668E4">
        <w:rPr>
          <w:rFonts w:hAnsi="標楷體" w:hint="eastAsia"/>
        </w:rPr>
        <w:t>各機關施政或營(事)業效能</w:t>
      </w:r>
      <w:r>
        <w:rPr>
          <w:rFonts w:hAnsi="標楷體" w:hint="eastAsia"/>
        </w:rPr>
        <w:t>，辨識</w:t>
      </w:r>
      <w:r w:rsidRPr="00E668E4">
        <w:rPr>
          <w:rFonts w:hAnsi="標楷體" w:hint="eastAsia"/>
        </w:rPr>
        <w:t>潛</w:t>
      </w:r>
      <w:r>
        <w:rPr>
          <w:rFonts w:hAnsi="標楷體" w:hint="eastAsia"/>
        </w:rPr>
        <w:t>在風險，適時</w:t>
      </w:r>
      <w:r w:rsidRPr="00E668E4">
        <w:rPr>
          <w:rFonts w:hAnsi="標楷體" w:hint="eastAsia"/>
        </w:rPr>
        <w:t>提出預警性意見</w:t>
      </w:r>
      <w:r>
        <w:rPr>
          <w:rFonts w:hAnsi="標楷體" w:hint="eastAsia"/>
        </w:rPr>
        <w:t>。</w:t>
      </w:r>
    </w:p>
    <w:p w:rsidR="006702D9" w:rsidRPr="00CE6ED8" w:rsidRDefault="006702D9" w:rsidP="00CE6ED8">
      <w:pPr>
        <w:pStyle w:val="af9"/>
        <w:ind w:left="849" w:hanging="283"/>
        <w:rPr>
          <w:rFonts w:hAnsi="標楷體"/>
          <w:b/>
          <w:snapToGrid w:val="0"/>
        </w:rPr>
      </w:pPr>
      <w:r w:rsidRPr="00CE6ED8">
        <w:rPr>
          <w:rFonts w:hAnsi="標楷體"/>
          <w:b/>
          <w:snapToGrid w:val="0"/>
        </w:rPr>
        <w:t>(二)</w:t>
      </w:r>
      <w:r w:rsidRPr="00CE6ED8">
        <w:rPr>
          <w:rFonts w:hAnsi="標楷體" w:hint="eastAsia"/>
          <w:b/>
          <w:snapToGrid w:val="0"/>
        </w:rPr>
        <w:t>近年審計部及所屬審計處依審計法第69條考核各級政府及所屬機關之績效雖有相當成果，惟部分工作項目113年度相關執行情形略遜於先前年度，允宜持續精進</w:t>
      </w:r>
    </w:p>
    <w:p w:rsidR="006702D9" w:rsidRDefault="006702D9" w:rsidP="006702D9">
      <w:pPr>
        <w:pStyle w:val="21"/>
        <w:overflowPunct w:val="0"/>
        <w:ind w:left="850" w:firstLine="566"/>
      </w:pPr>
      <w:r>
        <w:rPr>
          <w:rFonts w:hint="eastAsia"/>
        </w:rPr>
        <w:t>依審計部及各直轄市審計處111至113年度單位決算書有關施政計畫成果資料</w:t>
      </w:r>
      <w:r>
        <w:rPr>
          <w:rStyle w:val="af1"/>
        </w:rPr>
        <w:footnoteReference w:id="2"/>
      </w:r>
      <w:r>
        <w:rPr>
          <w:rFonts w:hAnsi="標楷體" w:hint="eastAsia"/>
        </w:rPr>
        <w:t>，其</w:t>
      </w:r>
      <w:r w:rsidRPr="00DC2463">
        <w:rPr>
          <w:rFonts w:hint="eastAsia"/>
        </w:rPr>
        <w:t>依審計法第69</w:t>
      </w:r>
      <w:r>
        <w:rPr>
          <w:rFonts w:hint="eastAsia"/>
        </w:rPr>
        <w:t>條考核</w:t>
      </w:r>
      <w:r w:rsidRPr="00DC2463">
        <w:rPr>
          <w:rFonts w:hint="eastAsia"/>
        </w:rPr>
        <w:t>各機關</w:t>
      </w:r>
      <w:r>
        <w:rPr>
          <w:rFonts w:hint="eastAsia"/>
        </w:rPr>
        <w:t>績效已具</w:t>
      </w:r>
      <w:r w:rsidRPr="00DC2463">
        <w:rPr>
          <w:rFonts w:hint="eastAsia"/>
        </w:rPr>
        <w:t>相當成果</w:t>
      </w:r>
      <w:r>
        <w:rPr>
          <w:rFonts w:hint="eastAsia"/>
        </w:rPr>
        <w:t>(詳表1)</w:t>
      </w:r>
      <w:r>
        <w:rPr>
          <w:rFonts w:hAnsi="標楷體" w:hint="eastAsia"/>
        </w:rPr>
        <w:t>，</w:t>
      </w:r>
      <w:r>
        <w:rPr>
          <w:rFonts w:hint="eastAsia"/>
        </w:rPr>
        <w:t>除</w:t>
      </w:r>
      <w:r w:rsidRPr="0086146C">
        <w:rPr>
          <w:rFonts w:hint="eastAsia"/>
        </w:rPr>
        <w:t>涉及未盡職責或效能過低情事</w:t>
      </w:r>
      <w:r>
        <w:rPr>
          <w:rFonts w:hint="eastAsia"/>
        </w:rPr>
        <w:t>並</w:t>
      </w:r>
      <w:r w:rsidRPr="0086146C">
        <w:rPr>
          <w:rFonts w:hint="eastAsia"/>
        </w:rPr>
        <w:t>報告監察院</w:t>
      </w:r>
      <w:r>
        <w:rPr>
          <w:rFonts w:hint="eastAsia"/>
        </w:rPr>
        <w:t>之案件自83件概減至79件外</w:t>
      </w:r>
      <w:r>
        <w:rPr>
          <w:rFonts w:hAnsi="標楷體" w:hint="eastAsia"/>
        </w:rPr>
        <w:t>，其餘</w:t>
      </w:r>
      <w:r w:rsidRPr="0086146C">
        <w:rPr>
          <w:rFonts w:hAnsi="標楷體" w:hint="eastAsia"/>
        </w:rPr>
        <w:t>向各機關提出完備制度規章及設施之建議意見</w:t>
      </w:r>
      <w:r>
        <w:rPr>
          <w:rFonts w:hAnsi="標楷體" w:hint="eastAsia"/>
        </w:rPr>
        <w:t>由233項增加至321項，</w:t>
      </w:r>
      <w:r w:rsidRPr="00B2188F">
        <w:rPr>
          <w:rFonts w:hAnsi="標楷體" w:hint="eastAsia"/>
        </w:rPr>
        <w:t>向機關提出提升施政效能或增進公共利益之建議意見</w:t>
      </w:r>
      <w:r>
        <w:rPr>
          <w:rFonts w:hAnsi="標楷體" w:hint="eastAsia"/>
        </w:rPr>
        <w:t>由772項增加至1,176項，</w:t>
      </w:r>
      <w:r w:rsidRPr="00B2188F">
        <w:rPr>
          <w:rFonts w:hAnsi="標楷體" w:hint="eastAsia"/>
        </w:rPr>
        <w:t>就各機關施政或營(事)業效能之潛在風險事項提出預警性意見</w:t>
      </w:r>
      <w:r>
        <w:rPr>
          <w:rFonts w:hAnsi="標楷體" w:hint="eastAsia"/>
        </w:rPr>
        <w:t>由189項增加至</w:t>
      </w:r>
      <w:r>
        <w:rPr>
          <w:rFonts w:hAnsi="標楷體"/>
        </w:rPr>
        <w:t>268</w:t>
      </w:r>
      <w:r>
        <w:rPr>
          <w:rFonts w:hAnsi="標楷體" w:hint="eastAsia"/>
        </w:rPr>
        <w:t>項，均呈上升趨勢</w:t>
      </w:r>
      <w:r w:rsidRPr="00121F4D">
        <w:rPr>
          <w:rFonts w:hint="eastAsia"/>
        </w:rPr>
        <w:t>。</w:t>
      </w:r>
    </w:p>
    <w:p w:rsidR="006702D9" w:rsidRDefault="006702D9" w:rsidP="006702D9">
      <w:pPr>
        <w:pStyle w:val="21"/>
        <w:overflowPunct w:val="0"/>
        <w:ind w:left="850" w:firstLine="566"/>
        <w:rPr>
          <w:rFonts w:hAnsi="標楷體"/>
        </w:rPr>
      </w:pPr>
      <w:r>
        <w:rPr>
          <w:rFonts w:hint="eastAsia"/>
        </w:rPr>
        <w:t>至個別審計機關於推動</w:t>
      </w:r>
      <w:r w:rsidRPr="00F4769E">
        <w:rPr>
          <w:rFonts w:hint="eastAsia"/>
        </w:rPr>
        <w:t>審計法第69條</w:t>
      </w:r>
      <w:r>
        <w:rPr>
          <w:rFonts w:hint="eastAsia"/>
        </w:rPr>
        <w:t>之表現而言</w:t>
      </w:r>
      <w:r>
        <w:rPr>
          <w:rFonts w:hAnsi="標楷體" w:hint="eastAsia"/>
        </w:rPr>
        <w:t>，在</w:t>
      </w:r>
      <w:r w:rsidRPr="005C3510">
        <w:rPr>
          <w:rFonts w:hint="eastAsia"/>
        </w:rPr>
        <w:t>涉及未盡職責或效能過低情事</w:t>
      </w:r>
      <w:r>
        <w:rPr>
          <w:rFonts w:hint="eastAsia"/>
        </w:rPr>
        <w:t>並報告監察院件數方面，審計部111年度為73件，112及113年度下降至65件，同期間新北市審計處僅於111及113年度各有1件，112年度無案件</w:t>
      </w:r>
      <w:r>
        <w:rPr>
          <w:rFonts w:hAnsi="標楷體" w:hint="eastAsia"/>
        </w:rPr>
        <w:t>；在向各機關提出有關完備制度規章及設施，與</w:t>
      </w:r>
      <w:r w:rsidRPr="005062E7">
        <w:rPr>
          <w:rFonts w:hAnsi="標楷體" w:hint="eastAsia"/>
        </w:rPr>
        <w:t>提升施政效能或增進公共利益之建議意見</w:t>
      </w:r>
      <w:r>
        <w:rPr>
          <w:rFonts w:hAnsi="標楷體" w:hint="eastAsia"/>
        </w:rPr>
        <w:t>項數等2方面，桃園市審計處113年度均未及112</w:t>
      </w:r>
      <w:r>
        <w:rPr>
          <w:rFonts w:hAnsi="標楷體" w:hint="eastAsia"/>
        </w:rPr>
        <w:lastRenderedPageBreak/>
        <w:t>年度；另</w:t>
      </w:r>
      <w:r w:rsidRPr="00FC7326">
        <w:rPr>
          <w:rFonts w:hAnsi="標楷體" w:hint="eastAsia"/>
        </w:rPr>
        <w:t>就</w:t>
      </w:r>
      <w:r w:rsidRPr="00D15A61">
        <w:rPr>
          <w:rFonts w:hAnsi="標楷體" w:hint="eastAsia"/>
        </w:rPr>
        <w:t>各機關施政或營(事)業效能之潛在風險事項提出預警性意見</w:t>
      </w:r>
      <w:r>
        <w:rPr>
          <w:rFonts w:hAnsi="標楷體" w:hint="eastAsia"/>
        </w:rPr>
        <w:t>項數方面，臺北市審計處113年度未及111及112年度；以上，顯示涉及審計法第69條之主要審計工作項目成果，容有部分審計機關仍待持續精進。</w:t>
      </w:r>
    </w:p>
    <w:p w:rsidR="006702D9" w:rsidRPr="00F4769E" w:rsidRDefault="006702D9" w:rsidP="006702D9">
      <w:pPr>
        <w:overflowPunct w:val="0"/>
        <w:spacing w:beforeLines="25" w:before="127" w:line="360" w:lineRule="exact"/>
        <w:ind w:leftChars="267" w:left="1380" w:hangingChars="220" w:hanging="624"/>
      </w:pPr>
      <w:r w:rsidRPr="00F4769E">
        <w:rPr>
          <w:rFonts w:hAnsi="標楷體" w:cs="Arial"/>
          <w:b/>
        </w:rPr>
        <w:t>表</w:t>
      </w:r>
      <w:r w:rsidRPr="00F4769E">
        <w:rPr>
          <w:rFonts w:hAnsi="標楷體" w:cs="Arial" w:hint="eastAsia"/>
          <w:b/>
        </w:rPr>
        <w:t>1</w:t>
      </w:r>
      <w:r>
        <w:rPr>
          <w:rFonts w:hAnsi="標楷體" w:cs="Arial" w:hint="eastAsia"/>
          <w:b/>
        </w:rPr>
        <w:t xml:space="preserve"> </w:t>
      </w:r>
      <w:r w:rsidRPr="00F4769E">
        <w:rPr>
          <w:rFonts w:hAnsi="標楷體" w:cs="Arial" w:hint="eastAsia"/>
          <w:b/>
        </w:rPr>
        <w:t>審計部</w:t>
      </w:r>
      <w:r>
        <w:rPr>
          <w:rFonts w:hAnsi="標楷體" w:cs="Arial" w:hint="eastAsia"/>
          <w:b/>
        </w:rPr>
        <w:t>與各直轄市</w:t>
      </w:r>
      <w:r w:rsidRPr="00F4769E">
        <w:rPr>
          <w:rFonts w:hAnsi="標楷體" w:cs="Arial" w:hint="eastAsia"/>
          <w:b/>
        </w:rPr>
        <w:t>審計處11</w:t>
      </w:r>
      <w:r>
        <w:rPr>
          <w:rFonts w:hAnsi="標楷體" w:cs="Arial" w:hint="eastAsia"/>
          <w:b/>
        </w:rPr>
        <w:t>1</w:t>
      </w:r>
      <w:r w:rsidRPr="00F4769E">
        <w:rPr>
          <w:rFonts w:hAnsi="標楷體" w:cs="Arial" w:hint="eastAsia"/>
          <w:b/>
        </w:rPr>
        <w:t>至</w:t>
      </w:r>
      <w:r>
        <w:rPr>
          <w:rFonts w:hAnsi="標楷體" w:cs="Arial" w:hint="eastAsia"/>
          <w:b/>
        </w:rPr>
        <w:t>113</w:t>
      </w:r>
      <w:r w:rsidRPr="00F4769E">
        <w:rPr>
          <w:rFonts w:hAnsi="標楷體" w:cs="Arial" w:hint="eastAsia"/>
          <w:b/>
        </w:rPr>
        <w:t>年度依審計法第69條規定之主要</w:t>
      </w:r>
      <w:r>
        <w:rPr>
          <w:rFonts w:hAnsi="標楷體" w:cs="Arial" w:hint="eastAsia"/>
          <w:b/>
        </w:rPr>
        <w:t>工作項目</w:t>
      </w:r>
      <w:r w:rsidRPr="00F4769E">
        <w:rPr>
          <w:rFonts w:hAnsi="標楷體" w:cs="Arial" w:hint="eastAsia"/>
          <w:b/>
        </w:rPr>
        <w:t xml:space="preserve">辦理成果統計表             </w:t>
      </w:r>
    </w:p>
    <w:tbl>
      <w:tblPr>
        <w:tblW w:w="0" w:type="auto"/>
        <w:tblInd w:w="8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93"/>
        <w:gridCol w:w="1701"/>
        <w:gridCol w:w="1358"/>
        <w:gridCol w:w="1359"/>
        <w:gridCol w:w="1259"/>
      </w:tblGrid>
      <w:tr w:rsidR="006777F9" w:rsidTr="006777F9">
        <w:trPr>
          <w:tblHeader/>
        </w:trPr>
        <w:tc>
          <w:tcPr>
            <w:tcW w:w="2093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主要工作項目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機關別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111年度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112年度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113年度</w:t>
            </w:r>
          </w:p>
        </w:tc>
      </w:tr>
      <w:tr w:rsidR="006777F9" w:rsidTr="006777F9">
        <w:tc>
          <w:tcPr>
            <w:tcW w:w="2093" w:type="dxa"/>
            <w:vMerge w:val="restart"/>
            <w:shd w:val="clear" w:color="auto" w:fill="auto"/>
            <w:vAlign w:val="center"/>
          </w:tcPr>
          <w:p w:rsidR="006702D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5A1AFA">
              <w:rPr>
                <w:rStyle w:val="141"/>
                <w:rFonts w:hint="eastAsia"/>
              </w:rPr>
              <w:t>考核各機關績效，涉及未盡職責或效能過低情事</w:t>
            </w:r>
          </w:p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CD2543">
              <w:rPr>
                <w:rStyle w:val="141"/>
                <w:rFonts w:hint="eastAsia"/>
              </w:rPr>
              <w:t>(單位：</w:t>
            </w:r>
            <w:r>
              <w:rPr>
                <w:rStyle w:val="141"/>
                <w:rFonts w:hint="eastAsia"/>
              </w:rPr>
              <w:t>件</w:t>
            </w:r>
            <w:r w:rsidRPr="00CD2543">
              <w:rPr>
                <w:rStyle w:val="141"/>
                <w:rFonts w:hint="eastAsia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審計部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7</w:t>
            </w:r>
            <w:r>
              <w:rPr>
                <w:rStyle w:val="141"/>
              </w:rPr>
              <w:t>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6</w:t>
            </w:r>
            <w:r w:rsidRPr="006777F9">
              <w:rPr>
                <w:rStyle w:val="141"/>
                <w:color w:val="FF0000"/>
              </w:rPr>
              <w:t>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65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1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新北市審計處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1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桃園市審計處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207E06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207E06">
              <w:rPr>
                <w:rStyle w:val="141"/>
                <w:rFonts w:hint="eastAsia"/>
              </w:rPr>
              <w:t>2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臺中市審計處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高雄市審計處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小計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8</w:t>
            </w:r>
            <w:r w:rsidRPr="006777F9">
              <w:rPr>
                <w:rStyle w:val="141"/>
                <w:b/>
              </w:rPr>
              <w:t>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7</w:t>
            </w:r>
            <w:r w:rsidRPr="006777F9">
              <w:rPr>
                <w:rStyle w:val="141"/>
                <w:b/>
              </w:rPr>
              <w:t>6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79</w:t>
            </w:r>
          </w:p>
        </w:tc>
      </w:tr>
      <w:tr w:rsidR="006777F9" w:rsidTr="006777F9">
        <w:tc>
          <w:tcPr>
            <w:tcW w:w="2093" w:type="dxa"/>
            <w:vMerge w:val="restart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5A1AFA">
              <w:rPr>
                <w:rStyle w:val="141"/>
                <w:rFonts w:hint="eastAsia"/>
              </w:rPr>
              <w:t>考核各機關績效</w:t>
            </w:r>
            <w:r>
              <w:rPr>
                <w:rStyle w:val="141"/>
                <w:rFonts w:hint="eastAsia"/>
              </w:rPr>
              <w:t>，向各</w:t>
            </w:r>
            <w:r w:rsidRPr="00943B4B">
              <w:rPr>
                <w:rStyle w:val="141"/>
                <w:rFonts w:hint="eastAsia"/>
              </w:rPr>
              <w:t>機關</w:t>
            </w:r>
            <w:r>
              <w:rPr>
                <w:rStyle w:val="141"/>
                <w:rFonts w:hint="eastAsia"/>
              </w:rPr>
              <w:t>提出完備制度規章及</w:t>
            </w:r>
            <w:r w:rsidRPr="00943B4B">
              <w:rPr>
                <w:rStyle w:val="141"/>
                <w:rFonts w:hint="eastAsia"/>
              </w:rPr>
              <w:t>設施</w:t>
            </w:r>
            <w:r>
              <w:rPr>
                <w:rStyle w:val="141"/>
                <w:rFonts w:hint="eastAsia"/>
              </w:rPr>
              <w:t>之</w:t>
            </w:r>
            <w:r w:rsidRPr="00943B4B">
              <w:rPr>
                <w:rStyle w:val="141"/>
                <w:rFonts w:hint="eastAsia"/>
              </w:rPr>
              <w:t>建議</w:t>
            </w:r>
            <w:r>
              <w:rPr>
                <w:rStyle w:val="141"/>
                <w:rFonts w:hint="eastAsia"/>
              </w:rPr>
              <w:t>意見</w:t>
            </w:r>
            <w:r w:rsidRPr="00CD2543">
              <w:rPr>
                <w:rStyle w:val="141"/>
                <w:rFonts w:hint="eastAsia"/>
              </w:rPr>
              <w:t>(單位：</w:t>
            </w:r>
            <w:r>
              <w:rPr>
                <w:rStyle w:val="141"/>
                <w:rFonts w:hint="eastAsia"/>
              </w:rPr>
              <w:t>項</w:t>
            </w:r>
            <w:r w:rsidRPr="00CD2543">
              <w:rPr>
                <w:rStyle w:val="141"/>
                <w:rFonts w:hint="eastAsia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審計部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  <w:r>
              <w:rPr>
                <w:rStyle w:val="141"/>
              </w:rPr>
              <w:t>02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</w:rPr>
              <w:t>240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</w:t>
            </w:r>
            <w:r>
              <w:rPr>
                <w:rStyle w:val="141"/>
              </w:rPr>
              <w:t>80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7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7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新北市審計處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11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6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8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桃園市審計處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7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6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臺中市審計處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6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4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4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高雄市審計處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7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10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小計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233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276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321</w:t>
            </w:r>
          </w:p>
        </w:tc>
      </w:tr>
      <w:tr w:rsidR="006777F9" w:rsidTr="006777F9">
        <w:tc>
          <w:tcPr>
            <w:tcW w:w="2093" w:type="dxa"/>
            <w:vMerge w:val="restart"/>
            <w:shd w:val="clear" w:color="auto" w:fill="auto"/>
            <w:vAlign w:val="center"/>
          </w:tcPr>
          <w:p w:rsidR="006702D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5A1AFA">
              <w:rPr>
                <w:rStyle w:val="141"/>
                <w:rFonts w:hint="eastAsia"/>
              </w:rPr>
              <w:t>考核各機關績效</w:t>
            </w:r>
            <w:r>
              <w:rPr>
                <w:rStyle w:val="141"/>
                <w:rFonts w:hint="eastAsia"/>
              </w:rPr>
              <w:t>，向</w:t>
            </w:r>
            <w:r w:rsidRPr="00943B4B">
              <w:rPr>
                <w:rStyle w:val="141"/>
                <w:rFonts w:hint="eastAsia"/>
              </w:rPr>
              <w:t>機關提出提升</w:t>
            </w:r>
            <w:r>
              <w:rPr>
                <w:rStyle w:val="141"/>
                <w:rFonts w:hint="eastAsia"/>
              </w:rPr>
              <w:t>施政</w:t>
            </w:r>
            <w:r w:rsidRPr="00943B4B">
              <w:rPr>
                <w:rStyle w:val="141"/>
                <w:rFonts w:hint="eastAsia"/>
              </w:rPr>
              <w:t>效能或增進公</w:t>
            </w:r>
            <w:r>
              <w:rPr>
                <w:rStyle w:val="141"/>
                <w:rFonts w:hint="eastAsia"/>
              </w:rPr>
              <w:t>共利</w:t>
            </w:r>
            <w:r w:rsidRPr="00943B4B">
              <w:rPr>
                <w:rStyle w:val="141"/>
                <w:rFonts w:hint="eastAsia"/>
              </w:rPr>
              <w:t>益之</w:t>
            </w:r>
            <w:r>
              <w:rPr>
                <w:rStyle w:val="141"/>
                <w:rFonts w:hint="eastAsia"/>
              </w:rPr>
              <w:t>建議</w:t>
            </w:r>
            <w:r w:rsidRPr="00943B4B">
              <w:rPr>
                <w:rStyle w:val="141"/>
                <w:rFonts w:hint="eastAsia"/>
              </w:rPr>
              <w:t>意見</w:t>
            </w:r>
          </w:p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CD2543">
              <w:rPr>
                <w:rStyle w:val="141"/>
                <w:rFonts w:hint="eastAsia"/>
              </w:rPr>
              <w:t>(</w:t>
            </w:r>
            <w:r>
              <w:rPr>
                <w:rStyle w:val="141"/>
                <w:rFonts w:hint="eastAsia"/>
              </w:rPr>
              <w:t>單位：項</w:t>
            </w:r>
            <w:r w:rsidRPr="00CD2543">
              <w:rPr>
                <w:rStyle w:val="141"/>
                <w:rFonts w:hint="eastAsia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審計部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630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808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923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39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新北市審計處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40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43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桃園市審計處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20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29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28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臺中市審計處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40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156AE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156AE">
              <w:rPr>
                <w:rStyle w:val="141"/>
                <w:rFonts w:hint="eastAsia"/>
              </w:rPr>
              <w:t>58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22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41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45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高雄市審計處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33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34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40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小計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772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1</w:t>
            </w:r>
            <w:r w:rsidRPr="006777F9">
              <w:rPr>
                <w:rStyle w:val="141"/>
                <w:b/>
              </w:rPr>
              <w:t>,</w:t>
            </w:r>
            <w:r w:rsidRPr="006777F9">
              <w:rPr>
                <w:rStyle w:val="141"/>
                <w:rFonts w:hint="eastAsia"/>
                <w:b/>
              </w:rPr>
              <w:t>027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1,176</w:t>
            </w:r>
          </w:p>
        </w:tc>
      </w:tr>
      <w:tr w:rsidR="006777F9" w:rsidTr="006777F9">
        <w:tc>
          <w:tcPr>
            <w:tcW w:w="2093" w:type="dxa"/>
            <w:vMerge w:val="restart"/>
            <w:shd w:val="clear" w:color="auto" w:fill="auto"/>
            <w:vAlign w:val="center"/>
          </w:tcPr>
          <w:p w:rsidR="006702D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943B4B">
              <w:rPr>
                <w:rStyle w:val="141"/>
                <w:rFonts w:hint="eastAsia"/>
              </w:rPr>
              <w:t>就各機關施政或營(事)業效能之潛在風險事項提出預警性意見</w:t>
            </w:r>
          </w:p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 w:rsidRPr="00CD2543">
              <w:rPr>
                <w:rStyle w:val="141"/>
                <w:rFonts w:hint="eastAsia"/>
              </w:rPr>
              <w:t>(單位：項)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審計部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158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208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224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臺北市審計處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6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color w:val="FF0000"/>
              </w:rPr>
            </w:pPr>
            <w:r w:rsidRPr="006777F9">
              <w:rPr>
                <w:rStyle w:val="141"/>
                <w:rFonts w:hint="eastAsia"/>
                <w:color w:val="FF0000"/>
              </w:rPr>
              <w:t>4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新北市審計處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10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7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8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桃園市審計處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10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臺中市審計處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</w:rPr>
              <w:t>-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3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7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臺南市審計處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6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7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  <w:r>
              <w:rPr>
                <w:rStyle w:val="141"/>
                <w:rFonts w:hint="eastAsia"/>
              </w:rPr>
              <w:t>高雄市審計處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5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 w:rsidRPr="00B33A8B">
              <w:rPr>
                <w:rStyle w:val="141"/>
                <w:rFonts w:hint="eastAsia"/>
              </w:rPr>
              <w:t>8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B33A8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</w:rPr>
            </w:pPr>
            <w:r>
              <w:rPr>
                <w:rStyle w:val="141"/>
                <w:rFonts w:hint="eastAsia"/>
              </w:rPr>
              <w:t>8</w:t>
            </w:r>
          </w:p>
        </w:tc>
      </w:tr>
      <w:tr w:rsidR="006777F9" w:rsidTr="006777F9">
        <w:tc>
          <w:tcPr>
            <w:tcW w:w="2093" w:type="dxa"/>
            <w:vMerge/>
            <w:shd w:val="clear" w:color="auto" w:fill="auto"/>
            <w:vAlign w:val="center"/>
          </w:tcPr>
          <w:p w:rsidR="006702D9" w:rsidRPr="00943B4B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center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小計</w:t>
            </w:r>
          </w:p>
        </w:tc>
        <w:tc>
          <w:tcPr>
            <w:tcW w:w="1358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189</w:t>
            </w:r>
          </w:p>
        </w:tc>
        <w:tc>
          <w:tcPr>
            <w:tcW w:w="13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245</w:t>
            </w:r>
          </w:p>
        </w:tc>
        <w:tc>
          <w:tcPr>
            <w:tcW w:w="1259" w:type="dxa"/>
            <w:shd w:val="clear" w:color="auto" w:fill="auto"/>
            <w:vAlign w:val="center"/>
          </w:tcPr>
          <w:p w:rsidR="006702D9" w:rsidRPr="006777F9" w:rsidRDefault="006702D9" w:rsidP="006777F9">
            <w:pPr>
              <w:overflowPunct w:val="0"/>
              <w:spacing w:line="220" w:lineRule="exact"/>
              <w:ind w:leftChars="0" w:left="0" w:firstLineChars="0" w:firstLine="0"/>
              <w:jc w:val="right"/>
              <w:rPr>
                <w:rStyle w:val="141"/>
                <w:b/>
              </w:rPr>
            </w:pPr>
            <w:r w:rsidRPr="006777F9">
              <w:rPr>
                <w:rStyle w:val="141"/>
                <w:rFonts w:hint="eastAsia"/>
                <w:b/>
              </w:rPr>
              <w:t>2</w:t>
            </w:r>
            <w:r w:rsidRPr="006777F9">
              <w:rPr>
                <w:rStyle w:val="141"/>
                <w:b/>
              </w:rPr>
              <w:t>68</w:t>
            </w:r>
          </w:p>
        </w:tc>
      </w:tr>
    </w:tbl>
    <w:p w:rsidR="006702D9" w:rsidRDefault="006702D9" w:rsidP="006702D9">
      <w:pPr>
        <w:overflowPunct w:val="0"/>
        <w:spacing w:line="280" w:lineRule="exact"/>
        <w:ind w:leftChars="0" w:left="1946" w:firstLineChars="0" w:hanging="1204"/>
        <w:rPr>
          <w:sz w:val="24"/>
        </w:rPr>
      </w:pPr>
      <w:r>
        <w:rPr>
          <w:rFonts w:hint="eastAsia"/>
          <w:sz w:val="24"/>
        </w:rPr>
        <w:t>說    明</w:t>
      </w:r>
      <w:r w:rsidRPr="00B33A8B">
        <w:rPr>
          <w:rFonts w:hint="eastAsia"/>
          <w:sz w:val="24"/>
        </w:rPr>
        <w:t>：</w:t>
      </w:r>
      <w:r>
        <w:rPr>
          <w:rFonts w:hint="eastAsia"/>
          <w:sz w:val="24"/>
        </w:rPr>
        <w:t>表內</w:t>
      </w:r>
      <w:r w:rsidRPr="00B33A8B">
        <w:rPr>
          <w:rFonts w:hint="eastAsia"/>
          <w:sz w:val="24"/>
        </w:rPr>
        <w:t>臺中市審計處在111年度決算書內除</w:t>
      </w:r>
      <w:r w:rsidRPr="00D27E9C">
        <w:rPr>
          <w:rFonts w:hint="eastAsia"/>
          <w:sz w:val="24"/>
        </w:rPr>
        <w:t>考核各機關績效，如涉未盡職責或效能過低，報告監察院</w:t>
      </w:r>
      <w:r>
        <w:rPr>
          <w:rFonts w:hint="eastAsia"/>
          <w:sz w:val="24"/>
        </w:rPr>
        <w:t>外</w:t>
      </w:r>
      <w:r w:rsidRPr="00B33A8B">
        <w:rPr>
          <w:rFonts w:hint="eastAsia"/>
          <w:sz w:val="24"/>
        </w:rPr>
        <w:t>，其餘項目</w:t>
      </w:r>
      <w:r>
        <w:rPr>
          <w:rFonts w:hint="eastAsia"/>
          <w:sz w:val="24"/>
        </w:rPr>
        <w:t>實</w:t>
      </w:r>
      <w:r w:rsidRPr="00B33A8B">
        <w:rPr>
          <w:rFonts w:hint="eastAsia"/>
          <w:sz w:val="24"/>
        </w:rPr>
        <w:t>未</w:t>
      </w:r>
      <w:r>
        <w:rPr>
          <w:rFonts w:hint="eastAsia"/>
          <w:sz w:val="24"/>
        </w:rPr>
        <w:t>具體敘明相關數據</w:t>
      </w:r>
      <w:r w:rsidRPr="00B33A8B">
        <w:rPr>
          <w:rFonts w:hint="eastAsia"/>
          <w:sz w:val="24"/>
        </w:rPr>
        <w:t>，</w:t>
      </w:r>
      <w:r>
        <w:rPr>
          <w:rFonts w:hint="eastAsia"/>
          <w:sz w:val="24"/>
        </w:rPr>
        <w:t>爰本報告就成果加總時，就臺中市審計處未具體敘明部分並未納入計算</w:t>
      </w:r>
      <w:r w:rsidRPr="00B33A8B">
        <w:rPr>
          <w:rFonts w:hint="eastAsia"/>
          <w:sz w:val="24"/>
        </w:rPr>
        <w:t>。</w:t>
      </w:r>
    </w:p>
    <w:p w:rsidR="006702D9" w:rsidRPr="00121F4D" w:rsidRDefault="006702D9" w:rsidP="006702D9">
      <w:pPr>
        <w:overflowPunct w:val="0"/>
        <w:spacing w:line="280" w:lineRule="exact"/>
        <w:ind w:leftChars="0" w:firstLineChars="82" w:firstLine="199"/>
      </w:pPr>
      <w:r>
        <w:rPr>
          <w:rFonts w:hint="eastAsia"/>
          <w:sz w:val="24"/>
        </w:rPr>
        <w:t xml:space="preserve">   </w:t>
      </w:r>
      <w:r w:rsidRPr="00A8645A">
        <w:rPr>
          <w:rFonts w:hint="eastAsia"/>
          <w:sz w:val="24"/>
        </w:rPr>
        <w:t>資料來源：</w:t>
      </w:r>
      <w:r>
        <w:rPr>
          <w:rFonts w:hint="eastAsia"/>
          <w:sz w:val="24"/>
        </w:rPr>
        <w:t>審計部與各直轄市審計處歷年單位決算書</w:t>
      </w:r>
      <w:r w:rsidRPr="00A8645A">
        <w:rPr>
          <w:rFonts w:hint="eastAsia"/>
          <w:sz w:val="24"/>
        </w:rPr>
        <w:t>，本中心彙整。</w:t>
      </w:r>
    </w:p>
    <w:p w:rsidR="006702D9" w:rsidRPr="00121F4D" w:rsidRDefault="006702D9" w:rsidP="006702D9">
      <w:pPr>
        <w:pStyle w:val="21"/>
        <w:overflowPunct w:val="0"/>
        <w:ind w:leftChars="212" w:left="600" w:firstLineChars="178" w:firstLine="504"/>
      </w:pPr>
      <w:r w:rsidRPr="00121F4D">
        <w:rPr>
          <w:rFonts w:hint="eastAsia"/>
        </w:rPr>
        <w:t>綜上，</w:t>
      </w:r>
      <w:r>
        <w:rPr>
          <w:rFonts w:hint="eastAsia"/>
        </w:rPr>
        <w:t>近年審計部及所屬直轄市審計處就審計法第69條規定之主要工作雖有相當成果</w:t>
      </w:r>
      <w:r>
        <w:rPr>
          <w:rFonts w:hAnsi="標楷體" w:hint="eastAsia"/>
        </w:rPr>
        <w:t>，</w:t>
      </w:r>
      <w:r>
        <w:rPr>
          <w:rFonts w:hint="eastAsia"/>
        </w:rPr>
        <w:t>惟各工作項目仍有部分審計機關113年度表現略遜於111</w:t>
      </w:r>
      <w:r>
        <w:rPr>
          <w:rFonts w:hAnsi="標楷體" w:hint="eastAsia"/>
        </w:rPr>
        <w:t>及</w:t>
      </w:r>
      <w:r w:rsidR="006777F9">
        <w:rPr>
          <w:rFonts w:hint="eastAsia"/>
        </w:rPr>
        <w:t>112</w:t>
      </w:r>
      <w:r>
        <w:rPr>
          <w:rFonts w:hint="eastAsia"/>
        </w:rPr>
        <w:t>年度</w:t>
      </w:r>
      <w:r>
        <w:rPr>
          <w:rFonts w:hAnsi="標楷體" w:hint="eastAsia"/>
        </w:rPr>
        <w:t>，</w:t>
      </w:r>
      <w:r w:rsidRPr="006131D7">
        <w:rPr>
          <w:rFonts w:hAnsi="標楷體" w:hint="eastAsia"/>
        </w:rPr>
        <w:t>允宜持續精進及優化政府審計</w:t>
      </w:r>
      <w:r w:rsidRPr="006131D7">
        <w:rPr>
          <w:rFonts w:hAnsi="標楷體" w:hint="eastAsia"/>
        </w:rPr>
        <w:lastRenderedPageBreak/>
        <w:t>業務，俾落實協助各機關落實良善治理</w:t>
      </w:r>
      <w:r>
        <w:rPr>
          <w:rFonts w:hAnsi="標楷體" w:hint="eastAsia"/>
        </w:rPr>
        <w:t>之</w:t>
      </w:r>
      <w:r w:rsidRPr="006131D7">
        <w:rPr>
          <w:rFonts w:hAnsi="標楷體" w:hint="eastAsia"/>
        </w:rPr>
        <w:t>願景</w:t>
      </w:r>
      <w:r w:rsidRPr="00121F4D">
        <w:rPr>
          <w:rFonts w:hint="eastAsia"/>
        </w:rPr>
        <w:t>。</w:t>
      </w:r>
    </w:p>
    <w:p w:rsidR="006702D9" w:rsidRPr="00EE110F" w:rsidRDefault="006777F9" w:rsidP="006702D9">
      <w:pPr>
        <w:pStyle w:val="a7"/>
        <w:overflowPunct w:val="0"/>
        <w:ind w:left="566" w:firstLine="566"/>
        <w:rPr>
          <w:rFonts w:hAnsi="標楷體"/>
        </w:rPr>
      </w:pPr>
      <w:r>
        <w:rPr>
          <w:rFonts w:hint="eastAsia"/>
        </w:rPr>
        <w:t>(</w:t>
      </w:r>
      <w:r w:rsidR="006702D9" w:rsidRPr="00EE110F">
        <w:rPr>
          <w:rFonts w:hint="eastAsia"/>
        </w:rPr>
        <w:t>分機：</w:t>
      </w:r>
      <w:r w:rsidR="006702D9">
        <w:t>8656</w:t>
      </w:r>
      <w:r w:rsidR="006702D9">
        <w:rPr>
          <w:rFonts w:hint="eastAsia"/>
        </w:rPr>
        <w:t xml:space="preserve"> 劉忠豪</w:t>
      </w:r>
      <w:r>
        <w:rPr>
          <w:rFonts w:hint="eastAsia"/>
        </w:rPr>
        <w:t>)</w:t>
      </w:r>
      <w:bookmarkStart w:id="9" w:name="_GoBack"/>
      <w:bookmarkEnd w:id="9"/>
    </w:p>
    <w:bookmarkEnd w:id="0"/>
    <w:bookmarkEnd w:id="1"/>
    <w:bookmarkEnd w:id="2"/>
    <w:bookmarkEnd w:id="3"/>
    <w:bookmarkEnd w:id="4"/>
    <w:sectPr w:rsidR="006702D9" w:rsidRPr="00EE110F" w:rsidSect="006702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4A9D" w:rsidRDefault="00354A9D" w:rsidP="006702D9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354A9D" w:rsidRDefault="00354A9D" w:rsidP="006702D9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Default="00F14BA1" w:rsidP="00F14BA1">
    <w:pPr>
      <w:pStyle w:val="ab"/>
      <w:framePr w:wrap="around" w:vAnchor="text" w:hAnchor="margin" w:xAlign="center" w:y="1"/>
      <w:ind w:left="560" w:firstLine="400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F14BA1" w:rsidRDefault="00F14BA1" w:rsidP="00F14BA1">
    <w:pPr>
      <w:pStyle w:val="ab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Pr="009A0690" w:rsidRDefault="00F14BA1" w:rsidP="00F14BA1">
    <w:pPr>
      <w:pStyle w:val="ab"/>
      <w:framePr w:wrap="around" w:vAnchor="text" w:hAnchor="margin" w:xAlign="center" w:y="1"/>
      <w:ind w:leftChars="0" w:left="566" w:firstLineChars="0" w:firstLine="566"/>
      <w:rPr>
        <w:rStyle w:val="ad"/>
      </w:rPr>
    </w:pPr>
    <w:r w:rsidRPr="009A0690">
      <w:rPr>
        <w:rStyle w:val="ad"/>
      </w:rPr>
      <w:fldChar w:fldCharType="begin"/>
    </w:r>
    <w:r w:rsidRPr="009A0690">
      <w:rPr>
        <w:rStyle w:val="ad"/>
      </w:rPr>
      <w:instrText xml:space="preserve">PAGE  </w:instrText>
    </w:r>
    <w:r w:rsidRPr="009A0690">
      <w:rPr>
        <w:rStyle w:val="ad"/>
      </w:rPr>
      <w:fldChar w:fldCharType="separate"/>
    </w:r>
    <w:r w:rsidR="00B34BAB">
      <w:rPr>
        <w:rStyle w:val="ad"/>
        <w:noProof/>
      </w:rPr>
      <w:t>4</w:t>
    </w:r>
    <w:r w:rsidRPr="009A0690">
      <w:rPr>
        <w:rStyle w:val="ad"/>
      </w:rPr>
      <w:fldChar w:fldCharType="end"/>
    </w:r>
  </w:p>
  <w:p w:rsidR="00F14BA1" w:rsidRPr="00A416A8" w:rsidRDefault="00F14BA1" w:rsidP="006702D9">
    <w:pPr>
      <w:pStyle w:val="ab"/>
      <w:ind w:leftChars="0" w:left="0" w:rightChars="129" w:right="361" w:firstLineChars="0" w:firstLine="0"/>
      <w:rPr>
        <w:rFonts w:hint="eastAsia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Default="00F14BA1" w:rsidP="00F14BA1">
    <w:pPr>
      <w:pStyle w:val="ab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4A9D" w:rsidRDefault="00354A9D" w:rsidP="006702D9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354A9D" w:rsidRDefault="00354A9D" w:rsidP="006702D9">
      <w:pPr>
        <w:spacing w:line="240" w:lineRule="auto"/>
        <w:ind w:left="560" w:firstLine="560"/>
      </w:pPr>
      <w:r>
        <w:continuationSeparator/>
      </w:r>
    </w:p>
  </w:footnote>
  <w:footnote w:id="1">
    <w:p w:rsidR="006702D9" w:rsidRPr="00CC3703" w:rsidRDefault="006702D9" w:rsidP="006702D9">
      <w:pPr>
        <w:pStyle w:val="af"/>
        <w:spacing w:line="280" w:lineRule="exact"/>
        <w:ind w:leftChars="0" w:left="170" w:hangingChars="70" w:hanging="170"/>
        <w:jc w:val="both"/>
        <w:rPr>
          <w:sz w:val="24"/>
          <w:szCs w:val="24"/>
        </w:rPr>
      </w:pPr>
      <w:r w:rsidRPr="00CC3703">
        <w:rPr>
          <w:rStyle w:val="af1"/>
          <w:sz w:val="24"/>
          <w:szCs w:val="24"/>
        </w:rPr>
        <w:footnoteRef/>
      </w:r>
      <w:r>
        <w:rPr>
          <w:rFonts w:hint="eastAsia"/>
          <w:sz w:val="24"/>
          <w:szCs w:val="24"/>
        </w:rPr>
        <w:t xml:space="preserve"> 審計法</w:t>
      </w:r>
      <w:r w:rsidRPr="00CC3703">
        <w:rPr>
          <w:rFonts w:hint="eastAsia"/>
          <w:sz w:val="24"/>
          <w:szCs w:val="24"/>
        </w:rPr>
        <w:t>第69條規定</w:t>
      </w:r>
      <w:r>
        <w:rPr>
          <w:rFonts w:ascii="新細明體" w:eastAsia="新細明體" w:hAnsi="新細明體" w:hint="eastAsia"/>
          <w:sz w:val="24"/>
          <w:szCs w:val="24"/>
        </w:rPr>
        <w:t>：</w:t>
      </w:r>
      <w:r>
        <w:rPr>
          <w:rFonts w:hAnsi="標楷體" w:hint="eastAsia"/>
          <w:sz w:val="24"/>
          <w:szCs w:val="24"/>
        </w:rPr>
        <w:t>「</w:t>
      </w:r>
      <w:r w:rsidRPr="00CB3666">
        <w:rPr>
          <w:rFonts w:hAnsi="標楷體" w:hint="eastAsia"/>
          <w:sz w:val="24"/>
          <w:szCs w:val="24"/>
        </w:rPr>
        <w:t>審計機關考核各機關之績效，如認為有未盡職責或效能過低者，除通知其上級機關長官外，並應報告監察院；其由於制度規章缺失或設施不良者，應提出建議改善意見於各該機關。</w:t>
      </w:r>
      <w:r>
        <w:rPr>
          <w:rFonts w:hAnsi="標楷體" w:hint="eastAsia"/>
          <w:sz w:val="24"/>
          <w:szCs w:val="24"/>
        </w:rPr>
        <w:t>」、「</w:t>
      </w:r>
      <w:r w:rsidRPr="00CB3666">
        <w:rPr>
          <w:rFonts w:hAnsi="標楷體" w:hint="eastAsia"/>
          <w:sz w:val="24"/>
          <w:szCs w:val="24"/>
        </w:rPr>
        <w:t>前項考核，如認為有可提升效能或增進公共利益者，應提出建議意見於各該機關或有關機關。</w:t>
      </w:r>
      <w:r>
        <w:rPr>
          <w:rFonts w:hAnsi="標楷體" w:hint="eastAsia"/>
          <w:sz w:val="24"/>
          <w:szCs w:val="24"/>
        </w:rPr>
        <w:t>」、「審計機關發現有影響各機關施政或營(事)</w:t>
      </w:r>
      <w:r w:rsidRPr="00CB3666">
        <w:rPr>
          <w:rFonts w:hAnsi="標楷體" w:hint="eastAsia"/>
          <w:sz w:val="24"/>
          <w:szCs w:val="24"/>
        </w:rPr>
        <w:t>業效能之潛在風險事項，得提出預警性意見於各該機關或有關機關，妥為因應。</w:t>
      </w:r>
      <w:r>
        <w:rPr>
          <w:rFonts w:hAnsi="標楷體" w:hint="eastAsia"/>
          <w:sz w:val="24"/>
          <w:szCs w:val="24"/>
        </w:rPr>
        <w:t>」</w:t>
      </w:r>
    </w:p>
  </w:footnote>
  <w:footnote w:id="2">
    <w:p w:rsidR="006702D9" w:rsidRPr="00A55911" w:rsidRDefault="006702D9" w:rsidP="006702D9">
      <w:pPr>
        <w:pStyle w:val="af"/>
        <w:spacing w:line="280" w:lineRule="exact"/>
        <w:ind w:leftChars="0" w:left="170" w:hangingChars="70" w:hanging="170"/>
        <w:jc w:val="both"/>
        <w:rPr>
          <w:sz w:val="24"/>
          <w:szCs w:val="24"/>
        </w:rPr>
      </w:pPr>
      <w:r w:rsidRPr="00A55911">
        <w:rPr>
          <w:rStyle w:val="af1"/>
          <w:sz w:val="24"/>
          <w:szCs w:val="24"/>
        </w:rPr>
        <w:footnoteRef/>
      </w:r>
      <w:r w:rsidRPr="00A55911">
        <w:rPr>
          <w:sz w:val="24"/>
          <w:szCs w:val="24"/>
        </w:rPr>
        <w:t xml:space="preserve"> </w:t>
      </w:r>
      <w:r>
        <w:rPr>
          <w:rFonts w:hint="eastAsia"/>
          <w:sz w:val="24"/>
          <w:szCs w:val="24"/>
        </w:rPr>
        <w:t>有關審計部及所屬</w:t>
      </w:r>
      <w:r w:rsidRPr="00A55911">
        <w:rPr>
          <w:rFonts w:hint="eastAsia"/>
          <w:sz w:val="24"/>
          <w:szCs w:val="24"/>
        </w:rPr>
        <w:t>審計處依審計法第69條</w:t>
      </w:r>
      <w:r>
        <w:rPr>
          <w:rFonts w:hint="eastAsia"/>
          <w:sz w:val="24"/>
          <w:szCs w:val="24"/>
        </w:rPr>
        <w:t>規定辦理之審計</w:t>
      </w:r>
      <w:r w:rsidRPr="00A55911">
        <w:rPr>
          <w:rFonts w:hint="eastAsia"/>
          <w:sz w:val="24"/>
          <w:szCs w:val="24"/>
        </w:rPr>
        <w:t>成果</w:t>
      </w:r>
      <w:r>
        <w:rPr>
          <w:rFonts w:hint="eastAsia"/>
          <w:sz w:val="24"/>
          <w:szCs w:val="24"/>
        </w:rPr>
        <w:t>統計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均參照各該審計機關111至113年度單位決算書之內容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其中臺中市審計處於111年度單位決算書針對本報告第2題表1所列成果項目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除</w:t>
      </w:r>
      <w:r w:rsidRPr="005A1AFA">
        <w:rPr>
          <w:rStyle w:val="141"/>
          <w:rFonts w:hint="eastAsia"/>
        </w:rPr>
        <w:t>考核各機關績效，涉及未盡職責或效能過低情事</w:t>
      </w:r>
      <w:r>
        <w:rPr>
          <w:rStyle w:val="141"/>
          <w:rFonts w:hint="eastAsia"/>
        </w:rPr>
        <w:t>者有</w:t>
      </w:r>
      <w:r>
        <w:rPr>
          <w:rFonts w:hint="eastAsia"/>
          <w:sz w:val="24"/>
          <w:szCs w:val="24"/>
        </w:rPr>
        <w:t>明確統計數據外</w:t>
      </w:r>
      <w:r>
        <w:rPr>
          <w:rFonts w:hAnsi="標楷體"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其餘項目之數據並未具體揭露</w:t>
      </w:r>
      <w:r>
        <w:rPr>
          <w:rFonts w:hAnsi="標楷體" w:hint="eastAsia"/>
          <w:sz w:val="24"/>
          <w:szCs w:val="24"/>
        </w:rPr>
        <w:t>，爰本報告在成果加總時，就臺中市審計處未揭露部分並未納入計算，特此說明。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Default="00F14BA1" w:rsidP="00F14BA1">
    <w:pPr>
      <w:pStyle w:val="a9"/>
      <w:framePr w:wrap="around" w:vAnchor="text" w:hAnchor="margin" w:xAlign="right" w:y="1"/>
      <w:ind w:left="560" w:firstLine="400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separate"/>
    </w:r>
    <w:r>
      <w:rPr>
        <w:rStyle w:val="ad"/>
        <w:noProof/>
      </w:rPr>
      <w:t>2</w:t>
    </w:r>
    <w:r>
      <w:rPr>
        <w:rStyle w:val="ad"/>
      </w:rPr>
      <w:fldChar w:fldCharType="end"/>
    </w:r>
  </w:p>
  <w:p w:rsidR="00F14BA1" w:rsidRDefault="00F14BA1" w:rsidP="00F14BA1">
    <w:pPr>
      <w:pStyle w:val="a9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Pr="00003C0A" w:rsidRDefault="00F14BA1" w:rsidP="00F14BA1">
    <w:pPr>
      <w:pStyle w:val="a9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4BA1" w:rsidRDefault="00F14BA1" w:rsidP="00F14BA1">
    <w:pPr>
      <w:pStyle w:val="a9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CD5B2A"/>
    <w:multiLevelType w:val="hybridMultilevel"/>
    <w:tmpl w:val="EF7026C4"/>
    <w:lvl w:ilvl="0" w:tplc="E6B8DDB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6165343"/>
    <w:multiLevelType w:val="multilevel"/>
    <w:tmpl w:val="D43E0504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8C10F80"/>
    <w:multiLevelType w:val="hybridMultilevel"/>
    <w:tmpl w:val="E6C6CEA0"/>
    <w:lvl w:ilvl="0" w:tplc="D2CA0C6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283"/>
  <w:drawingGridVerticalSpacing w:val="255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702D9"/>
    <w:rsid w:val="0015587E"/>
    <w:rsid w:val="00354A9D"/>
    <w:rsid w:val="005725BC"/>
    <w:rsid w:val="00637F4E"/>
    <w:rsid w:val="006702D9"/>
    <w:rsid w:val="006777F9"/>
    <w:rsid w:val="007941C3"/>
    <w:rsid w:val="009D0920"/>
    <w:rsid w:val="00A229FF"/>
    <w:rsid w:val="00B34BAB"/>
    <w:rsid w:val="00BE6E84"/>
    <w:rsid w:val="00BF46D4"/>
    <w:rsid w:val="00CE6ED8"/>
    <w:rsid w:val="00D44ADB"/>
    <w:rsid w:val="00D76AE2"/>
    <w:rsid w:val="00E305A2"/>
    <w:rsid w:val="00E36730"/>
    <w:rsid w:val="00F14BA1"/>
    <w:rsid w:val="00FD2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C53D47B6-B201-40F9-9F59-4BD95A0BDD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702D9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 w:hAnsi="Times New Roman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BF46D4"/>
    <w:pPr>
      <w:keepNext/>
      <w:spacing w:before="180" w:after="180" w:line="720" w:lineRule="auto"/>
      <w:outlineLvl w:val="0"/>
    </w:pPr>
    <w:rPr>
      <w:rFonts w:ascii="Calibri Light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nhideWhenUsed/>
    <w:qFormat/>
    <w:rsid w:val="00BF46D4"/>
    <w:pPr>
      <w:keepNext/>
      <w:numPr>
        <w:numId w:val="2"/>
      </w:numPr>
      <w:ind w:left="480" w:hanging="480"/>
      <w:outlineLvl w:val="1"/>
    </w:pPr>
    <w:rPr>
      <w:rFonts w:ascii="Calibri Light" w:hAnsi="Calibri Light"/>
      <w:b/>
      <w:bCs/>
      <w:kern w:val="0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46D4"/>
    <w:pPr>
      <w:keepNext/>
      <w:spacing w:line="720" w:lineRule="auto"/>
      <w:outlineLvl w:val="3"/>
    </w:pPr>
    <w:rPr>
      <w:rFonts w:ascii="Calibri Light" w:hAnsi="Calibri Light"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Paragraph">
    <w:name w:val="Table Paragraph"/>
    <w:basedOn w:val="a"/>
    <w:uiPriority w:val="1"/>
    <w:qFormat/>
    <w:rsid w:val="00BF46D4"/>
    <w:pPr>
      <w:autoSpaceDE w:val="0"/>
      <w:autoSpaceDN w:val="0"/>
    </w:pPr>
    <w:rPr>
      <w:rFonts w:hAnsi="標楷體" w:cs="標楷體"/>
      <w:kern w:val="0"/>
      <w:sz w:val="22"/>
      <w:lang w:val="zh-TW" w:bidi="zh-TW"/>
    </w:rPr>
  </w:style>
  <w:style w:type="character" w:customStyle="1" w:styleId="10">
    <w:name w:val="標題 1 字元"/>
    <w:link w:val="1"/>
    <w:uiPriority w:val="9"/>
    <w:rsid w:val="00BF46D4"/>
    <w:rPr>
      <w:rFonts w:ascii="Calibri Light" w:hAnsi="Calibri Light"/>
      <w:b/>
      <w:bCs/>
      <w:kern w:val="52"/>
      <w:sz w:val="52"/>
      <w:szCs w:val="52"/>
    </w:rPr>
  </w:style>
  <w:style w:type="character" w:customStyle="1" w:styleId="20">
    <w:name w:val="標題 2 字元"/>
    <w:link w:val="2"/>
    <w:uiPriority w:val="9"/>
    <w:rsid w:val="00BF46D4"/>
    <w:rPr>
      <w:rFonts w:ascii="Calibri Light" w:eastAsia="標楷體" w:hAnsi="Calibri Light"/>
      <w:b/>
      <w:bCs/>
      <w:sz w:val="28"/>
      <w:szCs w:val="48"/>
    </w:rPr>
  </w:style>
  <w:style w:type="character" w:customStyle="1" w:styleId="40">
    <w:name w:val="標題 4 字元"/>
    <w:link w:val="4"/>
    <w:uiPriority w:val="9"/>
    <w:semiHidden/>
    <w:rsid w:val="00BF46D4"/>
    <w:rPr>
      <w:rFonts w:ascii="Calibri Light" w:hAnsi="Calibri Light"/>
      <w:sz w:val="36"/>
      <w:szCs w:val="36"/>
    </w:rPr>
  </w:style>
  <w:style w:type="paragraph" w:styleId="a3">
    <w:name w:val="List Paragraph"/>
    <w:basedOn w:val="a"/>
    <w:link w:val="a4"/>
    <w:uiPriority w:val="34"/>
    <w:qFormat/>
    <w:rsid w:val="00BF46D4"/>
    <w:pPr>
      <w:ind w:left="480"/>
    </w:pPr>
    <w:rPr>
      <w:kern w:val="0"/>
      <w:sz w:val="20"/>
      <w:szCs w:val="20"/>
    </w:rPr>
  </w:style>
  <w:style w:type="character" w:customStyle="1" w:styleId="a4">
    <w:name w:val="清單段落 字元"/>
    <w:link w:val="a3"/>
    <w:uiPriority w:val="34"/>
    <w:rsid w:val="00BF46D4"/>
  </w:style>
  <w:style w:type="paragraph" w:styleId="a5">
    <w:name w:val="TOC Heading"/>
    <w:basedOn w:val="1"/>
    <w:next w:val="a"/>
    <w:uiPriority w:val="39"/>
    <w:unhideWhenUsed/>
    <w:qFormat/>
    <w:rsid w:val="00BF46D4"/>
    <w:pPr>
      <w:keepLines/>
      <w:widowControl/>
      <w:spacing w:before="240" w:after="0" w:line="259" w:lineRule="auto"/>
      <w:outlineLvl w:val="9"/>
    </w:pPr>
    <w:rPr>
      <w:b w:val="0"/>
      <w:bCs w:val="0"/>
      <w:color w:val="2E74B5"/>
      <w:kern w:val="0"/>
      <w:sz w:val="32"/>
      <w:szCs w:val="32"/>
    </w:rPr>
  </w:style>
  <w:style w:type="paragraph" w:customStyle="1" w:styleId="14">
    <w:name w:val="表格內文(14行高)"/>
    <w:basedOn w:val="a"/>
    <w:link w:val="140"/>
    <w:qFormat/>
    <w:rsid w:val="006702D9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0">
    <w:name w:val="表格內文(14行高) 字元"/>
    <w:link w:val="14"/>
    <w:rsid w:val="006702D9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a6">
    <w:name w:val="報告名稱"/>
    <w:basedOn w:val="a"/>
    <w:rsid w:val="006702D9"/>
    <w:pPr>
      <w:adjustRightInd w:val="0"/>
      <w:ind w:leftChars="0" w:left="0" w:firstLineChars="0" w:firstLine="0"/>
    </w:pPr>
    <w:rPr>
      <w:b/>
      <w:sz w:val="36"/>
    </w:rPr>
  </w:style>
  <w:style w:type="paragraph" w:customStyle="1" w:styleId="a7">
    <w:name w:val="姓名及分機"/>
    <w:basedOn w:val="a"/>
    <w:link w:val="a8"/>
    <w:rsid w:val="006702D9"/>
    <w:pPr>
      <w:ind w:leftChars="0" w:left="0" w:firstLineChars="0" w:firstLine="0"/>
      <w:jc w:val="right"/>
    </w:pPr>
    <w:rPr>
      <w:sz w:val="24"/>
    </w:rPr>
  </w:style>
  <w:style w:type="character" w:customStyle="1" w:styleId="a8">
    <w:name w:val="姓名及分機 字元"/>
    <w:link w:val="a7"/>
    <w:rsid w:val="006702D9"/>
    <w:rPr>
      <w:rFonts w:ascii="標楷體" w:eastAsia="標楷體" w:hAnsi="Times New Roman"/>
      <w:snapToGrid w:val="0"/>
      <w:kern w:val="2"/>
      <w:sz w:val="24"/>
      <w:szCs w:val="28"/>
    </w:rPr>
  </w:style>
  <w:style w:type="paragraph" w:customStyle="1" w:styleId="21">
    <w:name w:val="(一)下內文縮2"/>
    <w:basedOn w:val="a"/>
    <w:qFormat/>
    <w:rsid w:val="006702D9"/>
    <w:pPr>
      <w:adjustRightInd w:val="0"/>
      <w:ind w:leftChars="300" w:left="300"/>
    </w:pPr>
  </w:style>
  <w:style w:type="paragraph" w:styleId="a9">
    <w:name w:val="header"/>
    <w:basedOn w:val="a"/>
    <w:link w:val="aa"/>
    <w:uiPriority w:val="99"/>
    <w:rsid w:val="006702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link w:val="a9"/>
    <w:uiPriority w:val="99"/>
    <w:rsid w:val="006702D9"/>
    <w:rPr>
      <w:rFonts w:ascii="標楷體" w:eastAsia="標楷體" w:hAnsi="Times New Roman"/>
      <w:snapToGrid w:val="0"/>
      <w:kern w:val="2"/>
    </w:rPr>
  </w:style>
  <w:style w:type="paragraph" w:styleId="ab">
    <w:name w:val="footer"/>
    <w:basedOn w:val="a"/>
    <w:link w:val="ac"/>
    <w:rsid w:val="006702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link w:val="ab"/>
    <w:rsid w:val="006702D9"/>
    <w:rPr>
      <w:rFonts w:ascii="標楷體" w:eastAsia="標楷體" w:hAnsi="Times New Roman"/>
      <w:snapToGrid w:val="0"/>
      <w:kern w:val="2"/>
    </w:rPr>
  </w:style>
  <w:style w:type="character" w:styleId="ad">
    <w:name w:val="page number"/>
    <w:basedOn w:val="a0"/>
    <w:rsid w:val="006702D9"/>
  </w:style>
  <w:style w:type="character" w:customStyle="1" w:styleId="141">
    <w:name w:val="表格內文(14行高) 字元 字元"/>
    <w:rsid w:val="006702D9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e">
    <w:name w:val="Table Grid"/>
    <w:basedOn w:val="a1"/>
    <w:rsid w:val="006702D9"/>
    <w:pPr>
      <w:widowControl w:val="0"/>
      <w:spacing w:line="500" w:lineRule="exact"/>
      <w:ind w:leftChars="200" w:left="200" w:firstLineChars="200" w:firstLine="20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basedOn w:val="a"/>
    <w:link w:val="af0"/>
    <w:uiPriority w:val="99"/>
    <w:rsid w:val="006702D9"/>
    <w:pPr>
      <w:snapToGrid w:val="0"/>
      <w:jc w:val="left"/>
    </w:pPr>
    <w:rPr>
      <w:sz w:val="20"/>
      <w:szCs w:val="20"/>
    </w:rPr>
  </w:style>
  <w:style w:type="character" w:customStyle="1" w:styleId="af0">
    <w:name w:val="註腳文字 字元"/>
    <w:link w:val="af"/>
    <w:uiPriority w:val="99"/>
    <w:rsid w:val="006702D9"/>
    <w:rPr>
      <w:rFonts w:ascii="標楷體" w:eastAsia="標楷體" w:hAnsi="Times New Roman"/>
      <w:snapToGrid w:val="0"/>
      <w:kern w:val="2"/>
    </w:rPr>
  </w:style>
  <w:style w:type="character" w:styleId="af1">
    <w:name w:val="footnote reference"/>
    <w:aliases w:val="FR,Ref,de nota al pie,註腳內容,Error-Fußnotenzeichen5,Error-Fußnotenzeichen6,Error-Fußnotenzeichen3"/>
    <w:uiPriority w:val="99"/>
    <w:rsid w:val="006702D9"/>
    <w:rPr>
      <w:vertAlign w:val="superscript"/>
    </w:rPr>
  </w:style>
  <w:style w:type="paragraph" w:customStyle="1" w:styleId="142">
    <w:name w:val="表格內文(14行高) 字元 字元 字元 字元 字元"/>
    <w:basedOn w:val="af2"/>
    <w:link w:val="143"/>
    <w:rsid w:val="006702D9"/>
    <w:pPr>
      <w:spacing w:line="280" w:lineRule="exact"/>
      <w:ind w:leftChars="0" w:firstLineChars="0" w:firstLine="0"/>
      <w:jc w:val="left"/>
    </w:pPr>
    <w:rPr>
      <w:sz w:val="24"/>
    </w:rPr>
  </w:style>
  <w:style w:type="character" w:customStyle="1" w:styleId="143">
    <w:name w:val="表格內文(14行高) 字元 字元 字元 字元 字元 字元"/>
    <w:link w:val="142"/>
    <w:rsid w:val="006702D9"/>
    <w:rPr>
      <w:rFonts w:ascii="標楷體" w:eastAsia="標楷體" w:hAnsi="Times New Roman"/>
      <w:snapToGrid w:val="0"/>
      <w:kern w:val="2"/>
      <w:sz w:val="24"/>
      <w:szCs w:val="28"/>
    </w:rPr>
  </w:style>
  <w:style w:type="paragraph" w:styleId="af2">
    <w:name w:val="table of figures"/>
    <w:basedOn w:val="a"/>
    <w:next w:val="a"/>
    <w:uiPriority w:val="99"/>
    <w:semiHidden/>
    <w:unhideWhenUsed/>
    <w:rsid w:val="006702D9"/>
    <w:pPr>
      <w:ind w:leftChars="400" w:left="0" w:hangingChars="200" w:hanging="200"/>
    </w:pPr>
  </w:style>
  <w:style w:type="character" w:styleId="af3">
    <w:name w:val="line number"/>
    <w:basedOn w:val="a0"/>
    <w:uiPriority w:val="99"/>
    <w:semiHidden/>
    <w:unhideWhenUsed/>
    <w:rsid w:val="006702D9"/>
  </w:style>
  <w:style w:type="paragraph" w:styleId="11">
    <w:name w:val="toc 1"/>
    <w:basedOn w:val="a"/>
    <w:next w:val="a"/>
    <w:autoRedefine/>
    <w:uiPriority w:val="39"/>
    <w:unhideWhenUsed/>
    <w:rsid w:val="00BE6E84"/>
    <w:pPr>
      <w:tabs>
        <w:tab w:val="left" w:leader="middleDot" w:pos="8433"/>
      </w:tabs>
      <w:ind w:leftChars="0" w:left="487" w:rightChars="175" w:right="496" w:hangingChars="200" w:hanging="487"/>
    </w:pPr>
    <w:rPr>
      <w:sz w:val="24"/>
    </w:rPr>
  </w:style>
  <w:style w:type="character" w:styleId="af4">
    <w:name w:val="Hyperlink"/>
    <w:uiPriority w:val="99"/>
    <w:unhideWhenUsed/>
    <w:rsid w:val="006702D9"/>
    <w:rPr>
      <w:color w:val="0563C1"/>
      <w:u w:val="single"/>
    </w:rPr>
  </w:style>
  <w:style w:type="paragraph" w:styleId="af5">
    <w:name w:val="Body Text"/>
    <w:basedOn w:val="a"/>
    <w:link w:val="af6"/>
    <w:unhideWhenUsed/>
    <w:rsid w:val="00637F4E"/>
    <w:pPr>
      <w:spacing w:after="120"/>
    </w:pPr>
  </w:style>
  <w:style w:type="character" w:customStyle="1" w:styleId="af6">
    <w:name w:val="本文 字元"/>
    <w:link w:val="af5"/>
    <w:rsid w:val="00637F4E"/>
    <w:rPr>
      <w:rFonts w:ascii="標楷體" w:eastAsia="標楷體" w:hAnsi="Times New Roman"/>
      <w:snapToGrid w:val="0"/>
      <w:kern w:val="2"/>
      <w:sz w:val="28"/>
      <w:szCs w:val="28"/>
    </w:rPr>
  </w:style>
  <w:style w:type="paragraph" w:styleId="af7">
    <w:name w:val="Date"/>
    <w:basedOn w:val="a"/>
    <w:next w:val="a"/>
    <w:link w:val="af8"/>
    <w:rsid w:val="00637F4E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8">
    <w:name w:val="日期 字元"/>
    <w:link w:val="af7"/>
    <w:rsid w:val="00637F4E"/>
    <w:rPr>
      <w:rFonts w:ascii="Times New Roman" w:eastAsia="標楷體" w:hAnsi="Times New Roman"/>
      <w:b/>
      <w:bCs/>
      <w:kern w:val="2"/>
      <w:sz w:val="36"/>
      <w:szCs w:val="24"/>
    </w:rPr>
  </w:style>
  <w:style w:type="paragraph" w:customStyle="1" w:styleId="144">
    <w:name w:val="第二層(14號字)"/>
    <w:link w:val="1410"/>
    <w:qFormat/>
    <w:rsid w:val="00D76AE2"/>
    <w:pPr>
      <w:wordWrap w:val="0"/>
      <w:spacing w:line="500" w:lineRule="exact"/>
      <w:ind w:left="160" w:hangingChars="160" w:hanging="160"/>
      <w:jc w:val="both"/>
    </w:pPr>
    <w:rPr>
      <w:rFonts w:ascii="標楷體" w:eastAsia="標楷體" w:hAnsi="標楷體"/>
      <w:b/>
      <w:snapToGrid w:val="0"/>
      <w:color w:val="000000"/>
      <w:kern w:val="2"/>
      <w:sz w:val="28"/>
      <w:szCs w:val="28"/>
    </w:rPr>
  </w:style>
  <w:style w:type="character" w:customStyle="1" w:styleId="1410">
    <w:name w:val="第二層(14號字) 字元1"/>
    <w:link w:val="144"/>
    <w:rsid w:val="00D76AE2"/>
    <w:rPr>
      <w:rFonts w:ascii="標楷體" w:eastAsia="標楷體" w:hAnsi="標楷體"/>
      <w:b/>
      <w:snapToGrid w:val="0"/>
      <w:color w:val="000000"/>
      <w:kern w:val="2"/>
      <w:sz w:val="28"/>
      <w:szCs w:val="28"/>
    </w:rPr>
  </w:style>
  <w:style w:type="paragraph" w:customStyle="1" w:styleId="af9">
    <w:name w:val="(一)(二)(三)"/>
    <w:basedOn w:val="a"/>
    <w:link w:val="12"/>
    <w:qFormat/>
    <w:rsid w:val="00D76AE2"/>
    <w:pPr>
      <w:spacing w:line="480" w:lineRule="exact"/>
      <w:ind w:left="300" w:hangingChars="100" w:hanging="100"/>
    </w:pPr>
    <w:rPr>
      <w:snapToGrid/>
    </w:rPr>
  </w:style>
  <w:style w:type="character" w:customStyle="1" w:styleId="12">
    <w:name w:val="(一)(二)(三) 字元1"/>
    <w:link w:val="af9"/>
    <w:rsid w:val="00D76AE2"/>
    <w:rPr>
      <w:rFonts w:ascii="標楷體" w:eastAsia="標楷體" w:hAnsi="Times New Roman"/>
      <w:kern w:val="2"/>
      <w:sz w:val="28"/>
      <w:szCs w:val="28"/>
    </w:rPr>
  </w:style>
  <w:style w:type="paragraph" w:styleId="22">
    <w:name w:val="toc 2"/>
    <w:basedOn w:val="a"/>
    <w:next w:val="a"/>
    <w:autoRedefine/>
    <w:uiPriority w:val="39"/>
    <w:unhideWhenUsed/>
    <w:rsid w:val="00D76AE2"/>
    <w:pPr>
      <w:ind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BC7CA-ABC8-41E8-B155-AF9DB44E7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348</Words>
  <Characters>1987</Characters>
  <Application>Microsoft Office Word</Application>
  <DocSecurity>0</DocSecurity>
  <Lines>16</Lines>
  <Paragraphs>4</Paragraphs>
  <ScaleCrop>false</ScaleCrop>
  <Company/>
  <LinksUpToDate>false</LinksUpToDate>
  <CharactersWithSpaces>2331</CharactersWithSpaces>
  <SharedDoc>false</SharedDoc>
  <HLinks>
    <vt:vector size="12" baseType="variant">
      <vt:variant>
        <vt:i4>1703993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_Toc217996532</vt:lpwstr>
      </vt:variant>
      <vt:variant>
        <vt:i4>1703993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_Toc217996531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劉忠豪</dc:creator>
  <cp:keywords/>
  <dc:description/>
  <cp:lastModifiedBy>Administrator</cp:lastModifiedBy>
  <cp:revision>2</cp:revision>
  <dcterms:created xsi:type="dcterms:W3CDTF">2025-12-31T02:39:00Z</dcterms:created>
  <dcterms:modified xsi:type="dcterms:W3CDTF">2025-12-31T02:39:00Z</dcterms:modified>
</cp:coreProperties>
</file>