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6BD" w:rsidRDefault="000F16BD" w:rsidP="000F16BD">
      <w:pPr>
        <w:pStyle w:val="aa"/>
        <w:rPr>
          <w:rFonts w:hint="eastAsia"/>
        </w:rPr>
      </w:pPr>
      <w:bookmarkStart w:id="0" w:name="_GoBack"/>
      <w:bookmarkEnd w:id="0"/>
      <w:r>
        <w:rPr>
          <w:rFonts w:hint="eastAsia"/>
        </w:rPr>
        <w:t>核能安全委員會及所屬113年度決算評估報告</w:t>
      </w:r>
    </w:p>
    <w:p w:rsidR="000F16BD" w:rsidRDefault="000F16BD" w:rsidP="000F16BD">
      <w:pPr>
        <w:pStyle w:val="a8"/>
        <w:ind w:firstLine="566"/>
        <w:rPr>
          <w:rFonts w:hint="eastAsia"/>
        </w:rPr>
      </w:pPr>
      <w:r>
        <w:rPr>
          <w:rFonts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w:t>
      </w:r>
    </w:p>
    <w:p w:rsidR="000F16BD" w:rsidRDefault="000F16BD" w:rsidP="000F16BD">
      <w:pPr>
        <w:pStyle w:val="a8"/>
        <w:ind w:firstLine="566"/>
        <w:rPr>
          <w:rFonts w:hint="eastAsia"/>
        </w:rPr>
      </w:pPr>
      <w:r>
        <w:rPr>
          <w:rFonts w:hint="eastAsia"/>
        </w:rPr>
        <w:t>核安會及所屬113年度歲入預算數1億4,282萬4千元、決算審定數1億2,708萬1千元，預算達成率88.98%，歲出預算數29億5,822萬元、決算審定數28億6,473萬5千元(含實現數24億4,578萬9千元及保留數4億1,894萬6千元)，預算執行率96.84%；核子事故緊急應變基金(以下稱核子事故基金)係屬特別收入基金，113年度決算審定賸餘2,580萬7千元，較預算賸餘1,930萬3千元增加650萬4千元(增幅33.70%)。謹就核安會及所屬、核子事故基金113年度決算評估如下：</w:t>
      </w:r>
    </w:p>
    <w:p w:rsidR="000F16BD" w:rsidRDefault="000F16BD" w:rsidP="00E812BC">
      <w:pPr>
        <w:pStyle w:val="14"/>
        <w:ind w:left="567" w:hanging="567"/>
        <w:rPr>
          <w:rFonts w:hint="eastAsia"/>
        </w:rPr>
      </w:pPr>
      <w:bookmarkStart w:id="1" w:name="_Toc218085226"/>
      <w:r>
        <w:rPr>
          <w:rFonts w:hint="eastAsia"/>
        </w:rPr>
        <w:t>二、「六氟化鈾安定化處理與處置計畫」執行多年，迄113年底待執行保留數仍高，允宜積極辦理並管控時程</w:t>
      </w:r>
      <w:bookmarkEnd w:id="1"/>
    </w:p>
    <w:p w:rsidR="000F16BD" w:rsidRDefault="000F16BD" w:rsidP="000F16BD">
      <w:pPr>
        <w:ind w:left="566" w:firstLine="566"/>
        <w:rPr>
          <w:rFonts w:hint="eastAsia"/>
        </w:rPr>
      </w:pPr>
      <w:r>
        <w:rPr>
          <w:rFonts w:hint="eastAsia"/>
        </w:rPr>
        <w:t>核安會113年度「原子能科學發展-國家原子能科技研究院營運發展計畫」補助國原院辦理「六氟化鈾安定化處理與處置計畫」(以下稱六氟化鈾處置計畫)預算1億458萬1千元，係賡續執行自104年度起辦理之六氟化鈾處置計畫。茲說明如下：</w:t>
      </w:r>
    </w:p>
    <w:p w:rsidR="000F16BD" w:rsidRDefault="000F16BD" w:rsidP="000F16BD">
      <w:pPr>
        <w:pStyle w:val="a4"/>
        <w:ind w:left="849" w:hanging="283"/>
        <w:rPr>
          <w:rFonts w:hint="eastAsia"/>
        </w:rPr>
      </w:pPr>
      <w:r>
        <w:rPr>
          <w:rFonts w:hint="eastAsia"/>
        </w:rPr>
        <w:t>(一)六氟化鈾處置計畫係將國原院貯存之六氟化鈾送至境外處理場安定化處理及處置，歷經3次修正計畫展延期限至113年度</w:t>
      </w:r>
    </w:p>
    <w:p w:rsidR="000F16BD" w:rsidRPr="000F16BD" w:rsidRDefault="000F16BD" w:rsidP="000F16BD">
      <w:pPr>
        <w:pStyle w:val="123"/>
        <w:ind w:left="1133" w:hanging="283"/>
        <w:rPr>
          <w:rFonts w:hint="eastAsia"/>
          <w:b w:val="0"/>
        </w:rPr>
      </w:pPr>
      <w:r w:rsidRPr="000F16BD">
        <w:rPr>
          <w:rFonts w:hint="eastAsia"/>
          <w:b w:val="0"/>
        </w:rPr>
        <w:t>1.國原院68至72年間執行輕水反應器核子燃料發展計畫，以因應當時之世界能源危機，加強國內能源供應之安全，爰自美、法兩國購入六氟化鈾供實驗研究及化工程序開發使用；76年以後，調整研發策略及相關研發計畫相繼結案，所餘六</w:t>
      </w:r>
      <w:r w:rsidRPr="000F16BD">
        <w:rPr>
          <w:rFonts w:hint="eastAsia"/>
          <w:b w:val="0"/>
        </w:rPr>
        <w:lastRenderedPageBreak/>
        <w:t>氟化鈾貯存於該院。</w:t>
      </w:r>
    </w:p>
    <w:p w:rsidR="000F16BD" w:rsidRPr="000F16BD" w:rsidRDefault="000F16BD" w:rsidP="000F16BD">
      <w:pPr>
        <w:pStyle w:val="123"/>
        <w:ind w:left="1133" w:hanging="283"/>
        <w:rPr>
          <w:rFonts w:hint="eastAsia"/>
          <w:b w:val="0"/>
        </w:rPr>
      </w:pPr>
      <w:r w:rsidRPr="000F16BD">
        <w:rPr>
          <w:rFonts w:hint="eastAsia"/>
          <w:b w:val="0"/>
        </w:rPr>
        <w:t>2.基於長期貯存安全考量，宜將氣態六氟化鈾處理為安定之固態，該院爰規劃送至境外處理廠進行安定化處理與處置，並於104及105年度預算各編列4,500萬元及7,500萬元辦理。惟因美方認處理境外六氟化鈾並非其能源部執掌而請我國另尋相關民間廠商辦理，爰於106年提報「六氟化鈾安定化處理與處置專案計畫」經行政院同意後執行，計畫期程為107至108年度(107及108年度預算合共1億5,530萬8千元)。</w:t>
      </w:r>
    </w:p>
    <w:p w:rsidR="000F16BD" w:rsidRPr="000F16BD" w:rsidRDefault="000F16BD" w:rsidP="000F16BD">
      <w:pPr>
        <w:pStyle w:val="123"/>
        <w:ind w:left="1133" w:hanging="283"/>
        <w:rPr>
          <w:rFonts w:hint="eastAsia"/>
          <w:b w:val="0"/>
        </w:rPr>
      </w:pPr>
      <w:r w:rsidRPr="000F16BD">
        <w:rPr>
          <w:rFonts w:hint="eastAsia"/>
          <w:b w:val="0"/>
        </w:rPr>
        <w:t>3.嗣因國外廠商處理後仍需將氧化鈾回運至我國，與該計畫所規劃將全數於境外處理之目標未符、辦理國外運送採購案歷經數度流標致時程延宕、國內外海陸運經費上漲等原因，該計畫陸續辦理3次辦理修正後，完成期限由原訂之108年度延後至113年度。</w:t>
      </w:r>
    </w:p>
    <w:p w:rsidR="000F16BD" w:rsidRDefault="000F16BD" w:rsidP="000F16BD">
      <w:pPr>
        <w:pStyle w:val="a4"/>
        <w:ind w:left="849" w:hanging="283"/>
        <w:rPr>
          <w:rFonts w:hint="eastAsia"/>
        </w:rPr>
      </w:pPr>
      <w:r>
        <w:rPr>
          <w:rFonts w:hint="eastAsia"/>
        </w:rPr>
        <w:t>(二)六氟化鈾處置計畫迄113年底尚有保留數2.08億元待執行，允宜積極辦理並管控時程</w:t>
      </w:r>
    </w:p>
    <w:p w:rsidR="000F16BD" w:rsidRPr="000F16BD" w:rsidRDefault="000F16BD" w:rsidP="000F16BD">
      <w:pPr>
        <w:pStyle w:val="123"/>
        <w:ind w:left="1133" w:hanging="283"/>
        <w:rPr>
          <w:rFonts w:hint="eastAsia"/>
          <w:b w:val="0"/>
        </w:rPr>
      </w:pPr>
      <w:r w:rsidRPr="000F16BD">
        <w:rPr>
          <w:rFonts w:hint="eastAsia"/>
          <w:b w:val="0"/>
        </w:rPr>
        <w:t>1.該計畫104至113年度累計預算編列4億4,519萬3千元(詳表1)，其中104及105年度預算分別因尚未簽訂契約、雖已簽訂合作備忘錄惟歷時4年未支用預算保留款而予繳庫，106、109及111年度未編列預算，而107、108、110及112年度預算概因六氟化鈾運送前置檢測、驗證等作業尚未完成，後續國內陸運及國外海陸運等經費需俟實際運送完成後方予支付，及受COVID-19疫情影響致國外技師無法來臺執行六氟化鈾桶完整性檢測作業等因素而辦理經費保留。</w:t>
      </w:r>
    </w:p>
    <w:p w:rsidR="000F16BD" w:rsidRDefault="000F16BD" w:rsidP="000F16BD">
      <w:pPr>
        <w:pStyle w:val="123"/>
        <w:ind w:left="1133" w:hanging="283"/>
        <w:rPr>
          <w:b w:val="0"/>
        </w:rPr>
      </w:pPr>
      <w:r w:rsidRPr="000F16BD">
        <w:rPr>
          <w:rFonts w:hint="eastAsia"/>
          <w:b w:val="0"/>
        </w:rPr>
        <w:t>2.該計畫迄113年度已編列預算4億4,519萬3千元，實現數僅4,964萬3千元(占比11.15%)，保留數高達2億777萬2千元(占比46.67%)(詳表1)。據核安會說明略以，113年度工</w:t>
      </w:r>
      <w:r w:rsidRPr="000F16BD">
        <w:rPr>
          <w:rFonts w:hint="eastAsia"/>
          <w:b w:val="0"/>
        </w:rPr>
        <w:lastRenderedPageBreak/>
        <w:t>作項目目標係將32桶六氟化鈾皆運送至英國URENCO公司處理與處置，迄該年底已將30桶六氟化鈾運送至英國URENCO公司，其餘2桶48Y型容器六氟化鈾低於最低承載重量要求，致未取得許可證書及運送至英國，仍待於114年度積極辦理並加強管控時程。</w:t>
      </w:r>
    </w:p>
    <w:p w:rsidR="000F16BD" w:rsidRPr="00D90B72" w:rsidRDefault="000F16BD" w:rsidP="000F16BD">
      <w:pPr>
        <w:spacing w:beforeLines="30" w:before="150" w:line="360" w:lineRule="exact"/>
        <w:ind w:leftChars="0" w:left="797" w:hangingChars="281" w:hanging="797"/>
      </w:pPr>
      <w:r w:rsidRPr="00D90B72">
        <w:rPr>
          <w:rFonts w:hAnsi="標楷體" w:hint="eastAsia"/>
          <w:b/>
        </w:rPr>
        <w:t xml:space="preserve">表1  104至113年度「六氟化鈾安定化處理與處置計畫」預算編列與執行概況表           </w:t>
      </w:r>
      <w:r w:rsidRPr="00D90B72">
        <w:rPr>
          <w:rFonts w:hAnsi="標楷體"/>
          <w:b/>
        </w:rPr>
        <w:t xml:space="preserve">   </w:t>
      </w:r>
      <w:r w:rsidRPr="00D90B72">
        <w:rPr>
          <w:rFonts w:hAnsi="標楷體" w:hint="eastAsia"/>
          <w:b/>
        </w:rPr>
        <w:t xml:space="preserve">                  </w:t>
      </w:r>
      <w:r w:rsidRPr="00D90B72">
        <w:rPr>
          <w:rFonts w:hAnsi="標楷體" w:hint="eastAsia"/>
          <w:sz w:val="24"/>
        </w:rPr>
        <w:t>單位：新臺幣千元</w:t>
      </w:r>
    </w:p>
    <w:tbl>
      <w:tblPr>
        <w:tblW w:w="8505" w:type="dxa"/>
        <w:tblInd w:w="28" w:type="dxa"/>
        <w:tblLayout w:type="fixed"/>
        <w:tblCellMar>
          <w:left w:w="28" w:type="dxa"/>
          <w:right w:w="28" w:type="dxa"/>
        </w:tblCellMar>
        <w:tblLook w:val="04A0" w:firstRow="1" w:lastRow="0" w:firstColumn="1" w:lastColumn="0" w:noHBand="0" w:noVBand="1"/>
      </w:tblPr>
      <w:tblGrid>
        <w:gridCol w:w="820"/>
        <w:gridCol w:w="1014"/>
        <w:gridCol w:w="1190"/>
        <w:gridCol w:w="1190"/>
        <w:gridCol w:w="1430"/>
        <w:gridCol w:w="1430"/>
        <w:gridCol w:w="1431"/>
      </w:tblGrid>
      <w:tr w:rsidR="000F16BD" w:rsidRPr="00370FDC" w:rsidTr="003077CD">
        <w:trPr>
          <w:tblHeader/>
        </w:trPr>
        <w:tc>
          <w:tcPr>
            <w:tcW w:w="820"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snapToGrid/>
              </w:rPr>
            </w:pPr>
            <w:r w:rsidRPr="00370FDC">
              <w:rPr>
                <w:rFonts w:hint="eastAsia"/>
                <w:snapToGrid/>
              </w:rPr>
              <w:t>年度</w:t>
            </w:r>
          </w:p>
        </w:tc>
        <w:tc>
          <w:tcPr>
            <w:tcW w:w="3394" w:type="dxa"/>
            <w:gridSpan w:val="3"/>
            <w:tcBorders>
              <w:top w:val="single" w:sz="12" w:space="0" w:color="auto"/>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可支用預算數</w:t>
            </w:r>
          </w:p>
        </w:tc>
        <w:tc>
          <w:tcPr>
            <w:tcW w:w="1430"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實現數</w:t>
            </w:r>
          </w:p>
        </w:tc>
        <w:tc>
          <w:tcPr>
            <w:tcW w:w="1430"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保留數</w:t>
            </w:r>
          </w:p>
        </w:tc>
        <w:tc>
          <w:tcPr>
            <w:tcW w:w="1431"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賸餘數</w:t>
            </w:r>
          </w:p>
        </w:tc>
      </w:tr>
      <w:tr w:rsidR="000F16BD" w:rsidRPr="00370FDC" w:rsidTr="003077CD">
        <w:trPr>
          <w:tblHeader/>
        </w:trPr>
        <w:tc>
          <w:tcPr>
            <w:tcW w:w="820" w:type="dxa"/>
            <w:vMerge/>
            <w:tcBorders>
              <w:top w:val="single" w:sz="4" w:space="0" w:color="auto"/>
              <w:left w:val="single" w:sz="12" w:space="0" w:color="auto"/>
              <w:bottom w:val="single" w:sz="4" w:space="0" w:color="auto"/>
              <w:right w:val="single" w:sz="4" w:space="0" w:color="auto"/>
            </w:tcBorders>
            <w:vAlign w:val="center"/>
            <w:hideMark/>
          </w:tcPr>
          <w:p w:rsidR="000F16BD" w:rsidRPr="00370FDC" w:rsidRDefault="000F16BD" w:rsidP="003077CD">
            <w:pPr>
              <w:pStyle w:val="142"/>
              <w:jc w:val="center"/>
              <w:rPr>
                <w:snapToGrid/>
              </w:rPr>
            </w:pPr>
          </w:p>
        </w:tc>
        <w:tc>
          <w:tcPr>
            <w:tcW w:w="1014" w:type="dxa"/>
            <w:tcBorders>
              <w:top w:val="nil"/>
              <w:left w:val="nil"/>
              <w:bottom w:val="single" w:sz="4" w:space="0" w:color="auto"/>
              <w:right w:val="single" w:sz="4" w:space="0" w:color="auto"/>
            </w:tcBorders>
            <w:shd w:val="clear" w:color="auto" w:fill="auto"/>
            <w:vAlign w:val="center"/>
            <w:hideMark/>
          </w:tcPr>
          <w:p w:rsidR="000F16BD" w:rsidRDefault="000F16BD" w:rsidP="003077CD">
            <w:pPr>
              <w:pStyle w:val="142"/>
              <w:jc w:val="center"/>
              <w:rPr>
                <w:snapToGrid/>
              </w:rPr>
            </w:pPr>
            <w:r w:rsidRPr="00370FDC">
              <w:rPr>
                <w:rFonts w:hint="eastAsia"/>
                <w:snapToGrid/>
              </w:rPr>
              <w:t>年度</w:t>
            </w:r>
          </w:p>
          <w:p w:rsidR="000F16BD" w:rsidRPr="00370FDC" w:rsidRDefault="000F16BD" w:rsidP="003077CD">
            <w:pPr>
              <w:pStyle w:val="142"/>
              <w:jc w:val="center"/>
              <w:rPr>
                <w:rFonts w:hint="eastAsia"/>
                <w:snapToGrid/>
              </w:rPr>
            </w:pPr>
            <w:r w:rsidRPr="00370FDC">
              <w:rPr>
                <w:rFonts w:hint="eastAsia"/>
                <w:snapToGrid/>
              </w:rPr>
              <w:t>預算數</w:t>
            </w:r>
          </w:p>
        </w:tc>
        <w:tc>
          <w:tcPr>
            <w:tcW w:w="1190" w:type="dxa"/>
            <w:tcBorders>
              <w:top w:val="nil"/>
              <w:left w:val="nil"/>
              <w:bottom w:val="single" w:sz="4" w:space="0" w:color="auto"/>
              <w:right w:val="single" w:sz="4" w:space="0" w:color="auto"/>
            </w:tcBorders>
            <w:shd w:val="clear" w:color="auto" w:fill="auto"/>
            <w:vAlign w:val="center"/>
            <w:hideMark/>
          </w:tcPr>
          <w:p w:rsidR="000F16BD" w:rsidRDefault="000F16BD" w:rsidP="003077CD">
            <w:pPr>
              <w:pStyle w:val="142"/>
              <w:jc w:val="center"/>
              <w:rPr>
                <w:snapToGrid/>
              </w:rPr>
            </w:pPr>
            <w:r w:rsidRPr="00370FDC">
              <w:rPr>
                <w:rFonts w:hint="eastAsia"/>
                <w:snapToGrid/>
              </w:rPr>
              <w:t>以前年度</w:t>
            </w:r>
          </w:p>
          <w:p w:rsidR="000F16BD" w:rsidRPr="00370FDC" w:rsidRDefault="000F16BD" w:rsidP="003077CD">
            <w:pPr>
              <w:pStyle w:val="142"/>
              <w:jc w:val="center"/>
              <w:rPr>
                <w:rFonts w:hint="eastAsia"/>
                <w:snapToGrid/>
              </w:rPr>
            </w:pPr>
            <w:r w:rsidRPr="00370FDC">
              <w:rPr>
                <w:rFonts w:hint="eastAsia"/>
                <w:snapToGrid/>
              </w:rPr>
              <w:t>保留數</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合計</w:t>
            </w:r>
          </w:p>
        </w:tc>
        <w:tc>
          <w:tcPr>
            <w:tcW w:w="1430" w:type="dxa"/>
            <w:vMerge/>
            <w:tcBorders>
              <w:top w:val="single" w:sz="4" w:space="0" w:color="auto"/>
              <w:left w:val="single" w:sz="4" w:space="0" w:color="auto"/>
              <w:bottom w:val="single" w:sz="4" w:space="0" w:color="auto"/>
              <w:right w:val="single" w:sz="4" w:space="0" w:color="auto"/>
            </w:tcBorders>
            <w:vAlign w:val="center"/>
            <w:hideMark/>
          </w:tcPr>
          <w:p w:rsidR="000F16BD" w:rsidRPr="00370FDC" w:rsidRDefault="000F16BD" w:rsidP="003077CD">
            <w:pPr>
              <w:pStyle w:val="142"/>
              <w:rPr>
                <w:snapToGrid/>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rsidR="000F16BD" w:rsidRPr="00370FDC" w:rsidRDefault="000F16BD" w:rsidP="003077CD">
            <w:pPr>
              <w:pStyle w:val="142"/>
              <w:rPr>
                <w:snapToGrid/>
              </w:rPr>
            </w:pPr>
          </w:p>
        </w:tc>
        <w:tc>
          <w:tcPr>
            <w:tcW w:w="1431" w:type="dxa"/>
            <w:vMerge/>
            <w:tcBorders>
              <w:top w:val="single" w:sz="4" w:space="0" w:color="auto"/>
              <w:left w:val="single" w:sz="4" w:space="0" w:color="auto"/>
              <w:bottom w:val="single" w:sz="4" w:space="0" w:color="auto"/>
              <w:right w:val="single" w:sz="12" w:space="0" w:color="auto"/>
            </w:tcBorders>
            <w:vAlign w:val="center"/>
            <w:hideMark/>
          </w:tcPr>
          <w:p w:rsidR="000F16BD" w:rsidRPr="00370FDC" w:rsidRDefault="000F16BD" w:rsidP="003077CD">
            <w:pPr>
              <w:pStyle w:val="142"/>
              <w:rPr>
                <w:snapToGrid/>
              </w:rPr>
            </w:pP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104</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45,000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45,000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1,050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900</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43,050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105</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75,000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900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75,900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1,208</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106</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107</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89,500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164,192</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2,174</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120,464</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41,554</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108</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65,808</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120,464</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186,272</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1,487</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184,785</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109</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184,785</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184,785</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5,913</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104,180</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110</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23,990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104,180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128,170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549</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127,621</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111</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127,621</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127,621</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7,691</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119,312</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618</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112</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41,314</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119,312</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160,626</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2,230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158,345</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51</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113</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104,581</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158,345</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262,926</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27,341</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207,772</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12" w:space="0" w:color="auto"/>
              <w:right w:val="single" w:sz="4" w:space="0" w:color="auto"/>
            </w:tcBorders>
            <w:shd w:val="clear" w:color="auto" w:fill="auto"/>
            <w:noWrap/>
            <w:vAlign w:val="center"/>
            <w:hideMark/>
          </w:tcPr>
          <w:p w:rsidR="000F16BD" w:rsidRPr="00791780" w:rsidRDefault="000F16BD" w:rsidP="003077CD">
            <w:pPr>
              <w:pStyle w:val="142"/>
              <w:jc w:val="center"/>
              <w:rPr>
                <w:rFonts w:hint="eastAsia"/>
                <w:b/>
                <w:snapToGrid/>
              </w:rPr>
            </w:pPr>
            <w:r w:rsidRPr="00791780">
              <w:rPr>
                <w:rFonts w:hint="eastAsia"/>
                <w:b/>
                <w:snapToGrid/>
              </w:rPr>
              <w:t>合計</w:t>
            </w:r>
          </w:p>
        </w:tc>
        <w:tc>
          <w:tcPr>
            <w:tcW w:w="1014" w:type="dxa"/>
            <w:tcBorders>
              <w:top w:val="nil"/>
              <w:left w:val="nil"/>
              <w:bottom w:val="single" w:sz="12" w:space="0" w:color="auto"/>
              <w:right w:val="single" w:sz="4"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445,193</w:t>
            </w:r>
          </w:p>
        </w:tc>
        <w:tc>
          <w:tcPr>
            <w:tcW w:w="1190" w:type="dxa"/>
            <w:tcBorders>
              <w:top w:val="nil"/>
              <w:left w:val="nil"/>
              <w:bottom w:val="single" w:sz="12" w:space="0" w:color="auto"/>
              <w:right w:val="single" w:sz="4"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 xml:space="preserve">-　</w:t>
            </w:r>
          </w:p>
        </w:tc>
        <w:tc>
          <w:tcPr>
            <w:tcW w:w="1190" w:type="dxa"/>
            <w:tcBorders>
              <w:top w:val="nil"/>
              <w:left w:val="nil"/>
              <w:bottom w:val="single" w:sz="12" w:space="0" w:color="auto"/>
              <w:right w:val="single" w:sz="4"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 xml:space="preserve">-　</w:t>
            </w:r>
          </w:p>
        </w:tc>
        <w:tc>
          <w:tcPr>
            <w:tcW w:w="1430" w:type="dxa"/>
            <w:tcBorders>
              <w:top w:val="nil"/>
              <w:left w:val="nil"/>
              <w:bottom w:val="single" w:sz="12" w:space="0" w:color="auto"/>
              <w:right w:val="single" w:sz="4"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49,643</w:t>
            </w:r>
          </w:p>
        </w:tc>
        <w:tc>
          <w:tcPr>
            <w:tcW w:w="1430" w:type="dxa"/>
            <w:tcBorders>
              <w:top w:val="nil"/>
              <w:left w:val="nil"/>
              <w:bottom w:val="single" w:sz="12" w:space="0" w:color="auto"/>
              <w:right w:val="single" w:sz="4" w:space="0" w:color="auto"/>
            </w:tcBorders>
            <w:shd w:val="clear" w:color="auto" w:fill="auto"/>
            <w:noWrap/>
            <w:vAlign w:val="center"/>
            <w:hideMark/>
          </w:tcPr>
          <w:p w:rsidR="000F16BD" w:rsidRPr="00370FDC" w:rsidRDefault="000F16BD" w:rsidP="003077CD">
            <w:pPr>
              <w:pStyle w:val="142"/>
              <w:jc w:val="right"/>
              <w:rPr>
                <w:rFonts w:hint="eastAsia"/>
                <w:snapToGrid/>
              </w:rPr>
            </w:pPr>
            <w:r>
              <w:rPr>
                <w:rFonts w:hint="eastAsia"/>
                <w:snapToGrid/>
              </w:rPr>
              <w:t>-</w:t>
            </w:r>
            <w:r w:rsidRPr="00370FDC">
              <w:rPr>
                <w:rFonts w:hint="eastAsia"/>
                <w:snapToGrid/>
              </w:rPr>
              <w:t xml:space="preserve">　</w:t>
            </w:r>
          </w:p>
        </w:tc>
        <w:tc>
          <w:tcPr>
            <w:tcW w:w="1431" w:type="dxa"/>
            <w:tcBorders>
              <w:top w:val="nil"/>
              <w:left w:val="nil"/>
              <w:bottom w:val="single" w:sz="12" w:space="0" w:color="auto"/>
              <w:right w:val="single" w:sz="12"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159,965</w:t>
            </w:r>
          </w:p>
        </w:tc>
      </w:tr>
    </w:tbl>
    <w:p w:rsidR="000F16BD" w:rsidRPr="00D003A0" w:rsidRDefault="000F16BD" w:rsidP="000F16BD">
      <w:pPr>
        <w:pStyle w:val="142"/>
      </w:pPr>
      <w:r w:rsidRPr="00D003A0">
        <w:rPr>
          <w:rFonts w:hint="eastAsia"/>
        </w:rPr>
        <w:t>說    明：表列決算均為審定數。</w:t>
      </w:r>
    </w:p>
    <w:p w:rsidR="000F16BD" w:rsidRDefault="000F16BD" w:rsidP="000F16BD">
      <w:pPr>
        <w:pStyle w:val="142"/>
      </w:pPr>
      <w:r w:rsidRPr="00D003A0">
        <w:rPr>
          <w:rFonts w:hint="eastAsia"/>
        </w:rPr>
        <w:t>資料來源：</w:t>
      </w:r>
      <w:r>
        <w:rPr>
          <w:rFonts w:hint="eastAsia"/>
        </w:rPr>
        <w:t>核安會</w:t>
      </w:r>
      <w:r w:rsidRPr="00D003A0">
        <w:rPr>
          <w:rFonts w:hint="eastAsia"/>
        </w:rPr>
        <w:t>提供。</w:t>
      </w:r>
    </w:p>
    <w:p w:rsidR="000F16BD" w:rsidRDefault="00E812BC" w:rsidP="00E812BC">
      <w:pPr>
        <w:ind w:left="566" w:firstLine="566"/>
      </w:pPr>
      <w:r w:rsidRPr="00E812BC">
        <w:rPr>
          <w:rFonts w:hint="eastAsia"/>
        </w:rPr>
        <w:t>綜上，核安會補助國原院辦理六氟化鈾處置計畫辦理期限由108年度陸續展延至113年度，惟迄113年底尚有保留數2億777萬2千元待執行，且部分六氟化鈾桶未能按預計時程運送至國外處理，允宜積極辦理並加強計畫時程之控管，俾利早日如質結案。</w:t>
      </w:r>
    </w:p>
    <w:sectPr w:rsidR="000F16BD" w:rsidSect="00F347F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7CD" w:rsidRDefault="003077CD" w:rsidP="009B732E">
      <w:pPr>
        <w:spacing w:line="240" w:lineRule="auto"/>
        <w:ind w:left="560" w:firstLine="560"/>
      </w:pPr>
      <w:r>
        <w:separator/>
      </w:r>
    </w:p>
  </w:endnote>
  <w:endnote w:type="continuationSeparator" w:id="0">
    <w:p w:rsidR="003077CD" w:rsidRDefault="003077C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rsidP="00BA2F2C">
    <w:pPr>
      <w:pStyle w:val="af0"/>
      <w:ind w:leftChars="0" w:left="0" w:firstLineChars="0" w:firstLine="0"/>
      <w:jc w:val="center"/>
    </w:pPr>
    <w:r>
      <w:fldChar w:fldCharType="begin"/>
    </w:r>
    <w:r>
      <w:instrText>PAGE   \* MERGEFORMAT</w:instrText>
    </w:r>
    <w:r>
      <w:fldChar w:fldCharType="separate"/>
    </w:r>
    <w:r w:rsidR="00804AEA" w:rsidRPr="00804AE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7CD" w:rsidRDefault="003077CD" w:rsidP="009B732E">
      <w:pPr>
        <w:spacing w:line="240" w:lineRule="auto"/>
        <w:ind w:left="560" w:firstLine="560"/>
      </w:pPr>
      <w:r>
        <w:separator/>
      </w:r>
    </w:p>
  </w:footnote>
  <w:footnote w:type="continuationSeparator" w:id="0">
    <w:p w:rsidR="003077CD" w:rsidRDefault="003077CD"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4DC"/>
    <w:multiLevelType w:val="hybridMultilevel"/>
    <w:tmpl w:val="E8FC9E64"/>
    <w:lvl w:ilvl="0" w:tplc="780CC77E">
      <w:start w:val="1"/>
      <w:numFmt w:val="decimal"/>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 w15:restartNumberingAfterBreak="0">
    <w:nsid w:val="09F7798C"/>
    <w:multiLevelType w:val="hybridMultilevel"/>
    <w:tmpl w:val="79FE9736"/>
    <w:lvl w:ilvl="0" w:tplc="BB98605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E407C3"/>
    <w:multiLevelType w:val="hybridMultilevel"/>
    <w:tmpl w:val="00AC0E5A"/>
    <w:lvl w:ilvl="0" w:tplc="77E88D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5"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6" w15:restartNumberingAfterBreak="0">
    <w:nsid w:val="21F27468"/>
    <w:multiLevelType w:val="hybridMultilevel"/>
    <w:tmpl w:val="C6D0AEB8"/>
    <w:lvl w:ilvl="0" w:tplc="AC70D96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2"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6"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8"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677A01D0"/>
    <w:multiLevelType w:val="hybridMultilevel"/>
    <w:tmpl w:val="955A2F18"/>
    <w:lvl w:ilvl="0" w:tplc="D3A031AA">
      <w:start w:val="1"/>
      <w:numFmt w:val="decimal"/>
      <w:lvlText w:val="%1."/>
      <w:lvlJc w:val="left"/>
      <w:pPr>
        <w:ind w:left="758" w:hanging="360"/>
      </w:pPr>
      <w:rPr>
        <w:rFonts w:hint="default"/>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23" w15:restartNumberingAfterBreak="0">
    <w:nsid w:val="683741C2"/>
    <w:multiLevelType w:val="hybridMultilevel"/>
    <w:tmpl w:val="39166D7C"/>
    <w:lvl w:ilvl="0" w:tplc="4F10693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5"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4"/>
  </w:num>
  <w:num w:numId="3">
    <w:abstractNumId w:val="9"/>
  </w:num>
  <w:num w:numId="4">
    <w:abstractNumId w:val="26"/>
  </w:num>
  <w:num w:numId="5">
    <w:abstractNumId w:val="19"/>
  </w:num>
  <w:num w:numId="6">
    <w:abstractNumId w:val="25"/>
  </w:num>
  <w:num w:numId="7">
    <w:abstractNumId w:val="5"/>
  </w:num>
  <w:num w:numId="8">
    <w:abstractNumId w:val="8"/>
  </w:num>
  <w:num w:numId="9">
    <w:abstractNumId w:val="10"/>
  </w:num>
  <w:num w:numId="10">
    <w:abstractNumId w:val="12"/>
  </w:num>
  <w:num w:numId="11">
    <w:abstractNumId w:val="16"/>
  </w:num>
  <w:num w:numId="12">
    <w:abstractNumId w:val="18"/>
  </w:num>
  <w:num w:numId="13">
    <w:abstractNumId w:val="2"/>
  </w:num>
  <w:num w:numId="14">
    <w:abstractNumId w:val="15"/>
  </w:num>
  <w:num w:numId="15">
    <w:abstractNumId w:val="20"/>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3"/>
  </w:num>
  <w:num w:numId="23">
    <w:abstractNumId w:val="4"/>
  </w:num>
  <w:num w:numId="24">
    <w:abstractNumId w:val="11"/>
  </w:num>
  <w:num w:numId="25">
    <w:abstractNumId w:val="14"/>
  </w:num>
  <w:num w:numId="26">
    <w:abstractNumId w:val="3"/>
  </w:num>
  <w:num w:numId="27">
    <w:abstractNumId w:val="23"/>
  </w:num>
  <w:num w:numId="28">
    <w:abstractNumId w:val="1"/>
  </w:num>
  <w:num w:numId="29">
    <w:abstractNumId w:val="22"/>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813"/>
    <w:rsid w:val="000059D1"/>
    <w:rsid w:val="00006164"/>
    <w:rsid w:val="000076C0"/>
    <w:rsid w:val="00012E0C"/>
    <w:rsid w:val="00016F45"/>
    <w:rsid w:val="00022E0C"/>
    <w:rsid w:val="00022E85"/>
    <w:rsid w:val="00024914"/>
    <w:rsid w:val="000266CD"/>
    <w:rsid w:val="00026F1D"/>
    <w:rsid w:val="0003082B"/>
    <w:rsid w:val="00036667"/>
    <w:rsid w:val="000377BA"/>
    <w:rsid w:val="000427A0"/>
    <w:rsid w:val="0004375B"/>
    <w:rsid w:val="00051D45"/>
    <w:rsid w:val="00060216"/>
    <w:rsid w:val="00062C87"/>
    <w:rsid w:val="000634A3"/>
    <w:rsid w:val="00065E05"/>
    <w:rsid w:val="00075F77"/>
    <w:rsid w:val="0007640A"/>
    <w:rsid w:val="000808DB"/>
    <w:rsid w:val="0008447C"/>
    <w:rsid w:val="000859E5"/>
    <w:rsid w:val="00086313"/>
    <w:rsid w:val="00087139"/>
    <w:rsid w:val="000915DA"/>
    <w:rsid w:val="000A1A01"/>
    <w:rsid w:val="000A6344"/>
    <w:rsid w:val="000A7205"/>
    <w:rsid w:val="000B048D"/>
    <w:rsid w:val="000B1407"/>
    <w:rsid w:val="000B4AD1"/>
    <w:rsid w:val="000B4B14"/>
    <w:rsid w:val="000B56FF"/>
    <w:rsid w:val="000B6435"/>
    <w:rsid w:val="000B6596"/>
    <w:rsid w:val="000C1FE4"/>
    <w:rsid w:val="000C74D4"/>
    <w:rsid w:val="000C7715"/>
    <w:rsid w:val="000D3AAB"/>
    <w:rsid w:val="000D4B51"/>
    <w:rsid w:val="000D4D1A"/>
    <w:rsid w:val="000D4E73"/>
    <w:rsid w:val="000E01C3"/>
    <w:rsid w:val="000E1B78"/>
    <w:rsid w:val="000F0FA8"/>
    <w:rsid w:val="000F112E"/>
    <w:rsid w:val="000F16BD"/>
    <w:rsid w:val="000F1E97"/>
    <w:rsid w:val="000F387E"/>
    <w:rsid w:val="000F45C6"/>
    <w:rsid w:val="000F5C08"/>
    <w:rsid w:val="000F5C80"/>
    <w:rsid w:val="00103677"/>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EE9"/>
    <w:rsid w:val="00152EC0"/>
    <w:rsid w:val="001550DE"/>
    <w:rsid w:val="001708DF"/>
    <w:rsid w:val="0017271B"/>
    <w:rsid w:val="0017412B"/>
    <w:rsid w:val="0017698D"/>
    <w:rsid w:val="00177D71"/>
    <w:rsid w:val="00181E32"/>
    <w:rsid w:val="00183773"/>
    <w:rsid w:val="00183A2E"/>
    <w:rsid w:val="00183A7A"/>
    <w:rsid w:val="00183BBD"/>
    <w:rsid w:val="001856A1"/>
    <w:rsid w:val="00186582"/>
    <w:rsid w:val="00186E38"/>
    <w:rsid w:val="001901C4"/>
    <w:rsid w:val="0019260E"/>
    <w:rsid w:val="001931F5"/>
    <w:rsid w:val="001952F4"/>
    <w:rsid w:val="001973EC"/>
    <w:rsid w:val="001A2344"/>
    <w:rsid w:val="001A3D02"/>
    <w:rsid w:val="001A3ECF"/>
    <w:rsid w:val="001A435F"/>
    <w:rsid w:val="001A4BB4"/>
    <w:rsid w:val="001B0073"/>
    <w:rsid w:val="001B05EB"/>
    <w:rsid w:val="001B4E61"/>
    <w:rsid w:val="001B6C08"/>
    <w:rsid w:val="001C5038"/>
    <w:rsid w:val="001D4636"/>
    <w:rsid w:val="001D6CC5"/>
    <w:rsid w:val="001F0DA2"/>
    <w:rsid w:val="001F219B"/>
    <w:rsid w:val="001F220A"/>
    <w:rsid w:val="001F267C"/>
    <w:rsid w:val="001F27FD"/>
    <w:rsid w:val="001F365F"/>
    <w:rsid w:val="00210BA6"/>
    <w:rsid w:val="002136FB"/>
    <w:rsid w:val="00213A69"/>
    <w:rsid w:val="0021569F"/>
    <w:rsid w:val="00220A0D"/>
    <w:rsid w:val="002244B8"/>
    <w:rsid w:val="002272B3"/>
    <w:rsid w:val="00230325"/>
    <w:rsid w:val="0023372C"/>
    <w:rsid w:val="00234A34"/>
    <w:rsid w:val="00241033"/>
    <w:rsid w:val="0024123A"/>
    <w:rsid w:val="002427EA"/>
    <w:rsid w:val="00242AC9"/>
    <w:rsid w:val="00242C97"/>
    <w:rsid w:val="00244202"/>
    <w:rsid w:val="00251018"/>
    <w:rsid w:val="00262705"/>
    <w:rsid w:val="00263013"/>
    <w:rsid w:val="00264EAF"/>
    <w:rsid w:val="00265379"/>
    <w:rsid w:val="00265C5D"/>
    <w:rsid w:val="002700BD"/>
    <w:rsid w:val="00270BB5"/>
    <w:rsid w:val="00280E91"/>
    <w:rsid w:val="00283323"/>
    <w:rsid w:val="00284AE9"/>
    <w:rsid w:val="0029384E"/>
    <w:rsid w:val="002A0632"/>
    <w:rsid w:val="002A5BB9"/>
    <w:rsid w:val="002A6F72"/>
    <w:rsid w:val="002A78E6"/>
    <w:rsid w:val="002B3043"/>
    <w:rsid w:val="002B3A67"/>
    <w:rsid w:val="002B4BA0"/>
    <w:rsid w:val="002B69CC"/>
    <w:rsid w:val="002B6DC0"/>
    <w:rsid w:val="002C533A"/>
    <w:rsid w:val="002D426B"/>
    <w:rsid w:val="002E2AE5"/>
    <w:rsid w:val="002E69BE"/>
    <w:rsid w:val="002E6B38"/>
    <w:rsid w:val="002E70CF"/>
    <w:rsid w:val="002E7964"/>
    <w:rsid w:val="002F4289"/>
    <w:rsid w:val="002F5926"/>
    <w:rsid w:val="002F5BBA"/>
    <w:rsid w:val="002F6F29"/>
    <w:rsid w:val="002F7726"/>
    <w:rsid w:val="002F7D8C"/>
    <w:rsid w:val="003010F5"/>
    <w:rsid w:val="003021A9"/>
    <w:rsid w:val="003027E1"/>
    <w:rsid w:val="003052C3"/>
    <w:rsid w:val="00306A6B"/>
    <w:rsid w:val="003077CD"/>
    <w:rsid w:val="00314715"/>
    <w:rsid w:val="00314EED"/>
    <w:rsid w:val="003152E0"/>
    <w:rsid w:val="003209A0"/>
    <w:rsid w:val="0032244D"/>
    <w:rsid w:val="00330713"/>
    <w:rsid w:val="003307DC"/>
    <w:rsid w:val="003314AA"/>
    <w:rsid w:val="00332887"/>
    <w:rsid w:val="00333BDF"/>
    <w:rsid w:val="00335716"/>
    <w:rsid w:val="003362BC"/>
    <w:rsid w:val="003372CD"/>
    <w:rsid w:val="003413AA"/>
    <w:rsid w:val="00341D9A"/>
    <w:rsid w:val="00341F9C"/>
    <w:rsid w:val="00343BDD"/>
    <w:rsid w:val="00344E85"/>
    <w:rsid w:val="0034679F"/>
    <w:rsid w:val="00346CE6"/>
    <w:rsid w:val="003511F5"/>
    <w:rsid w:val="003536B3"/>
    <w:rsid w:val="00354DE2"/>
    <w:rsid w:val="00361A79"/>
    <w:rsid w:val="00366A96"/>
    <w:rsid w:val="00366D7F"/>
    <w:rsid w:val="0037217A"/>
    <w:rsid w:val="00380445"/>
    <w:rsid w:val="0038138A"/>
    <w:rsid w:val="003834E7"/>
    <w:rsid w:val="0039176E"/>
    <w:rsid w:val="0039191E"/>
    <w:rsid w:val="003A098D"/>
    <w:rsid w:val="003A1E11"/>
    <w:rsid w:val="003A4924"/>
    <w:rsid w:val="003A5178"/>
    <w:rsid w:val="003A6386"/>
    <w:rsid w:val="003B0813"/>
    <w:rsid w:val="003C0CD1"/>
    <w:rsid w:val="003D1D6F"/>
    <w:rsid w:val="003D50F1"/>
    <w:rsid w:val="003D7750"/>
    <w:rsid w:val="003E3EB0"/>
    <w:rsid w:val="003F436E"/>
    <w:rsid w:val="0040207C"/>
    <w:rsid w:val="004029E3"/>
    <w:rsid w:val="00404C1A"/>
    <w:rsid w:val="00406B69"/>
    <w:rsid w:val="00413BA3"/>
    <w:rsid w:val="0041484F"/>
    <w:rsid w:val="00416DC9"/>
    <w:rsid w:val="00417663"/>
    <w:rsid w:val="004305AB"/>
    <w:rsid w:val="00430F79"/>
    <w:rsid w:val="00435174"/>
    <w:rsid w:val="00437427"/>
    <w:rsid w:val="00440DE9"/>
    <w:rsid w:val="00443F3A"/>
    <w:rsid w:val="004451F7"/>
    <w:rsid w:val="00453300"/>
    <w:rsid w:val="00453921"/>
    <w:rsid w:val="0046168C"/>
    <w:rsid w:val="0046459B"/>
    <w:rsid w:val="00466BF3"/>
    <w:rsid w:val="004673CE"/>
    <w:rsid w:val="00472E58"/>
    <w:rsid w:val="004740F4"/>
    <w:rsid w:val="004751BF"/>
    <w:rsid w:val="0048008B"/>
    <w:rsid w:val="00482572"/>
    <w:rsid w:val="00485112"/>
    <w:rsid w:val="0049094F"/>
    <w:rsid w:val="00492805"/>
    <w:rsid w:val="0049288D"/>
    <w:rsid w:val="00492894"/>
    <w:rsid w:val="00493E57"/>
    <w:rsid w:val="004A0F77"/>
    <w:rsid w:val="004A1D33"/>
    <w:rsid w:val="004A2B22"/>
    <w:rsid w:val="004A3609"/>
    <w:rsid w:val="004A3793"/>
    <w:rsid w:val="004B2275"/>
    <w:rsid w:val="004B53E9"/>
    <w:rsid w:val="004C1E30"/>
    <w:rsid w:val="004C2F3A"/>
    <w:rsid w:val="004C32A5"/>
    <w:rsid w:val="004C7E5A"/>
    <w:rsid w:val="004D015E"/>
    <w:rsid w:val="004D0437"/>
    <w:rsid w:val="004D182B"/>
    <w:rsid w:val="004D28CC"/>
    <w:rsid w:val="004D3133"/>
    <w:rsid w:val="004D31A0"/>
    <w:rsid w:val="004D3C81"/>
    <w:rsid w:val="004E2250"/>
    <w:rsid w:val="004E57C8"/>
    <w:rsid w:val="004E64BD"/>
    <w:rsid w:val="004F0585"/>
    <w:rsid w:val="004F0709"/>
    <w:rsid w:val="004F2961"/>
    <w:rsid w:val="004F3729"/>
    <w:rsid w:val="004F5CE3"/>
    <w:rsid w:val="004F7EE5"/>
    <w:rsid w:val="005001CC"/>
    <w:rsid w:val="00500E29"/>
    <w:rsid w:val="00504567"/>
    <w:rsid w:val="00504E67"/>
    <w:rsid w:val="00506392"/>
    <w:rsid w:val="00511D08"/>
    <w:rsid w:val="00512FF7"/>
    <w:rsid w:val="00517383"/>
    <w:rsid w:val="005213D3"/>
    <w:rsid w:val="00522ED4"/>
    <w:rsid w:val="00524BC5"/>
    <w:rsid w:val="00532918"/>
    <w:rsid w:val="005360C9"/>
    <w:rsid w:val="0054329A"/>
    <w:rsid w:val="00550EFD"/>
    <w:rsid w:val="00553512"/>
    <w:rsid w:val="0055720D"/>
    <w:rsid w:val="005607A8"/>
    <w:rsid w:val="00560D40"/>
    <w:rsid w:val="005618A3"/>
    <w:rsid w:val="005643C6"/>
    <w:rsid w:val="00565171"/>
    <w:rsid w:val="005661F9"/>
    <w:rsid w:val="00567CC0"/>
    <w:rsid w:val="00571660"/>
    <w:rsid w:val="00572A58"/>
    <w:rsid w:val="00572CA0"/>
    <w:rsid w:val="00574627"/>
    <w:rsid w:val="0057545B"/>
    <w:rsid w:val="005775E8"/>
    <w:rsid w:val="0058427E"/>
    <w:rsid w:val="005871C7"/>
    <w:rsid w:val="00587531"/>
    <w:rsid w:val="00592742"/>
    <w:rsid w:val="005A0EFC"/>
    <w:rsid w:val="005A55F9"/>
    <w:rsid w:val="005B2B1D"/>
    <w:rsid w:val="005B4E04"/>
    <w:rsid w:val="005B5534"/>
    <w:rsid w:val="005C047B"/>
    <w:rsid w:val="005C33E5"/>
    <w:rsid w:val="005C3637"/>
    <w:rsid w:val="005C5E75"/>
    <w:rsid w:val="005C749B"/>
    <w:rsid w:val="005D137A"/>
    <w:rsid w:val="005D1F5D"/>
    <w:rsid w:val="005D5A91"/>
    <w:rsid w:val="005D5E38"/>
    <w:rsid w:val="005E039E"/>
    <w:rsid w:val="005E2FD6"/>
    <w:rsid w:val="005E40F5"/>
    <w:rsid w:val="005F5FAF"/>
    <w:rsid w:val="00600F14"/>
    <w:rsid w:val="00601F16"/>
    <w:rsid w:val="00603DCF"/>
    <w:rsid w:val="006040F6"/>
    <w:rsid w:val="006061EC"/>
    <w:rsid w:val="00613581"/>
    <w:rsid w:val="006135A1"/>
    <w:rsid w:val="00613CCC"/>
    <w:rsid w:val="0061490D"/>
    <w:rsid w:val="0061747B"/>
    <w:rsid w:val="00617D9B"/>
    <w:rsid w:val="00617E84"/>
    <w:rsid w:val="006223DA"/>
    <w:rsid w:val="00624AEE"/>
    <w:rsid w:val="00627927"/>
    <w:rsid w:val="00630D65"/>
    <w:rsid w:val="00635442"/>
    <w:rsid w:val="006365EF"/>
    <w:rsid w:val="00644A7E"/>
    <w:rsid w:val="00647E69"/>
    <w:rsid w:val="00651784"/>
    <w:rsid w:val="00652455"/>
    <w:rsid w:val="00652B30"/>
    <w:rsid w:val="00653024"/>
    <w:rsid w:val="00655476"/>
    <w:rsid w:val="006557FE"/>
    <w:rsid w:val="00657A26"/>
    <w:rsid w:val="006679DA"/>
    <w:rsid w:val="00670179"/>
    <w:rsid w:val="00670A6E"/>
    <w:rsid w:val="006747C2"/>
    <w:rsid w:val="00674E2A"/>
    <w:rsid w:val="00676114"/>
    <w:rsid w:val="00680072"/>
    <w:rsid w:val="00680821"/>
    <w:rsid w:val="0068135C"/>
    <w:rsid w:val="006853B6"/>
    <w:rsid w:val="00687D86"/>
    <w:rsid w:val="00692C4B"/>
    <w:rsid w:val="00697F46"/>
    <w:rsid w:val="00697FED"/>
    <w:rsid w:val="006A4752"/>
    <w:rsid w:val="006A4BAB"/>
    <w:rsid w:val="006A5420"/>
    <w:rsid w:val="006A546B"/>
    <w:rsid w:val="006B6F06"/>
    <w:rsid w:val="006C2DBA"/>
    <w:rsid w:val="006C33D4"/>
    <w:rsid w:val="006C4AE5"/>
    <w:rsid w:val="006C523E"/>
    <w:rsid w:val="006D4873"/>
    <w:rsid w:val="006E50F3"/>
    <w:rsid w:val="006F00F3"/>
    <w:rsid w:val="006F0622"/>
    <w:rsid w:val="006F1456"/>
    <w:rsid w:val="006F59C4"/>
    <w:rsid w:val="006F6C22"/>
    <w:rsid w:val="007015A1"/>
    <w:rsid w:val="00703623"/>
    <w:rsid w:val="00703C43"/>
    <w:rsid w:val="00705B12"/>
    <w:rsid w:val="00712B5A"/>
    <w:rsid w:val="00716411"/>
    <w:rsid w:val="00716AC5"/>
    <w:rsid w:val="00731B61"/>
    <w:rsid w:val="007321D6"/>
    <w:rsid w:val="0073363F"/>
    <w:rsid w:val="00736E44"/>
    <w:rsid w:val="007421AA"/>
    <w:rsid w:val="00744408"/>
    <w:rsid w:val="00755E85"/>
    <w:rsid w:val="007563C6"/>
    <w:rsid w:val="00766BDF"/>
    <w:rsid w:val="00770CA8"/>
    <w:rsid w:val="00771505"/>
    <w:rsid w:val="00776C37"/>
    <w:rsid w:val="007775F7"/>
    <w:rsid w:val="007809E5"/>
    <w:rsid w:val="00781A1B"/>
    <w:rsid w:val="00782827"/>
    <w:rsid w:val="0078627A"/>
    <w:rsid w:val="00787634"/>
    <w:rsid w:val="00791D76"/>
    <w:rsid w:val="007923F7"/>
    <w:rsid w:val="00793FEF"/>
    <w:rsid w:val="007A76D4"/>
    <w:rsid w:val="007B0F9D"/>
    <w:rsid w:val="007B3745"/>
    <w:rsid w:val="007B3B14"/>
    <w:rsid w:val="007C1713"/>
    <w:rsid w:val="007C7343"/>
    <w:rsid w:val="007D0508"/>
    <w:rsid w:val="007E1C01"/>
    <w:rsid w:val="007E2AF4"/>
    <w:rsid w:val="007F21C1"/>
    <w:rsid w:val="007F2238"/>
    <w:rsid w:val="00801B5C"/>
    <w:rsid w:val="00802BD0"/>
    <w:rsid w:val="00802CB3"/>
    <w:rsid w:val="00804AEA"/>
    <w:rsid w:val="008057E6"/>
    <w:rsid w:val="008104F2"/>
    <w:rsid w:val="00813594"/>
    <w:rsid w:val="008148FE"/>
    <w:rsid w:val="008316C2"/>
    <w:rsid w:val="00831E14"/>
    <w:rsid w:val="00833347"/>
    <w:rsid w:val="00834A25"/>
    <w:rsid w:val="00836733"/>
    <w:rsid w:val="008378BB"/>
    <w:rsid w:val="00841DD6"/>
    <w:rsid w:val="008426DC"/>
    <w:rsid w:val="0084673B"/>
    <w:rsid w:val="00851A20"/>
    <w:rsid w:val="00854A0F"/>
    <w:rsid w:val="00870BDF"/>
    <w:rsid w:val="008714DD"/>
    <w:rsid w:val="00871EB7"/>
    <w:rsid w:val="00872F46"/>
    <w:rsid w:val="008759F6"/>
    <w:rsid w:val="00880B16"/>
    <w:rsid w:val="0089380F"/>
    <w:rsid w:val="00893855"/>
    <w:rsid w:val="008A1DB7"/>
    <w:rsid w:val="008A28F1"/>
    <w:rsid w:val="008A295B"/>
    <w:rsid w:val="008A6B66"/>
    <w:rsid w:val="008B4C24"/>
    <w:rsid w:val="008B5B74"/>
    <w:rsid w:val="008C4F92"/>
    <w:rsid w:val="008D09D3"/>
    <w:rsid w:val="008D1991"/>
    <w:rsid w:val="008D2389"/>
    <w:rsid w:val="008D2A1B"/>
    <w:rsid w:val="008D5BD0"/>
    <w:rsid w:val="008E109E"/>
    <w:rsid w:val="008E142F"/>
    <w:rsid w:val="008E2456"/>
    <w:rsid w:val="008E6CF7"/>
    <w:rsid w:val="008E7B0B"/>
    <w:rsid w:val="008F4559"/>
    <w:rsid w:val="008F6525"/>
    <w:rsid w:val="008F674F"/>
    <w:rsid w:val="008F6869"/>
    <w:rsid w:val="00904899"/>
    <w:rsid w:val="00904DFB"/>
    <w:rsid w:val="009052AD"/>
    <w:rsid w:val="009070CD"/>
    <w:rsid w:val="00907793"/>
    <w:rsid w:val="009129F9"/>
    <w:rsid w:val="009158A8"/>
    <w:rsid w:val="00930FF8"/>
    <w:rsid w:val="009332D9"/>
    <w:rsid w:val="00934A09"/>
    <w:rsid w:val="009353B9"/>
    <w:rsid w:val="00936584"/>
    <w:rsid w:val="00941B3E"/>
    <w:rsid w:val="00944488"/>
    <w:rsid w:val="00947D44"/>
    <w:rsid w:val="00947FD5"/>
    <w:rsid w:val="00953259"/>
    <w:rsid w:val="00953F96"/>
    <w:rsid w:val="009541DF"/>
    <w:rsid w:val="0095536E"/>
    <w:rsid w:val="009568B1"/>
    <w:rsid w:val="00956C24"/>
    <w:rsid w:val="009578ED"/>
    <w:rsid w:val="009621A8"/>
    <w:rsid w:val="0096478A"/>
    <w:rsid w:val="00966517"/>
    <w:rsid w:val="00972A1D"/>
    <w:rsid w:val="00973A2F"/>
    <w:rsid w:val="00974862"/>
    <w:rsid w:val="009807FD"/>
    <w:rsid w:val="00983A77"/>
    <w:rsid w:val="00984F9D"/>
    <w:rsid w:val="009877A8"/>
    <w:rsid w:val="0099091C"/>
    <w:rsid w:val="00990BBC"/>
    <w:rsid w:val="009916AE"/>
    <w:rsid w:val="00994046"/>
    <w:rsid w:val="00997E29"/>
    <w:rsid w:val="009A1735"/>
    <w:rsid w:val="009A4908"/>
    <w:rsid w:val="009B34CF"/>
    <w:rsid w:val="009B732E"/>
    <w:rsid w:val="009B7C41"/>
    <w:rsid w:val="009C2757"/>
    <w:rsid w:val="009C3EE3"/>
    <w:rsid w:val="009C6434"/>
    <w:rsid w:val="009D4A15"/>
    <w:rsid w:val="009D4E64"/>
    <w:rsid w:val="009D6D3C"/>
    <w:rsid w:val="009D778A"/>
    <w:rsid w:val="009E0534"/>
    <w:rsid w:val="009E1BB1"/>
    <w:rsid w:val="009E315B"/>
    <w:rsid w:val="009E3832"/>
    <w:rsid w:val="009E41BF"/>
    <w:rsid w:val="009E7794"/>
    <w:rsid w:val="009F10D1"/>
    <w:rsid w:val="00A01091"/>
    <w:rsid w:val="00A038D4"/>
    <w:rsid w:val="00A04DBE"/>
    <w:rsid w:val="00A13007"/>
    <w:rsid w:val="00A13285"/>
    <w:rsid w:val="00A16A81"/>
    <w:rsid w:val="00A3062E"/>
    <w:rsid w:val="00A30FD6"/>
    <w:rsid w:val="00A32DF2"/>
    <w:rsid w:val="00A3667A"/>
    <w:rsid w:val="00A43D29"/>
    <w:rsid w:val="00A50D27"/>
    <w:rsid w:val="00A52583"/>
    <w:rsid w:val="00A52E77"/>
    <w:rsid w:val="00A5355A"/>
    <w:rsid w:val="00A53A10"/>
    <w:rsid w:val="00A6401F"/>
    <w:rsid w:val="00A6581E"/>
    <w:rsid w:val="00A675F9"/>
    <w:rsid w:val="00A716D5"/>
    <w:rsid w:val="00A766DE"/>
    <w:rsid w:val="00A76A3B"/>
    <w:rsid w:val="00A7736A"/>
    <w:rsid w:val="00A83587"/>
    <w:rsid w:val="00A83AAA"/>
    <w:rsid w:val="00A85580"/>
    <w:rsid w:val="00A86EF4"/>
    <w:rsid w:val="00A87C9E"/>
    <w:rsid w:val="00A90E87"/>
    <w:rsid w:val="00A918F0"/>
    <w:rsid w:val="00A92182"/>
    <w:rsid w:val="00A921CC"/>
    <w:rsid w:val="00A92A41"/>
    <w:rsid w:val="00A94770"/>
    <w:rsid w:val="00A9580E"/>
    <w:rsid w:val="00A9731F"/>
    <w:rsid w:val="00AA2D47"/>
    <w:rsid w:val="00AA517C"/>
    <w:rsid w:val="00AA738C"/>
    <w:rsid w:val="00AB0469"/>
    <w:rsid w:val="00AB64D6"/>
    <w:rsid w:val="00AC1166"/>
    <w:rsid w:val="00AC4F7E"/>
    <w:rsid w:val="00AC650A"/>
    <w:rsid w:val="00AC7E17"/>
    <w:rsid w:val="00AD1268"/>
    <w:rsid w:val="00AD25B7"/>
    <w:rsid w:val="00AD4EF5"/>
    <w:rsid w:val="00AD5CEC"/>
    <w:rsid w:val="00AF0ED3"/>
    <w:rsid w:val="00AF118E"/>
    <w:rsid w:val="00AF1D6D"/>
    <w:rsid w:val="00AF1F67"/>
    <w:rsid w:val="00AF2CA1"/>
    <w:rsid w:val="00B04C0D"/>
    <w:rsid w:val="00B057EE"/>
    <w:rsid w:val="00B12A4B"/>
    <w:rsid w:val="00B140B6"/>
    <w:rsid w:val="00B14A69"/>
    <w:rsid w:val="00B17193"/>
    <w:rsid w:val="00B17764"/>
    <w:rsid w:val="00B21C19"/>
    <w:rsid w:val="00B21F71"/>
    <w:rsid w:val="00B248FC"/>
    <w:rsid w:val="00B249DF"/>
    <w:rsid w:val="00B25FFD"/>
    <w:rsid w:val="00B27942"/>
    <w:rsid w:val="00B30FB2"/>
    <w:rsid w:val="00B3158E"/>
    <w:rsid w:val="00B32582"/>
    <w:rsid w:val="00B33791"/>
    <w:rsid w:val="00B3608F"/>
    <w:rsid w:val="00B43B6E"/>
    <w:rsid w:val="00B445F5"/>
    <w:rsid w:val="00B4504C"/>
    <w:rsid w:val="00B46B7D"/>
    <w:rsid w:val="00B46D64"/>
    <w:rsid w:val="00B505DF"/>
    <w:rsid w:val="00B511A3"/>
    <w:rsid w:val="00B51373"/>
    <w:rsid w:val="00B52319"/>
    <w:rsid w:val="00B529B4"/>
    <w:rsid w:val="00B56AA5"/>
    <w:rsid w:val="00B57A0B"/>
    <w:rsid w:val="00B62003"/>
    <w:rsid w:val="00B6303F"/>
    <w:rsid w:val="00B63AC4"/>
    <w:rsid w:val="00B70E35"/>
    <w:rsid w:val="00B7124D"/>
    <w:rsid w:val="00B73549"/>
    <w:rsid w:val="00B739DE"/>
    <w:rsid w:val="00B819F9"/>
    <w:rsid w:val="00B81C80"/>
    <w:rsid w:val="00B859B3"/>
    <w:rsid w:val="00B85BFF"/>
    <w:rsid w:val="00B8617E"/>
    <w:rsid w:val="00B87B85"/>
    <w:rsid w:val="00B90045"/>
    <w:rsid w:val="00B96FA9"/>
    <w:rsid w:val="00BA2B0E"/>
    <w:rsid w:val="00BA2F2C"/>
    <w:rsid w:val="00BA4297"/>
    <w:rsid w:val="00BB1F0C"/>
    <w:rsid w:val="00BB38E6"/>
    <w:rsid w:val="00BB3970"/>
    <w:rsid w:val="00BB5644"/>
    <w:rsid w:val="00BB60B5"/>
    <w:rsid w:val="00BB7E3B"/>
    <w:rsid w:val="00BC0F21"/>
    <w:rsid w:val="00BC41D2"/>
    <w:rsid w:val="00BC4F62"/>
    <w:rsid w:val="00BE023C"/>
    <w:rsid w:val="00BE0673"/>
    <w:rsid w:val="00BE06D4"/>
    <w:rsid w:val="00BE4738"/>
    <w:rsid w:val="00BF223B"/>
    <w:rsid w:val="00BF2D88"/>
    <w:rsid w:val="00BF2F11"/>
    <w:rsid w:val="00C04AB5"/>
    <w:rsid w:val="00C05531"/>
    <w:rsid w:val="00C13AFF"/>
    <w:rsid w:val="00C165C5"/>
    <w:rsid w:val="00C17ABC"/>
    <w:rsid w:val="00C21389"/>
    <w:rsid w:val="00C22D23"/>
    <w:rsid w:val="00C237D9"/>
    <w:rsid w:val="00C247EB"/>
    <w:rsid w:val="00C24AF6"/>
    <w:rsid w:val="00C25672"/>
    <w:rsid w:val="00C27F0C"/>
    <w:rsid w:val="00C3169D"/>
    <w:rsid w:val="00C34BF8"/>
    <w:rsid w:val="00C40C7A"/>
    <w:rsid w:val="00C43522"/>
    <w:rsid w:val="00C442AF"/>
    <w:rsid w:val="00C44C37"/>
    <w:rsid w:val="00C54E20"/>
    <w:rsid w:val="00C55B6D"/>
    <w:rsid w:val="00C57D33"/>
    <w:rsid w:val="00C60F4B"/>
    <w:rsid w:val="00C61464"/>
    <w:rsid w:val="00C62F4C"/>
    <w:rsid w:val="00C64406"/>
    <w:rsid w:val="00C648DD"/>
    <w:rsid w:val="00C65B32"/>
    <w:rsid w:val="00C727C8"/>
    <w:rsid w:val="00C7525B"/>
    <w:rsid w:val="00C75529"/>
    <w:rsid w:val="00C76C04"/>
    <w:rsid w:val="00C7726C"/>
    <w:rsid w:val="00C83C5C"/>
    <w:rsid w:val="00C84235"/>
    <w:rsid w:val="00C87A1D"/>
    <w:rsid w:val="00C9074E"/>
    <w:rsid w:val="00C94B13"/>
    <w:rsid w:val="00C959EE"/>
    <w:rsid w:val="00C96C9C"/>
    <w:rsid w:val="00CA0A9A"/>
    <w:rsid w:val="00CA3D40"/>
    <w:rsid w:val="00CA59AA"/>
    <w:rsid w:val="00CB195B"/>
    <w:rsid w:val="00CB3AC5"/>
    <w:rsid w:val="00CB3F63"/>
    <w:rsid w:val="00CB6BDD"/>
    <w:rsid w:val="00CC1DCB"/>
    <w:rsid w:val="00CC29AD"/>
    <w:rsid w:val="00CC30B1"/>
    <w:rsid w:val="00CD09C3"/>
    <w:rsid w:val="00CD0D26"/>
    <w:rsid w:val="00CD224A"/>
    <w:rsid w:val="00CD243E"/>
    <w:rsid w:val="00CD43BA"/>
    <w:rsid w:val="00CD4A28"/>
    <w:rsid w:val="00CD794F"/>
    <w:rsid w:val="00CD7A8A"/>
    <w:rsid w:val="00CE0B80"/>
    <w:rsid w:val="00CE0C86"/>
    <w:rsid w:val="00CE2F59"/>
    <w:rsid w:val="00CE752F"/>
    <w:rsid w:val="00CF130C"/>
    <w:rsid w:val="00CF2210"/>
    <w:rsid w:val="00CF3779"/>
    <w:rsid w:val="00CF50B7"/>
    <w:rsid w:val="00CF6ACF"/>
    <w:rsid w:val="00D00AB4"/>
    <w:rsid w:val="00D03D82"/>
    <w:rsid w:val="00D21A55"/>
    <w:rsid w:val="00D24689"/>
    <w:rsid w:val="00D24C39"/>
    <w:rsid w:val="00D262A7"/>
    <w:rsid w:val="00D450B4"/>
    <w:rsid w:val="00D45E71"/>
    <w:rsid w:val="00D47382"/>
    <w:rsid w:val="00D5395F"/>
    <w:rsid w:val="00D540CD"/>
    <w:rsid w:val="00D5507C"/>
    <w:rsid w:val="00D63074"/>
    <w:rsid w:val="00D631C8"/>
    <w:rsid w:val="00D636DD"/>
    <w:rsid w:val="00D66A67"/>
    <w:rsid w:val="00D71BF6"/>
    <w:rsid w:val="00D73F2E"/>
    <w:rsid w:val="00D7531E"/>
    <w:rsid w:val="00D755BB"/>
    <w:rsid w:val="00D841AA"/>
    <w:rsid w:val="00D871DC"/>
    <w:rsid w:val="00D91B6F"/>
    <w:rsid w:val="00D91C87"/>
    <w:rsid w:val="00D92480"/>
    <w:rsid w:val="00D932B0"/>
    <w:rsid w:val="00D97B11"/>
    <w:rsid w:val="00DA4976"/>
    <w:rsid w:val="00DA7F49"/>
    <w:rsid w:val="00DB42E8"/>
    <w:rsid w:val="00DB5AD8"/>
    <w:rsid w:val="00DB6A3B"/>
    <w:rsid w:val="00DC119C"/>
    <w:rsid w:val="00DC2A80"/>
    <w:rsid w:val="00DC7F08"/>
    <w:rsid w:val="00DD39D5"/>
    <w:rsid w:val="00DE6313"/>
    <w:rsid w:val="00DF0102"/>
    <w:rsid w:val="00DF40A5"/>
    <w:rsid w:val="00DF5C87"/>
    <w:rsid w:val="00E0174A"/>
    <w:rsid w:val="00E07765"/>
    <w:rsid w:val="00E12CB3"/>
    <w:rsid w:val="00E12F3D"/>
    <w:rsid w:val="00E14542"/>
    <w:rsid w:val="00E16947"/>
    <w:rsid w:val="00E16E90"/>
    <w:rsid w:val="00E21486"/>
    <w:rsid w:val="00E242B6"/>
    <w:rsid w:val="00E2580A"/>
    <w:rsid w:val="00E2767C"/>
    <w:rsid w:val="00E3113E"/>
    <w:rsid w:val="00E325C9"/>
    <w:rsid w:val="00E331DD"/>
    <w:rsid w:val="00E34EAD"/>
    <w:rsid w:val="00E41D96"/>
    <w:rsid w:val="00E42237"/>
    <w:rsid w:val="00E448EE"/>
    <w:rsid w:val="00E454EA"/>
    <w:rsid w:val="00E50083"/>
    <w:rsid w:val="00E50F9B"/>
    <w:rsid w:val="00E5369A"/>
    <w:rsid w:val="00E53DD1"/>
    <w:rsid w:val="00E54455"/>
    <w:rsid w:val="00E56B46"/>
    <w:rsid w:val="00E56CFC"/>
    <w:rsid w:val="00E60377"/>
    <w:rsid w:val="00E61562"/>
    <w:rsid w:val="00E61E71"/>
    <w:rsid w:val="00E6257F"/>
    <w:rsid w:val="00E812BC"/>
    <w:rsid w:val="00E85517"/>
    <w:rsid w:val="00E9020A"/>
    <w:rsid w:val="00E94E6F"/>
    <w:rsid w:val="00E97501"/>
    <w:rsid w:val="00EA0D1B"/>
    <w:rsid w:val="00EA11C4"/>
    <w:rsid w:val="00EA2435"/>
    <w:rsid w:val="00EA33D0"/>
    <w:rsid w:val="00EA63D4"/>
    <w:rsid w:val="00EA6E26"/>
    <w:rsid w:val="00EA7041"/>
    <w:rsid w:val="00EB5757"/>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7F4"/>
    <w:rsid w:val="00F349D7"/>
    <w:rsid w:val="00F3568E"/>
    <w:rsid w:val="00F37BFD"/>
    <w:rsid w:val="00F402D3"/>
    <w:rsid w:val="00F420B5"/>
    <w:rsid w:val="00F5344B"/>
    <w:rsid w:val="00F54A07"/>
    <w:rsid w:val="00F5576C"/>
    <w:rsid w:val="00F569EE"/>
    <w:rsid w:val="00F56DA5"/>
    <w:rsid w:val="00F60CBF"/>
    <w:rsid w:val="00F62A95"/>
    <w:rsid w:val="00F66B38"/>
    <w:rsid w:val="00F66B9A"/>
    <w:rsid w:val="00F701B9"/>
    <w:rsid w:val="00F7483F"/>
    <w:rsid w:val="00F8488C"/>
    <w:rsid w:val="00F912CE"/>
    <w:rsid w:val="00F91AC7"/>
    <w:rsid w:val="00F92841"/>
    <w:rsid w:val="00F94ECD"/>
    <w:rsid w:val="00F97D64"/>
    <w:rsid w:val="00FA035F"/>
    <w:rsid w:val="00FA107B"/>
    <w:rsid w:val="00FA56E7"/>
    <w:rsid w:val="00FC1AF5"/>
    <w:rsid w:val="00FC3083"/>
    <w:rsid w:val="00FC350F"/>
    <w:rsid w:val="00FC4460"/>
    <w:rsid w:val="00FC6083"/>
    <w:rsid w:val="00FC7FA1"/>
    <w:rsid w:val="00FD20B0"/>
    <w:rsid w:val="00FD3F9C"/>
    <w:rsid w:val="00FD4D83"/>
    <w:rsid w:val="00FD5122"/>
    <w:rsid w:val="00FD5677"/>
    <w:rsid w:val="00FD57A0"/>
    <w:rsid w:val="00FE0261"/>
    <w:rsid w:val="00FE0A2B"/>
    <w:rsid w:val="00FE40ED"/>
    <w:rsid w:val="00FE498C"/>
    <w:rsid w:val="00FE5677"/>
    <w:rsid w:val="00FE5FB1"/>
    <w:rsid w:val="00FE6E4A"/>
    <w:rsid w:val="00FF0380"/>
    <w:rsid w:val="00FF0551"/>
    <w:rsid w:val="00FF330C"/>
    <w:rsid w:val="00FF3437"/>
    <w:rsid w:val="00FF3B13"/>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3BDC4A-DD6E-4642-AEA4-A77A8D0A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qFormat/>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056955">
      <w:bodyDiv w:val="1"/>
      <w:marLeft w:val="0"/>
      <w:marRight w:val="0"/>
      <w:marTop w:val="0"/>
      <w:marBottom w:val="0"/>
      <w:divBdr>
        <w:top w:val="none" w:sz="0" w:space="0" w:color="auto"/>
        <w:left w:val="none" w:sz="0" w:space="0" w:color="auto"/>
        <w:bottom w:val="none" w:sz="0" w:space="0" w:color="auto"/>
        <w:right w:val="none" w:sz="0" w:space="0" w:color="auto"/>
      </w:divBdr>
    </w:div>
    <w:div w:id="479350308">
      <w:bodyDiv w:val="1"/>
      <w:marLeft w:val="0"/>
      <w:marRight w:val="0"/>
      <w:marTop w:val="0"/>
      <w:marBottom w:val="0"/>
      <w:divBdr>
        <w:top w:val="none" w:sz="0" w:space="0" w:color="auto"/>
        <w:left w:val="none" w:sz="0" w:space="0" w:color="auto"/>
        <w:bottom w:val="none" w:sz="0" w:space="0" w:color="auto"/>
        <w:right w:val="none" w:sz="0" w:space="0" w:color="auto"/>
      </w:divBdr>
    </w:div>
    <w:div w:id="517430345">
      <w:bodyDiv w:val="1"/>
      <w:marLeft w:val="0"/>
      <w:marRight w:val="0"/>
      <w:marTop w:val="0"/>
      <w:marBottom w:val="0"/>
      <w:divBdr>
        <w:top w:val="none" w:sz="0" w:space="0" w:color="auto"/>
        <w:left w:val="none" w:sz="0" w:space="0" w:color="auto"/>
        <w:bottom w:val="none" w:sz="0" w:space="0" w:color="auto"/>
        <w:right w:val="none" w:sz="0" w:space="0" w:color="auto"/>
      </w:divBdr>
    </w:div>
    <w:div w:id="735083676">
      <w:bodyDiv w:val="1"/>
      <w:marLeft w:val="0"/>
      <w:marRight w:val="0"/>
      <w:marTop w:val="0"/>
      <w:marBottom w:val="0"/>
      <w:divBdr>
        <w:top w:val="none" w:sz="0" w:space="0" w:color="auto"/>
        <w:left w:val="none" w:sz="0" w:space="0" w:color="auto"/>
        <w:bottom w:val="none" w:sz="0" w:space="0" w:color="auto"/>
        <w:right w:val="none" w:sz="0" w:space="0" w:color="auto"/>
      </w:divBdr>
    </w:div>
    <w:div w:id="976185215">
      <w:bodyDiv w:val="1"/>
      <w:marLeft w:val="0"/>
      <w:marRight w:val="0"/>
      <w:marTop w:val="0"/>
      <w:marBottom w:val="0"/>
      <w:divBdr>
        <w:top w:val="none" w:sz="0" w:space="0" w:color="auto"/>
        <w:left w:val="none" w:sz="0" w:space="0" w:color="auto"/>
        <w:bottom w:val="none" w:sz="0" w:space="0" w:color="auto"/>
        <w:right w:val="none" w:sz="0" w:space="0" w:color="auto"/>
      </w:divBdr>
    </w:div>
    <w:div w:id="1010571823">
      <w:bodyDiv w:val="1"/>
      <w:marLeft w:val="0"/>
      <w:marRight w:val="0"/>
      <w:marTop w:val="0"/>
      <w:marBottom w:val="0"/>
      <w:divBdr>
        <w:top w:val="none" w:sz="0" w:space="0" w:color="auto"/>
        <w:left w:val="none" w:sz="0" w:space="0" w:color="auto"/>
        <w:bottom w:val="none" w:sz="0" w:space="0" w:color="auto"/>
        <w:right w:val="none" w:sz="0" w:space="0" w:color="auto"/>
      </w:divBdr>
    </w:div>
    <w:div w:id="1068923760">
      <w:bodyDiv w:val="1"/>
      <w:marLeft w:val="0"/>
      <w:marRight w:val="0"/>
      <w:marTop w:val="0"/>
      <w:marBottom w:val="0"/>
      <w:divBdr>
        <w:top w:val="none" w:sz="0" w:space="0" w:color="auto"/>
        <w:left w:val="none" w:sz="0" w:space="0" w:color="auto"/>
        <w:bottom w:val="none" w:sz="0" w:space="0" w:color="auto"/>
        <w:right w:val="none" w:sz="0" w:space="0" w:color="auto"/>
      </w:divBdr>
    </w:div>
    <w:div w:id="1421677539">
      <w:bodyDiv w:val="1"/>
      <w:marLeft w:val="0"/>
      <w:marRight w:val="0"/>
      <w:marTop w:val="0"/>
      <w:marBottom w:val="0"/>
      <w:divBdr>
        <w:top w:val="none" w:sz="0" w:space="0" w:color="auto"/>
        <w:left w:val="none" w:sz="0" w:space="0" w:color="auto"/>
        <w:bottom w:val="none" w:sz="0" w:space="0" w:color="auto"/>
        <w:right w:val="none" w:sz="0" w:space="0" w:color="auto"/>
      </w:divBdr>
    </w:div>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83274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759F6-87A5-4732-81DB-7B77585E8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347</Words>
  <Characters>1980</Characters>
  <Application>Microsoft Office Word</Application>
  <DocSecurity>0</DocSecurity>
  <Lines>16</Lines>
  <Paragraphs>4</Paragraphs>
  <ScaleCrop>false</ScaleCrop>
  <Company/>
  <LinksUpToDate>false</LinksUpToDate>
  <CharactersWithSpaces>2323</CharactersWithSpaces>
  <SharedDoc>false</SharedDoc>
  <HLinks>
    <vt:vector size="30" baseType="variant">
      <vt:variant>
        <vt:i4>1114160</vt:i4>
      </vt:variant>
      <vt:variant>
        <vt:i4>26</vt:i4>
      </vt:variant>
      <vt:variant>
        <vt:i4>0</vt:i4>
      </vt:variant>
      <vt:variant>
        <vt:i4>5</vt:i4>
      </vt:variant>
      <vt:variant>
        <vt:lpwstr/>
      </vt:variant>
      <vt:variant>
        <vt:lpwstr>_Toc218085228</vt:lpwstr>
      </vt:variant>
      <vt:variant>
        <vt:i4>1114160</vt:i4>
      </vt:variant>
      <vt:variant>
        <vt:i4>20</vt:i4>
      </vt:variant>
      <vt:variant>
        <vt:i4>0</vt:i4>
      </vt:variant>
      <vt:variant>
        <vt:i4>5</vt:i4>
      </vt:variant>
      <vt:variant>
        <vt:lpwstr/>
      </vt:variant>
      <vt:variant>
        <vt:lpwstr>_Toc218085227</vt:lpwstr>
      </vt:variant>
      <vt:variant>
        <vt:i4>1114160</vt:i4>
      </vt:variant>
      <vt:variant>
        <vt:i4>14</vt:i4>
      </vt:variant>
      <vt:variant>
        <vt:i4>0</vt:i4>
      </vt:variant>
      <vt:variant>
        <vt:i4>5</vt:i4>
      </vt:variant>
      <vt:variant>
        <vt:lpwstr/>
      </vt:variant>
      <vt:variant>
        <vt:lpwstr>_Toc218085226</vt:lpwstr>
      </vt:variant>
      <vt:variant>
        <vt:i4>1114160</vt:i4>
      </vt:variant>
      <vt:variant>
        <vt:i4>8</vt:i4>
      </vt:variant>
      <vt:variant>
        <vt:i4>0</vt:i4>
      </vt:variant>
      <vt:variant>
        <vt:i4>5</vt:i4>
      </vt:variant>
      <vt:variant>
        <vt:lpwstr/>
      </vt:variant>
      <vt:variant>
        <vt:lpwstr>_Toc218085225</vt:lpwstr>
      </vt:variant>
      <vt:variant>
        <vt:i4>1114160</vt:i4>
      </vt:variant>
      <vt:variant>
        <vt:i4>2</vt:i4>
      </vt:variant>
      <vt:variant>
        <vt:i4>0</vt:i4>
      </vt:variant>
      <vt:variant>
        <vt:i4>5</vt:i4>
      </vt:variant>
      <vt:variant>
        <vt:lpwstr/>
      </vt:variant>
      <vt:variant>
        <vt:lpwstr>_Toc218085224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2025-11-24T09:34:00Z</cp:lastPrinted>
  <dcterms:created xsi:type="dcterms:W3CDTF">2025-12-31T07:02:00Z</dcterms:created>
  <dcterms:modified xsi:type="dcterms:W3CDTF">2025-12-31T07:02:00Z</dcterms:modified>
</cp:coreProperties>
</file>