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BD" w:rsidRDefault="000F16BD" w:rsidP="000F16BD">
      <w:pPr>
        <w:pStyle w:val="aa"/>
        <w:rPr>
          <w:rFonts w:hint="eastAsia"/>
        </w:rPr>
      </w:pPr>
      <w:r>
        <w:rPr>
          <w:rFonts w:hint="eastAsia"/>
        </w:rPr>
        <w:t>核能安全委員會及所屬113年度決算評估報告</w:t>
      </w:r>
    </w:p>
    <w:p w:rsidR="000F16BD" w:rsidRDefault="000F16BD" w:rsidP="000F16BD">
      <w:pPr>
        <w:pStyle w:val="a8"/>
        <w:ind w:firstLine="566"/>
        <w:rPr>
          <w:rFonts w:hint="eastAsia"/>
        </w:rPr>
      </w:pPr>
      <w:r>
        <w:rPr>
          <w:rFonts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w:t>
      </w:r>
    </w:p>
    <w:p w:rsidR="000F16BD" w:rsidRDefault="000F16BD" w:rsidP="000F16BD">
      <w:pPr>
        <w:pStyle w:val="a8"/>
        <w:ind w:firstLine="566"/>
        <w:rPr>
          <w:rFonts w:hint="eastAsia"/>
        </w:rPr>
      </w:pPr>
      <w:r>
        <w:rPr>
          <w:rFonts w:hint="eastAsia"/>
        </w:rPr>
        <w:t>核安會及所屬113年度歲入預算數1億4,282萬4千元、決算審定數1億2,708萬1千元，預算達成率88.98%，歲出預算數29億5,822萬元、決算審定數28億6,473萬5千元(含實現數24億4,578萬9千元及保留數4億1,894萬6千元)，預算執行率96.84%；核子事故緊急應變基金(以下稱核子事故基金)係屬特別收入基金，113年度決算審定賸餘2,580萬7千元，較預算賸餘1,930萬3千元增加650萬4千元(增幅33.70%)。謹就核安會及所屬、核子事故基金113年度決算評估如下：</w:t>
      </w:r>
    </w:p>
    <w:p w:rsidR="00E812BC" w:rsidRPr="00E812BC" w:rsidRDefault="00E812BC" w:rsidP="00E812BC">
      <w:pPr>
        <w:pStyle w:val="14"/>
        <w:ind w:left="567" w:hanging="567"/>
        <w:rPr>
          <w:rFonts w:hint="eastAsia"/>
        </w:rPr>
      </w:pPr>
      <w:bookmarkStart w:id="0" w:name="_Toc218085228"/>
      <w:r w:rsidRPr="00E812BC">
        <w:rPr>
          <w:rFonts w:hint="eastAsia"/>
        </w:rPr>
        <w:t>三、南北放射性分析備援實驗室啟用迄今多年，惟實際檢測量仍遠低於最大檢測量，允宜研謀精進，俾增設置效益</w:t>
      </w:r>
      <w:bookmarkEnd w:id="0"/>
    </w:p>
    <w:p w:rsidR="00E812BC" w:rsidRPr="00E812BC" w:rsidRDefault="00E812BC" w:rsidP="00E812BC">
      <w:pPr>
        <w:ind w:left="566" w:firstLine="566"/>
        <w:rPr>
          <w:rFonts w:hint="eastAsia"/>
        </w:rPr>
      </w:pPr>
      <w:r w:rsidRPr="00E812BC">
        <w:rPr>
          <w:rFonts w:hint="eastAsia"/>
        </w:rPr>
        <w:t>核子事故基金「核子事故中央災害應變工作計畫」下之「北部輻射災害檢驗分析備援實驗室能力精進補助計畫」及「南部放射性分析備援實驗室環境試樣檢測能力精進及民眾輻射風險溝通補助計畫」113年度決算數各150萬元，合共300萬元。茲說明如下：</w:t>
      </w:r>
    </w:p>
    <w:p w:rsidR="00E812BC" w:rsidRPr="00E812BC" w:rsidRDefault="00E812BC" w:rsidP="00E812BC">
      <w:pPr>
        <w:pStyle w:val="a4"/>
        <w:ind w:left="849" w:hanging="283"/>
        <w:rPr>
          <w:rFonts w:hint="eastAsia"/>
        </w:rPr>
      </w:pPr>
      <w:r w:rsidRPr="00E812BC">
        <w:rPr>
          <w:rFonts w:hint="eastAsia"/>
        </w:rPr>
        <w:t>(一)為增加國內對放射性核種分析量能，核安會委託國立陽明大學及屏東科技大學建置北、南部備援實驗室，並分別於108年及107年間啟用</w:t>
      </w:r>
    </w:p>
    <w:p w:rsidR="00E812BC" w:rsidRPr="00E812BC" w:rsidRDefault="00E812BC" w:rsidP="00E812BC">
      <w:pPr>
        <w:pStyle w:val="21"/>
        <w:ind w:left="850" w:firstLine="566"/>
        <w:rPr>
          <w:rFonts w:hint="eastAsia"/>
        </w:rPr>
      </w:pPr>
      <w:r w:rsidRPr="00E812BC">
        <w:rPr>
          <w:rFonts w:hint="eastAsia"/>
        </w:rPr>
        <w:t>鑒於日本福島核電廠事故經驗，原子能委員會(112年9月27日改制為核安會，下稱核安會)考量災害防救備援能量需超前</w:t>
      </w:r>
      <w:r w:rsidRPr="00E812BC">
        <w:rPr>
          <w:rFonts w:hint="eastAsia"/>
        </w:rPr>
        <w:lastRenderedPageBreak/>
        <w:t>部署，爰委託國立陽明交通大學、屏東科技大學分別於北部及南部地區建置備援實驗室，以增加國內對放射性核種分析量能，其中國立陽明交通大學建置之北部輻射災害檢驗分析備援實驗室(以下稱北部備援實驗室)於108年11月啟用、總建置經費1,687萬1千元；國立屏東科技大學建置之南部放射性分析備援實驗室(以下稱南部備援實驗室)於107年10月啟用、總建置經費1,330萬元。</w:t>
      </w:r>
    </w:p>
    <w:p w:rsidR="00E812BC" w:rsidRPr="00E812BC" w:rsidRDefault="00E812BC" w:rsidP="00E812BC">
      <w:pPr>
        <w:pStyle w:val="a4"/>
        <w:ind w:left="849" w:hanging="283"/>
        <w:rPr>
          <w:rFonts w:hint="eastAsia"/>
        </w:rPr>
      </w:pPr>
      <w:r w:rsidRPr="00E812BC">
        <w:rPr>
          <w:rFonts w:hint="eastAsia"/>
        </w:rPr>
        <w:t>(二)南北備援實驗室109至113年度實際檢驗量均未逾千件，遠低最大檢測量3,800件</w:t>
      </w:r>
    </w:p>
    <w:p w:rsidR="00E812BC" w:rsidRDefault="00E812BC" w:rsidP="00E812BC">
      <w:pPr>
        <w:pStyle w:val="21"/>
        <w:ind w:left="850" w:firstLine="566"/>
      </w:pPr>
      <w:r w:rsidRPr="00E812BC">
        <w:rPr>
          <w:rFonts w:hint="eastAsia"/>
        </w:rPr>
        <w:t>核子事故基金109至113年度每年補助北部備援實驗室維運管理經費介於141萬6千元至167萬8千元間；另核安會109至112年度每年補助南部備援實驗室維運管理經費介於190至230萬元間，核子事故基金113年度補助該實驗室150萬元(詳表1)。據核安會提供資料顯示，北部及南部備援實驗室109至113年度實際檢驗量各介於90至515件及345至949件(詳表1)，雖概呈增加，惟均未達千件以上，與兩實驗室最大檢測量3,800件存有甚多差距，尚有精進空間，允待賡續精進，以增進實驗室設置效益。</w:t>
      </w:r>
    </w:p>
    <w:p w:rsidR="00E812BC" w:rsidRPr="009127C7" w:rsidRDefault="00E812BC" w:rsidP="00E812BC">
      <w:pPr>
        <w:pStyle w:val="123"/>
        <w:ind w:leftChars="20" w:hangingChars="121" w:hanging="343"/>
        <w:rPr>
          <w:b w:val="0"/>
        </w:rPr>
      </w:pPr>
      <w:r w:rsidRPr="009127C7">
        <w:rPr>
          <w:rFonts w:hint="eastAsia"/>
          <w:b w:val="0"/>
        </w:rPr>
        <w:t>表</w:t>
      </w:r>
      <w:r>
        <w:rPr>
          <w:rFonts w:hint="eastAsia"/>
          <w:b w:val="0"/>
        </w:rPr>
        <w:t>1</w:t>
      </w:r>
      <w:r w:rsidRPr="009127C7">
        <w:rPr>
          <w:rFonts w:hint="eastAsia"/>
          <w:b w:val="0"/>
        </w:rPr>
        <w:t xml:space="preserve">  南、北部放射性分析備援實驗室維管經費及實際檢驗</w:t>
      </w:r>
      <w:r>
        <w:rPr>
          <w:rFonts w:hint="eastAsia"/>
          <w:b w:val="0"/>
        </w:rPr>
        <w:t>量概況</w:t>
      </w:r>
      <w:r w:rsidRPr="009127C7">
        <w:rPr>
          <w:rFonts w:hint="eastAsia"/>
          <w:b w:val="0"/>
        </w:rPr>
        <w:t>表</w:t>
      </w:r>
    </w:p>
    <w:p w:rsidR="00E812BC" w:rsidRPr="009127C7" w:rsidRDefault="00E812BC" w:rsidP="00E812BC">
      <w:pPr>
        <w:pStyle w:val="123"/>
        <w:spacing w:line="360" w:lineRule="exact"/>
        <w:ind w:leftChars="20" w:hangingChars="121" w:hanging="343"/>
        <w:rPr>
          <w:rFonts w:hint="eastAsia"/>
          <w:sz w:val="24"/>
          <w:szCs w:val="24"/>
        </w:rPr>
      </w:pPr>
      <w:r>
        <w:rPr>
          <w:rFonts w:hint="eastAsia"/>
        </w:rPr>
        <w:t xml:space="preserve">                                           </w:t>
      </w:r>
      <w:r w:rsidRPr="009127C7">
        <w:rPr>
          <w:rFonts w:hint="eastAsia"/>
          <w:sz w:val="24"/>
          <w:szCs w:val="24"/>
        </w:rPr>
        <w:t>單位：新臺幣千元；件</w:t>
      </w:r>
    </w:p>
    <w:tbl>
      <w:tblPr>
        <w:tblW w:w="8483" w:type="dxa"/>
        <w:tblInd w:w="70" w:type="dxa"/>
        <w:tblLayout w:type="fixed"/>
        <w:tblCellMar>
          <w:left w:w="28" w:type="dxa"/>
          <w:right w:w="28" w:type="dxa"/>
        </w:tblCellMar>
        <w:tblLook w:val="04A0" w:firstRow="1" w:lastRow="0" w:firstColumn="1" w:lastColumn="0" w:noHBand="0" w:noVBand="1"/>
      </w:tblPr>
      <w:tblGrid>
        <w:gridCol w:w="1652"/>
        <w:gridCol w:w="1425"/>
        <w:gridCol w:w="1795"/>
        <w:gridCol w:w="1553"/>
        <w:gridCol w:w="2058"/>
      </w:tblGrid>
      <w:tr w:rsidR="00E812BC" w:rsidRPr="00E812BC" w:rsidTr="003077CD">
        <w:trPr>
          <w:tblHeader/>
        </w:trPr>
        <w:tc>
          <w:tcPr>
            <w:tcW w:w="1652" w:type="dxa"/>
            <w:vMerge w:val="restart"/>
            <w:tcBorders>
              <w:top w:val="single" w:sz="12" w:space="0" w:color="auto"/>
              <w:left w:val="single" w:sz="12" w:space="0" w:color="auto"/>
              <w:right w:val="single" w:sz="4" w:space="0" w:color="auto"/>
            </w:tcBorders>
            <w:shd w:val="clear" w:color="auto" w:fill="auto"/>
            <w:noWrap/>
            <w:vAlign w:val="center"/>
            <w:hideMark/>
          </w:tcPr>
          <w:p w:rsidR="00E812BC" w:rsidRPr="00E812BC" w:rsidRDefault="00E812BC" w:rsidP="00E812BC">
            <w:pPr>
              <w:pStyle w:val="142"/>
              <w:jc w:val="center"/>
            </w:pPr>
            <w:r w:rsidRPr="00E812BC">
              <w:rPr>
                <w:rFonts w:hint="eastAsia"/>
              </w:rPr>
              <w:t>年度</w:t>
            </w:r>
          </w:p>
        </w:tc>
        <w:tc>
          <w:tcPr>
            <w:tcW w:w="3220" w:type="dxa"/>
            <w:gridSpan w:val="2"/>
            <w:tcBorders>
              <w:top w:val="single" w:sz="12" w:space="0" w:color="auto"/>
              <w:left w:val="nil"/>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北部備援實驗室( 陽明交大)</w:t>
            </w:r>
          </w:p>
        </w:tc>
        <w:tc>
          <w:tcPr>
            <w:tcW w:w="3611" w:type="dxa"/>
            <w:gridSpan w:val="2"/>
            <w:tcBorders>
              <w:top w:val="single" w:sz="12" w:space="0" w:color="auto"/>
              <w:left w:val="nil"/>
              <w:bottom w:val="single" w:sz="4" w:space="0" w:color="auto"/>
              <w:right w:val="single" w:sz="12"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南部備援實驗室(屏東科大)</w:t>
            </w:r>
          </w:p>
        </w:tc>
      </w:tr>
      <w:tr w:rsidR="00E812BC" w:rsidRPr="00E812BC" w:rsidTr="003077CD">
        <w:trPr>
          <w:tblHeader/>
        </w:trPr>
        <w:tc>
          <w:tcPr>
            <w:tcW w:w="1652" w:type="dxa"/>
            <w:vMerge/>
            <w:tcBorders>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center"/>
              <w:rPr>
                <w:rFonts w:hint="eastAsia"/>
              </w:rPr>
            </w:pPr>
            <w:r w:rsidRPr="00E812BC">
              <w:rPr>
                <w:rFonts w:hint="eastAsia"/>
              </w:rPr>
              <w:t>維管經費</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center"/>
              <w:rPr>
                <w:rFonts w:hint="eastAsia"/>
              </w:rPr>
            </w:pPr>
            <w:r w:rsidRPr="00E812BC">
              <w:rPr>
                <w:rFonts w:hint="eastAsia"/>
              </w:rPr>
              <w:t>每年實際檢驗量</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center"/>
              <w:rPr>
                <w:rFonts w:hint="eastAsia"/>
              </w:rPr>
            </w:pPr>
            <w:r w:rsidRPr="00E812BC">
              <w:rPr>
                <w:rFonts w:hint="eastAsia"/>
              </w:rPr>
              <w:t>維管經費</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center"/>
              <w:rPr>
                <w:rFonts w:hint="eastAsia"/>
              </w:rPr>
            </w:pPr>
            <w:r w:rsidRPr="00E812BC">
              <w:rPr>
                <w:rFonts w:hint="eastAsia"/>
              </w:rPr>
              <w:t>每年實際檢驗量</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105至108</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230</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4,850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632</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109</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1,416</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94</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2,100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345</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110</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1,678</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90</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2,100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446</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111</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1,486</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412</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1,900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496</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112</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1,550</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515</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2,300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418</w:t>
            </w:r>
          </w:p>
        </w:tc>
      </w:tr>
      <w:tr w:rsidR="00E812BC" w:rsidRPr="00E812BC" w:rsidTr="003077CD">
        <w:tc>
          <w:tcPr>
            <w:tcW w:w="1652" w:type="dxa"/>
            <w:tcBorders>
              <w:top w:val="nil"/>
              <w:left w:val="single" w:sz="12" w:space="0" w:color="auto"/>
              <w:bottom w:val="single" w:sz="12"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113</w:t>
            </w:r>
          </w:p>
        </w:tc>
        <w:tc>
          <w:tcPr>
            <w:tcW w:w="1425" w:type="dxa"/>
            <w:tcBorders>
              <w:top w:val="nil"/>
              <w:left w:val="nil"/>
              <w:bottom w:val="single" w:sz="12"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1,500</w:t>
            </w:r>
          </w:p>
        </w:tc>
        <w:tc>
          <w:tcPr>
            <w:tcW w:w="1795" w:type="dxa"/>
            <w:tcBorders>
              <w:top w:val="nil"/>
              <w:left w:val="nil"/>
              <w:bottom w:val="single" w:sz="12"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481</w:t>
            </w:r>
          </w:p>
        </w:tc>
        <w:tc>
          <w:tcPr>
            <w:tcW w:w="1553" w:type="dxa"/>
            <w:tcBorders>
              <w:top w:val="nil"/>
              <w:left w:val="nil"/>
              <w:bottom w:val="single" w:sz="12" w:space="0" w:color="auto"/>
              <w:right w:val="single" w:sz="4"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1,500</w:t>
            </w:r>
          </w:p>
        </w:tc>
        <w:tc>
          <w:tcPr>
            <w:tcW w:w="2058" w:type="dxa"/>
            <w:tcBorders>
              <w:top w:val="nil"/>
              <w:left w:val="nil"/>
              <w:bottom w:val="single" w:sz="12" w:space="0" w:color="auto"/>
              <w:right w:val="single" w:sz="12"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949</w:t>
            </w:r>
          </w:p>
        </w:tc>
      </w:tr>
    </w:tbl>
    <w:p w:rsidR="00E812BC" w:rsidRPr="00E812BC" w:rsidRDefault="00E812BC" w:rsidP="00E812BC">
      <w:pPr>
        <w:pStyle w:val="142"/>
      </w:pPr>
      <w:r w:rsidRPr="00E812BC">
        <w:rPr>
          <w:rFonts w:hint="eastAsia"/>
        </w:rPr>
        <w:t>說    明：表列「維管經費」為決算數。</w:t>
      </w:r>
    </w:p>
    <w:p w:rsidR="00E812BC" w:rsidRDefault="00E812BC" w:rsidP="00E812BC">
      <w:pPr>
        <w:pStyle w:val="142"/>
      </w:pPr>
      <w:r w:rsidRPr="00E812BC">
        <w:rPr>
          <w:rFonts w:hint="eastAsia"/>
        </w:rPr>
        <w:t>資料來源：彙整自核安會提供資料。</w:t>
      </w:r>
    </w:p>
    <w:p w:rsidR="00E812BC" w:rsidRDefault="00E812BC" w:rsidP="00E812BC">
      <w:pPr>
        <w:ind w:left="566" w:firstLine="566"/>
      </w:pPr>
      <w:r w:rsidRPr="00E812BC">
        <w:rPr>
          <w:rFonts w:hint="eastAsia"/>
        </w:rPr>
        <w:t>綜上，核安會委託國立陽明交通大學及屏東科技大學建置放</w:t>
      </w:r>
      <w:r w:rsidRPr="00E812BC">
        <w:rPr>
          <w:rFonts w:hint="eastAsia"/>
        </w:rPr>
        <w:lastRenderedPageBreak/>
        <w:t>射性分析備援實驗室，並補助維運管理經費，惟啟用迄113年度止，實際檢測量仍遠低於最大檢測量，允宜研謀精進，以增進設置效益。</w:t>
      </w:r>
    </w:p>
    <w:p w:rsidR="00E812BC" w:rsidRPr="0042564F" w:rsidRDefault="00E812BC" w:rsidP="00E812BC">
      <w:pPr>
        <w:pStyle w:val="ab"/>
        <w:ind w:left="566" w:firstLine="566"/>
      </w:pPr>
      <w:r w:rsidRPr="0042564F">
        <w:rPr>
          <w:rFonts w:hint="eastAsia"/>
        </w:rPr>
        <w:t>(分機：865</w:t>
      </w:r>
      <w:r>
        <w:rPr>
          <w:rFonts w:hint="eastAsia"/>
        </w:rPr>
        <w:t>3</w:t>
      </w:r>
      <w:r w:rsidRPr="0042564F">
        <w:rPr>
          <w:rFonts w:hint="eastAsia"/>
        </w:rPr>
        <w:t xml:space="preserve"> </w:t>
      </w:r>
      <w:r>
        <w:rPr>
          <w:rFonts w:hint="eastAsia"/>
        </w:rPr>
        <w:t>江穗美</w:t>
      </w:r>
      <w:r w:rsidRPr="0042564F">
        <w:rPr>
          <w:rFonts w:hint="eastAsia"/>
        </w:rPr>
        <w:t>)</w:t>
      </w:r>
      <w:bookmarkStart w:id="1" w:name="_GoBack"/>
      <w:bookmarkEnd w:id="1"/>
    </w:p>
    <w:sectPr w:rsidR="00E812BC" w:rsidRPr="0042564F" w:rsidSect="00F347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CD" w:rsidRDefault="003077CD" w:rsidP="009B732E">
      <w:pPr>
        <w:spacing w:line="240" w:lineRule="auto"/>
        <w:ind w:left="560" w:firstLine="560"/>
      </w:pPr>
      <w:r>
        <w:separator/>
      </w:r>
    </w:p>
  </w:endnote>
  <w:endnote w:type="continuationSeparator" w:id="0">
    <w:p w:rsidR="003077CD" w:rsidRDefault="003077C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rsidP="00BA2F2C">
    <w:pPr>
      <w:pStyle w:val="af0"/>
      <w:ind w:leftChars="0" w:left="0" w:firstLineChars="0" w:firstLine="0"/>
      <w:jc w:val="center"/>
    </w:pPr>
    <w:r>
      <w:fldChar w:fldCharType="begin"/>
    </w:r>
    <w:r>
      <w:instrText>PAGE   \* MERGEFORMAT</w:instrText>
    </w:r>
    <w:r>
      <w:fldChar w:fldCharType="separate"/>
    </w:r>
    <w:r w:rsidR="009D3C44" w:rsidRPr="009D3C4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CD" w:rsidRDefault="003077CD" w:rsidP="009B732E">
      <w:pPr>
        <w:spacing w:line="240" w:lineRule="auto"/>
        <w:ind w:left="560" w:firstLine="560"/>
      </w:pPr>
      <w:r>
        <w:separator/>
      </w:r>
    </w:p>
  </w:footnote>
  <w:footnote w:type="continuationSeparator" w:id="0">
    <w:p w:rsidR="003077CD" w:rsidRDefault="003077CD"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4DC"/>
    <w:multiLevelType w:val="hybridMultilevel"/>
    <w:tmpl w:val="E8FC9E64"/>
    <w:lvl w:ilvl="0" w:tplc="780CC77E">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9F7798C"/>
    <w:multiLevelType w:val="hybridMultilevel"/>
    <w:tmpl w:val="79FE9736"/>
    <w:lvl w:ilvl="0" w:tplc="BB9860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407C3"/>
    <w:multiLevelType w:val="hybridMultilevel"/>
    <w:tmpl w:val="00AC0E5A"/>
    <w:lvl w:ilvl="0" w:tplc="77E88D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5"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6" w15:restartNumberingAfterBreak="0">
    <w:nsid w:val="21F27468"/>
    <w:multiLevelType w:val="hybridMultilevel"/>
    <w:tmpl w:val="C6D0AEB8"/>
    <w:lvl w:ilvl="0" w:tplc="AC70D96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2"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6"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8"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77A01D0"/>
    <w:multiLevelType w:val="hybridMultilevel"/>
    <w:tmpl w:val="955A2F18"/>
    <w:lvl w:ilvl="0" w:tplc="D3A031AA">
      <w:start w:val="1"/>
      <w:numFmt w:val="decimal"/>
      <w:lvlText w:val="%1."/>
      <w:lvlJc w:val="left"/>
      <w:pPr>
        <w:ind w:left="758" w:hanging="360"/>
      </w:pPr>
      <w:rPr>
        <w:rFonts w:hint="default"/>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23" w15:restartNumberingAfterBreak="0">
    <w:nsid w:val="683741C2"/>
    <w:multiLevelType w:val="hybridMultilevel"/>
    <w:tmpl w:val="39166D7C"/>
    <w:lvl w:ilvl="0" w:tplc="4F10693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5"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4"/>
  </w:num>
  <w:num w:numId="3">
    <w:abstractNumId w:val="9"/>
  </w:num>
  <w:num w:numId="4">
    <w:abstractNumId w:val="26"/>
  </w:num>
  <w:num w:numId="5">
    <w:abstractNumId w:val="19"/>
  </w:num>
  <w:num w:numId="6">
    <w:abstractNumId w:val="25"/>
  </w:num>
  <w:num w:numId="7">
    <w:abstractNumId w:val="5"/>
  </w:num>
  <w:num w:numId="8">
    <w:abstractNumId w:val="8"/>
  </w:num>
  <w:num w:numId="9">
    <w:abstractNumId w:val="10"/>
  </w:num>
  <w:num w:numId="10">
    <w:abstractNumId w:val="12"/>
  </w:num>
  <w:num w:numId="11">
    <w:abstractNumId w:val="16"/>
  </w:num>
  <w:num w:numId="12">
    <w:abstractNumId w:val="18"/>
  </w:num>
  <w:num w:numId="13">
    <w:abstractNumId w:val="2"/>
  </w:num>
  <w:num w:numId="14">
    <w:abstractNumId w:val="15"/>
  </w:num>
  <w:num w:numId="15">
    <w:abstractNumId w:val="2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3"/>
  </w:num>
  <w:num w:numId="23">
    <w:abstractNumId w:val="4"/>
  </w:num>
  <w:num w:numId="24">
    <w:abstractNumId w:val="11"/>
  </w:num>
  <w:num w:numId="25">
    <w:abstractNumId w:val="14"/>
  </w:num>
  <w:num w:numId="26">
    <w:abstractNumId w:val="3"/>
  </w:num>
  <w:num w:numId="27">
    <w:abstractNumId w:val="23"/>
  </w:num>
  <w:num w:numId="28">
    <w:abstractNumId w:val="1"/>
  </w:num>
  <w:num w:numId="29">
    <w:abstractNumId w:val="2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813"/>
    <w:rsid w:val="000059D1"/>
    <w:rsid w:val="00006164"/>
    <w:rsid w:val="000076C0"/>
    <w:rsid w:val="00012E0C"/>
    <w:rsid w:val="00016F45"/>
    <w:rsid w:val="00022E0C"/>
    <w:rsid w:val="00022E85"/>
    <w:rsid w:val="00024914"/>
    <w:rsid w:val="000266CD"/>
    <w:rsid w:val="00026F1D"/>
    <w:rsid w:val="0003082B"/>
    <w:rsid w:val="00036667"/>
    <w:rsid w:val="000377BA"/>
    <w:rsid w:val="000427A0"/>
    <w:rsid w:val="0004375B"/>
    <w:rsid w:val="00051D45"/>
    <w:rsid w:val="00060216"/>
    <w:rsid w:val="00062C87"/>
    <w:rsid w:val="000634A3"/>
    <w:rsid w:val="00065E05"/>
    <w:rsid w:val="00075F77"/>
    <w:rsid w:val="0007640A"/>
    <w:rsid w:val="000808DB"/>
    <w:rsid w:val="0008447C"/>
    <w:rsid w:val="000859E5"/>
    <w:rsid w:val="00086313"/>
    <w:rsid w:val="00087139"/>
    <w:rsid w:val="000915DA"/>
    <w:rsid w:val="000A1A01"/>
    <w:rsid w:val="000A6344"/>
    <w:rsid w:val="000A7205"/>
    <w:rsid w:val="000B048D"/>
    <w:rsid w:val="000B1407"/>
    <w:rsid w:val="000B4AD1"/>
    <w:rsid w:val="000B4B14"/>
    <w:rsid w:val="000B56FF"/>
    <w:rsid w:val="000B6435"/>
    <w:rsid w:val="000B6596"/>
    <w:rsid w:val="000C1FE4"/>
    <w:rsid w:val="000C74D4"/>
    <w:rsid w:val="000C7715"/>
    <w:rsid w:val="000D3AAB"/>
    <w:rsid w:val="000D4B51"/>
    <w:rsid w:val="000D4D1A"/>
    <w:rsid w:val="000D4E73"/>
    <w:rsid w:val="000E01C3"/>
    <w:rsid w:val="000E1B78"/>
    <w:rsid w:val="000F0FA8"/>
    <w:rsid w:val="000F112E"/>
    <w:rsid w:val="000F16BD"/>
    <w:rsid w:val="000F1E97"/>
    <w:rsid w:val="000F387E"/>
    <w:rsid w:val="000F45C6"/>
    <w:rsid w:val="000F5C08"/>
    <w:rsid w:val="000F5C80"/>
    <w:rsid w:val="00103677"/>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EE9"/>
    <w:rsid w:val="00152EC0"/>
    <w:rsid w:val="001550DE"/>
    <w:rsid w:val="001708DF"/>
    <w:rsid w:val="0017271B"/>
    <w:rsid w:val="0017412B"/>
    <w:rsid w:val="0017698D"/>
    <w:rsid w:val="00177D71"/>
    <w:rsid w:val="00181E32"/>
    <w:rsid w:val="00183773"/>
    <w:rsid w:val="00183A2E"/>
    <w:rsid w:val="00183A7A"/>
    <w:rsid w:val="00183BBD"/>
    <w:rsid w:val="001856A1"/>
    <w:rsid w:val="00186582"/>
    <w:rsid w:val="00186E38"/>
    <w:rsid w:val="001901C4"/>
    <w:rsid w:val="0019260E"/>
    <w:rsid w:val="001931F5"/>
    <w:rsid w:val="001952F4"/>
    <w:rsid w:val="001973EC"/>
    <w:rsid w:val="001A2344"/>
    <w:rsid w:val="001A3D02"/>
    <w:rsid w:val="001A3ECF"/>
    <w:rsid w:val="001A435F"/>
    <w:rsid w:val="001A4BB4"/>
    <w:rsid w:val="001B0073"/>
    <w:rsid w:val="001B05EB"/>
    <w:rsid w:val="001B4E61"/>
    <w:rsid w:val="001B6C08"/>
    <w:rsid w:val="001C5038"/>
    <w:rsid w:val="001D4636"/>
    <w:rsid w:val="001D6CC5"/>
    <w:rsid w:val="001F0DA2"/>
    <w:rsid w:val="001F219B"/>
    <w:rsid w:val="001F220A"/>
    <w:rsid w:val="001F267C"/>
    <w:rsid w:val="001F27FD"/>
    <w:rsid w:val="001F365F"/>
    <w:rsid w:val="00210BA6"/>
    <w:rsid w:val="002136FB"/>
    <w:rsid w:val="00213A69"/>
    <w:rsid w:val="0021569F"/>
    <w:rsid w:val="00220A0D"/>
    <w:rsid w:val="002244B8"/>
    <w:rsid w:val="002272B3"/>
    <w:rsid w:val="00230325"/>
    <w:rsid w:val="0023372C"/>
    <w:rsid w:val="00234A34"/>
    <w:rsid w:val="00241033"/>
    <w:rsid w:val="0024123A"/>
    <w:rsid w:val="002427EA"/>
    <w:rsid w:val="00242AC9"/>
    <w:rsid w:val="00242C97"/>
    <w:rsid w:val="00244202"/>
    <w:rsid w:val="00251018"/>
    <w:rsid w:val="00262705"/>
    <w:rsid w:val="00263013"/>
    <w:rsid w:val="00264EAF"/>
    <w:rsid w:val="00265379"/>
    <w:rsid w:val="00265C5D"/>
    <w:rsid w:val="002700BD"/>
    <w:rsid w:val="00270BB5"/>
    <w:rsid w:val="00280E91"/>
    <w:rsid w:val="00283323"/>
    <w:rsid w:val="00284AE9"/>
    <w:rsid w:val="0029384E"/>
    <w:rsid w:val="002A0632"/>
    <w:rsid w:val="002A5BB9"/>
    <w:rsid w:val="002A6F72"/>
    <w:rsid w:val="002A78E6"/>
    <w:rsid w:val="002B3043"/>
    <w:rsid w:val="002B3A67"/>
    <w:rsid w:val="002B4BA0"/>
    <w:rsid w:val="002B69CC"/>
    <w:rsid w:val="002B6DC0"/>
    <w:rsid w:val="002C533A"/>
    <w:rsid w:val="002D426B"/>
    <w:rsid w:val="002E2AE5"/>
    <w:rsid w:val="002E69BE"/>
    <w:rsid w:val="002E6B38"/>
    <w:rsid w:val="002E70CF"/>
    <w:rsid w:val="002E7964"/>
    <w:rsid w:val="002F4289"/>
    <w:rsid w:val="002F5926"/>
    <w:rsid w:val="002F5BBA"/>
    <w:rsid w:val="002F6F29"/>
    <w:rsid w:val="002F7726"/>
    <w:rsid w:val="002F7D8C"/>
    <w:rsid w:val="003010F5"/>
    <w:rsid w:val="003021A9"/>
    <w:rsid w:val="003027E1"/>
    <w:rsid w:val="003052C3"/>
    <w:rsid w:val="00306A6B"/>
    <w:rsid w:val="003077CD"/>
    <w:rsid w:val="00314715"/>
    <w:rsid w:val="00314EED"/>
    <w:rsid w:val="003152E0"/>
    <w:rsid w:val="003209A0"/>
    <w:rsid w:val="0032244D"/>
    <w:rsid w:val="00330713"/>
    <w:rsid w:val="003307DC"/>
    <w:rsid w:val="003314AA"/>
    <w:rsid w:val="00332887"/>
    <w:rsid w:val="00333BDF"/>
    <w:rsid w:val="00335716"/>
    <w:rsid w:val="003362BC"/>
    <w:rsid w:val="003372CD"/>
    <w:rsid w:val="003413AA"/>
    <w:rsid w:val="00341D9A"/>
    <w:rsid w:val="00341F9C"/>
    <w:rsid w:val="00343BDD"/>
    <w:rsid w:val="00344E85"/>
    <w:rsid w:val="0034679F"/>
    <w:rsid w:val="00346CE6"/>
    <w:rsid w:val="003511F5"/>
    <w:rsid w:val="003536B3"/>
    <w:rsid w:val="00354DE2"/>
    <w:rsid w:val="00361A79"/>
    <w:rsid w:val="00366A96"/>
    <w:rsid w:val="00366D7F"/>
    <w:rsid w:val="0037217A"/>
    <w:rsid w:val="00380445"/>
    <w:rsid w:val="0038138A"/>
    <w:rsid w:val="003834E7"/>
    <w:rsid w:val="0039176E"/>
    <w:rsid w:val="0039191E"/>
    <w:rsid w:val="003A098D"/>
    <w:rsid w:val="003A1E11"/>
    <w:rsid w:val="003A4924"/>
    <w:rsid w:val="003A5178"/>
    <w:rsid w:val="003A6386"/>
    <w:rsid w:val="003B0813"/>
    <w:rsid w:val="003C0CD1"/>
    <w:rsid w:val="003D1D6F"/>
    <w:rsid w:val="003D50F1"/>
    <w:rsid w:val="003D7750"/>
    <w:rsid w:val="003E3EB0"/>
    <w:rsid w:val="003F436E"/>
    <w:rsid w:val="0040207C"/>
    <w:rsid w:val="004029E3"/>
    <w:rsid w:val="00404C1A"/>
    <w:rsid w:val="00406B69"/>
    <w:rsid w:val="00413BA3"/>
    <w:rsid w:val="0041484F"/>
    <w:rsid w:val="00416DC9"/>
    <w:rsid w:val="00417663"/>
    <w:rsid w:val="004305AB"/>
    <w:rsid w:val="00430F79"/>
    <w:rsid w:val="00435174"/>
    <w:rsid w:val="00437427"/>
    <w:rsid w:val="00440DE9"/>
    <w:rsid w:val="00443F3A"/>
    <w:rsid w:val="004451F7"/>
    <w:rsid w:val="00453300"/>
    <w:rsid w:val="00453921"/>
    <w:rsid w:val="0046168C"/>
    <w:rsid w:val="0046459B"/>
    <w:rsid w:val="00466BF3"/>
    <w:rsid w:val="004673CE"/>
    <w:rsid w:val="00472E58"/>
    <w:rsid w:val="004740F4"/>
    <w:rsid w:val="004751BF"/>
    <w:rsid w:val="0048008B"/>
    <w:rsid w:val="00482572"/>
    <w:rsid w:val="00485112"/>
    <w:rsid w:val="0049094F"/>
    <w:rsid w:val="00492805"/>
    <w:rsid w:val="0049288D"/>
    <w:rsid w:val="00492894"/>
    <w:rsid w:val="00493E57"/>
    <w:rsid w:val="004A0F77"/>
    <w:rsid w:val="004A1D33"/>
    <w:rsid w:val="004A2B22"/>
    <w:rsid w:val="004A3609"/>
    <w:rsid w:val="004A3793"/>
    <w:rsid w:val="004B2275"/>
    <w:rsid w:val="004B53E9"/>
    <w:rsid w:val="004C1E30"/>
    <w:rsid w:val="004C2F3A"/>
    <w:rsid w:val="004C32A5"/>
    <w:rsid w:val="004C7E5A"/>
    <w:rsid w:val="004D015E"/>
    <w:rsid w:val="004D0437"/>
    <w:rsid w:val="004D182B"/>
    <w:rsid w:val="004D28CC"/>
    <w:rsid w:val="004D3133"/>
    <w:rsid w:val="004D31A0"/>
    <w:rsid w:val="004D3C81"/>
    <w:rsid w:val="004E2250"/>
    <w:rsid w:val="004E57C8"/>
    <w:rsid w:val="004E64BD"/>
    <w:rsid w:val="004F0585"/>
    <w:rsid w:val="004F0709"/>
    <w:rsid w:val="004F2961"/>
    <w:rsid w:val="004F3729"/>
    <w:rsid w:val="004F5CE3"/>
    <w:rsid w:val="004F7EE5"/>
    <w:rsid w:val="005001CC"/>
    <w:rsid w:val="00500E29"/>
    <w:rsid w:val="00504567"/>
    <w:rsid w:val="00504E67"/>
    <w:rsid w:val="00506392"/>
    <w:rsid w:val="00511D08"/>
    <w:rsid w:val="00512FF7"/>
    <w:rsid w:val="00517383"/>
    <w:rsid w:val="005213D3"/>
    <w:rsid w:val="00522ED4"/>
    <w:rsid w:val="00524BC5"/>
    <w:rsid w:val="00532918"/>
    <w:rsid w:val="005360C9"/>
    <w:rsid w:val="0054329A"/>
    <w:rsid w:val="00550EFD"/>
    <w:rsid w:val="00553512"/>
    <w:rsid w:val="0055720D"/>
    <w:rsid w:val="005607A8"/>
    <w:rsid w:val="00560D40"/>
    <w:rsid w:val="005618A3"/>
    <w:rsid w:val="005643C6"/>
    <w:rsid w:val="00565171"/>
    <w:rsid w:val="005661F9"/>
    <w:rsid w:val="00567CC0"/>
    <w:rsid w:val="00571660"/>
    <w:rsid w:val="00572A58"/>
    <w:rsid w:val="00572CA0"/>
    <w:rsid w:val="00574627"/>
    <w:rsid w:val="0057545B"/>
    <w:rsid w:val="005775E8"/>
    <w:rsid w:val="0058427E"/>
    <w:rsid w:val="005871C7"/>
    <w:rsid w:val="00587531"/>
    <w:rsid w:val="00592742"/>
    <w:rsid w:val="005A0EFC"/>
    <w:rsid w:val="005A55F9"/>
    <w:rsid w:val="005B2B1D"/>
    <w:rsid w:val="005B4E04"/>
    <w:rsid w:val="005B5534"/>
    <w:rsid w:val="005C047B"/>
    <w:rsid w:val="005C33E5"/>
    <w:rsid w:val="005C3637"/>
    <w:rsid w:val="005C5E75"/>
    <w:rsid w:val="005C749B"/>
    <w:rsid w:val="005D137A"/>
    <w:rsid w:val="005D1F5D"/>
    <w:rsid w:val="005D5A91"/>
    <w:rsid w:val="005D5E38"/>
    <w:rsid w:val="005E039E"/>
    <w:rsid w:val="005E2FD6"/>
    <w:rsid w:val="005E40F5"/>
    <w:rsid w:val="005F5FAF"/>
    <w:rsid w:val="00600F14"/>
    <w:rsid w:val="00601F16"/>
    <w:rsid w:val="00603DCF"/>
    <w:rsid w:val="006040F6"/>
    <w:rsid w:val="006061EC"/>
    <w:rsid w:val="00613581"/>
    <w:rsid w:val="006135A1"/>
    <w:rsid w:val="00613CCC"/>
    <w:rsid w:val="0061490D"/>
    <w:rsid w:val="0061747B"/>
    <w:rsid w:val="00617D9B"/>
    <w:rsid w:val="00617E84"/>
    <w:rsid w:val="006223DA"/>
    <w:rsid w:val="00624AEE"/>
    <w:rsid w:val="00627927"/>
    <w:rsid w:val="00630D65"/>
    <w:rsid w:val="00635442"/>
    <w:rsid w:val="006365EF"/>
    <w:rsid w:val="00644A7E"/>
    <w:rsid w:val="00647E69"/>
    <w:rsid w:val="00651784"/>
    <w:rsid w:val="00652455"/>
    <w:rsid w:val="00652B30"/>
    <w:rsid w:val="00653024"/>
    <w:rsid w:val="00655476"/>
    <w:rsid w:val="006557FE"/>
    <w:rsid w:val="00657A26"/>
    <w:rsid w:val="006679DA"/>
    <w:rsid w:val="00670179"/>
    <w:rsid w:val="00670A6E"/>
    <w:rsid w:val="006747C2"/>
    <w:rsid w:val="00674E2A"/>
    <w:rsid w:val="00676114"/>
    <w:rsid w:val="00680072"/>
    <w:rsid w:val="00680821"/>
    <w:rsid w:val="0068135C"/>
    <w:rsid w:val="006853B6"/>
    <w:rsid w:val="00687D86"/>
    <w:rsid w:val="00692C4B"/>
    <w:rsid w:val="00697F46"/>
    <w:rsid w:val="00697FED"/>
    <w:rsid w:val="006A4752"/>
    <w:rsid w:val="006A4BAB"/>
    <w:rsid w:val="006A5420"/>
    <w:rsid w:val="006A546B"/>
    <w:rsid w:val="006B6F06"/>
    <w:rsid w:val="006C2DBA"/>
    <w:rsid w:val="006C33D4"/>
    <w:rsid w:val="006C4AE5"/>
    <w:rsid w:val="006C523E"/>
    <w:rsid w:val="006D4873"/>
    <w:rsid w:val="006E50F3"/>
    <w:rsid w:val="006F00F3"/>
    <w:rsid w:val="006F0622"/>
    <w:rsid w:val="006F1456"/>
    <w:rsid w:val="006F59C4"/>
    <w:rsid w:val="006F6C22"/>
    <w:rsid w:val="007015A1"/>
    <w:rsid w:val="00703623"/>
    <w:rsid w:val="00703C43"/>
    <w:rsid w:val="00705B12"/>
    <w:rsid w:val="00712B5A"/>
    <w:rsid w:val="00716411"/>
    <w:rsid w:val="00716AC5"/>
    <w:rsid w:val="00731B61"/>
    <w:rsid w:val="007321D6"/>
    <w:rsid w:val="0073363F"/>
    <w:rsid w:val="00736E44"/>
    <w:rsid w:val="007421AA"/>
    <w:rsid w:val="00744408"/>
    <w:rsid w:val="00755E85"/>
    <w:rsid w:val="007563C6"/>
    <w:rsid w:val="00766BDF"/>
    <w:rsid w:val="00770CA8"/>
    <w:rsid w:val="00771505"/>
    <w:rsid w:val="00776C37"/>
    <w:rsid w:val="007775F7"/>
    <w:rsid w:val="007809E5"/>
    <w:rsid w:val="00781A1B"/>
    <w:rsid w:val="00782827"/>
    <w:rsid w:val="0078627A"/>
    <w:rsid w:val="00787634"/>
    <w:rsid w:val="00791D76"/>
    <w:rsid w:val="007923F7"/>
    <w:rsid w:val="00793FEF"/>
    <w:rsid w:val="007A76D4"/>
    <w:rsid w:val="007B0F9D"/>
    <w:rsid w:val="007B3745"/>
    <w:rsid w:val="007B3B14"/>
    <w:rsid w:val="007C1713"/>
    <w:rsid w:val="007C7343"/>
    <w:rsid w:val="007D0508"/>
    <w:rsid w:val="007E1C01"/>
    <w:rsid w:val="007E2AF4"/>
    <w:rsid w:val="007F21C1"/>
    <w:rsid w:val="007F2238"/>
    <w:rsid w:val="00801B5C"/>
    <w:rsid w:val="00802BD0"/>
    <w:rsid w:val="00802CB3"/>
    <w:rsid w:val="008057E6"/>
    <w:rsid w:val="008104F2"/>
    <w:rsid w:val="00813594"/>
    <w:rsid w:val="008148FE"/>
    <w:rsid w:val="008316C2"/>
    <w:rsid w:val="00831E14"/>
    <w:rsid w:val="00833347"/>
    <w:rsid w:val="00834A25"/>
    <w:rsid w:val="00836733"/>
    <w:rsid w:val="008378BB"/>
    <w:rsid w:val="00841DD6"/>
    <w:rsid w:val="008426DC"/>
    <w:rsid w:val="0084673B"/>
    <w:rsid w:val="00851A20"/>
    <w:rsid w:val="00854A0F"/>
    <w:rsid w:val="00870BDF"/>
    <w:rsid w:val="008714DD"/>
    <w:rsid w:val="00871EB7"/>
    <w:rsid w:val="00872F46"/>
    <w:rsid w:val="008759F6"/>
    <w:rsid w:val="00880B16"/>
    <w:rsid w:val="0089380F"/>
    <w:rsid w:val="00893855"/>
    <w:rsid w:val="008A1DB7"/>
    <w:rsid w:val="008A28F1"/>
    <w:rsid w:val="008A295B"/>
    <w:rsid w:val="008A6B66"/>
    <w:rsid w:val="008B4C24"/>
    <w:rsid w:val="008B5B74"/>
    <w:rsid w:val="008C4F92"/>
    <w:rsid w:val="008D09D3"/>
    <w:rsid w:val="008D1991"/>
    <w:rsid w:val="008D2389"/>
    <w:rsid w:val="008D2A1B"/>
    <w:rsid w:val="008D5BD0"/>
    <w:rsid w:val="008E109E"/>
    <w:rsid w:val="008E142F"/>
    <w:rsid w:val="008E2456"/>
    <w:rsid w:val="008E6CF7"/>
    <w:rsid w:val="008E7B0B"/>
    <w:rsid w:val="008F4559"/>
    <w:rsid w:val="008F6525"/>
    <w:rsid w:val="008F674F"/>
    <w:rsid w:val="008F6869"/>
    <w:rsid w:val="00904899"/>
    <w:rsid w:val="00904DFB"/>
    <w:rsid w:val="009052AD"/>
    <w:rsid w:val="009070CD"/>
    <w:rsid w:val="00907793"/>
    <w:rsid w:val="009129F9"/>
    <w:rsid w:val="009158A8"/>
    <w:rsid w:val="00930FF8"/>
    <w:rsid w:val="009332D9"/>
    <w:rsid w:val="00934A09"/>
    <w:rsid w:val="009353B9"/>
    <w:rsid w:val="00936584"/>
    <w:rsid w:val="00941B3E"/>
    <w:rsid w:val="00944488"/>
    <w:rsid w:val="00947D44"/>
    <w:rsid w:val="00947FD5"/>
    <w:rsid w:val="00953259"/>
    <w:rsid w:val="00953F96"/>
    <w:rsid w:val="009541DF"/>
    <w:rsid w:val="0095536E"/>
    <w:rsid w:val="009568B1"/>
    <w:rsid w:val="00956C24"/>
    <w:rsid w:val="009578ED"/>
    <w:rsid w:val="009621A8"/>
    <w:rsid w:val="0096478A"/>
    <w:rsid w:val="00966517"/>
    <w:rsid w:val="00972A1D"/>
    <w:rsid w:val="00973A2F"/>
    <w:rsid w:val="00974862"/>
    <w:rsid w:val="009807FD"/>
    <w:rsid w:val="00983A77"/>
    <w:rsid w:val="00984F9D"/>
    <w:rsid w:val="009877A8"/>
    <w:rsid w:val="0099091C"/>
    <w:rsid w:val="00990BBC"/>
    <w:rsid w:val="009916AE"/>
    <w:rsid w:val="00994046"/>
    <w:rsid w:val="00997E29"/>
    <w:rsid w:val="009A1735"/>
    <w:rsid w:val="009A4908"/>
    <w:rsid w:val="009B34CF"/>
    <w:rsid w:val="009B732E"/>
    <w:rsid w:val="009B7C41"/>
    <w:rsid w:val="009C2757"/>
    <w:rsid w:val="009C3EE3"/>
    <w:rsid w:val="009C6434"/>
    <w:rsid w:val="009D3C44"/>
    <w:rsid w:val="009D4A15"/>
    <w:rsid w:val="009D4E64"/>
    <w:rsid w:val="009D6D3C"/>
    <w:rsid w:val="009D778A"/>
    <w:rsid w:val="009E0534"/>
    <w:rsid w:val="009E1BB1"/>
    <w:rsid w:val="009E315B"/>
    <w:rsid w:val="009E3832"/>
    <w:rsid w:val="009E41BF"/>
    <w:rsid w:val="009E7794"/>
    <w:rsid w:val="009F10D1"/>
    <w:rsid w:val="00A01091"/>
    <w:rsid w:val="00A038D4"/>
    <w:rsid w:val="00A04DBE"/>
    <w:rsid w:val="00A13007"/>
    <w:rsid w:val="00A13285"/>
    <w:rsid w:val="00A16A81"/>
    <w:rsid w:val="00A3062E"/>
    <w:rsid w:val="00A30FD6"/>
    <w:rsid w:val="00A32DF2"/>
    <w:rsid w:val="00A3667A"/>
    <w:rsid w:val="00A43D29"/>
    <w:rsid w:val="00A50D27"/>
    <w:rsid w:val="00A52583"/>
    <w:rsid w:val="00A52E77"/>
    <w:rsid w:val="00A5355A"/>
    <w:rsid w:val="00A53A10"/>
    <w:rsid w:val="00A6401F"/>
    <w:rsid w:val="00A6581E"/>
    <w:rsid w:val="00A675F9"/>
    <w:rsid w:val="00A716D5"/>
    <w:rsid w:val="00A766DE"/>
    <w:rsid w:val="00A76A3B"/>
    <w:rsid w:val="00A7736A"/>
    <w:rsid w:val="00A83587"/>
    <w:rsid w:val="00A83AAA"/>
    <w:rsid w:val="00A85580"/>
    <w:rsid w:val="00A86EF4"/>
    <w:rsid w:val="00A87C9E"/>
    <w:rsid w:val="00A90E87"/>
    <w:rsid w:val="00A918F0"/>
    <w:rsid w:val="00A92182"/>
    <w:rsid w:val="00A921CC"/>
    <w:rsid w:val="00A92A41"/>
    <w:rsid w:val="00A94770"/>
    <w:rsid w:val="00A9580E"/>
    <w:rsid w:val="00A9731F"/>
    <w:rsid w:val="00AA2D47"/>
    <w:rsid w:val="00AA517C"/>
    <w:rsid w:val="00AA738C"/>
    <w:rsid w:val="00AB0469"/>
    <w:rsid w:val="00AB64D6"/>
    <w:rsid w:val="00AC1166"/>
    <w:rsid w:val="00AC4F7E"/>
    <w:rsid w:val="00AC650A"/>
    <w:rsid w:val="00AC7E17"/>
    <w:rsid w:val="00AD1268"/>
    <w:rsid w:val="00AD25B7"/>
    <w:rsid w:val="00AD4EF5"/>
    <w:rsid w:val="00AD5CEC"/>
    <w:rsid w:val="00AF0ED3"/>
    <w:rsid w:val="00AF118E"/>
    <w:rsid w:val="00AF1D6D"/>
    <w:rsid w:val="00AF1F67"/>
    <w:rsid w:val="00AF2CA1"/>
    <w:rsid w:val="00B04C0D"/>
    <w:rsid w:val="00B057EE"/>
    <w:rsid w:val="00B12A4B"/>
    <w:rsid w:val="00B140B6"/>
    <w:rsid w:val="00B14A69"/>
    <w:rsid w:val="00B17193"/>
    <w:rsid w:val="00B17764"/>
    <w:rsid w:val="00B21C19"/>
    <w:rsid w:val="00B21F71"/>
    <w:rsid w:val="00B248FC"/>
    <w:rsid w:val="00B249DF"/>
    <w:rsid w:val="00B25FFD"/>
    <w:rsid w:val="00B27942"/>
    <w:rsid w:val="00B30FB2"/>
    <w:rsid w:val="00B3158E"/>
    <w:rsid w:val="00B32582"/>
    <w:rsid w:val="00B33791"/>
    <w:rsid w:val="00B3608F"/>
    <w:rsid w:val="00B43B6E"/>
    <w:rsid w:val="00B445F5"/>
    <w:rsid w:val="00B4504C"/>
    <w:rsid w:val="00B46B7D"/>
    <w:rsid w:val="00B46D64"/>
    <w:rsid w:val="00B505DF"/>
    <w:rsid w:val="00B511A3"/>
    <w:rsid w:val="00B51373"/>
    <w:rsid w:val="00B52319"/>
    <w:rsid w:val="00B529B4"/>
    <w:rsid w:val="00B56AA5"/>
    <w:rsid w:val="00B57A0B"/>
    <w:rsid w:val="00B62003"/>
    <w:rsid w:val="00B6303F"/>
    <w:rsid w:val="00B63AC4"/>
    <w:rsid w:val="00B70E35"/>
    <w:rsid w:val="00B7124D"/>
    <w:rsid w:val="00B73549"/>
    <w:rsid w:val="00B739DE"/>
    <w:rsid w:val="00B819F9"/>
    <w:rsid w:val="00B81C80"/>
    <w:rsid w:val="00B859B3"/>
    <w:rsid w:val="00B85BFF"/>
    <w:rsid w:val="00B8617E"/>
    <w:rsid w:val="00B87B85"/>
    <w:rsid w:val="00B90045"/>
    <w:rsid w:val="00B96FA9"/>
    <w:rsid w:val="00BA2B0E"/>
    <w:rsid w:val="00BA2F2C"/>
    <w:rsid w:val="00BA4297"/>
    <w:rsid w:val="00BB1F0C"/>
    <w:rsid w:val="00BB38E6"/>
    <w:rsid w:val="00BB3970"/>
    <w:rsid w:val="00BB5644"/>
    <w:rsid w:val="00BB60B5"/>
    <w:rsid w:val="00BB7E3B"/>
    <w:rsid w:val="00BC0F21"/>
    <w:rsid w:val="00BC41D2"/>
    <w:rsid w:val="00BC4F62"/>
    <w:rsid w:val="00BE023C"/>
    <w:rsid w:val="00BE0673"/>
    <w:rsid w:val="00BE06D4"/>
    <w:rsid w:val="00BE4738"/>
    <w:rsid w:val="00BF223B"/>
    <w:rsid w:val="00BF2D88"/>
    <w:rsid w:val="00BF2F11"/>
    <w:rsid w:val="00C04AB5"/>
    <w:rsid w:val="00C05531"/>
    <w:rsid w:val="00C13AFF"/>
    <w:rsid w:val="00C165C5"/>
    <w:rsid w:val="00C17ABC"/>
    <w:rsid w:val="00C21389"/>
    <w:rsid w:val="00C22D23"/>
    <w:rsid w:val="00C237D9"/>
    <w:rsid w:val="00C247EB"/>
    <w:rsid w:val="00C24AF6"/>
    <w:rsid w:val="00C25672"/>
    <w:rsid w:val="00C27F0C"/>
    <w:rsid w:val="00C3169D"/>
    <w:rsid w:val="00C34BF8"/>
    <w:rsid w:val="00C40C7A"/>
    <w:rsid w:val="00C43522"/>
    <w:rsid w:val="00C442AF"/>
    <w:rsid w:val="00C44C37"/>
    <w:rsid w:val="00C54E20"/>
    <w:rsid w:val="00C55B6D"/>
    <w:rsid w:val="00C57D33"/>
    <w:rsid w:val="00C60F4B"/>
    <w:rsid w:val="00C61464"/>
    <w:rsid w:val="00C62F4C"/>
    <w:rsid w:val="00C64406"/>
    <w:rsid w:val="00C648DD"/>
    <w:rsid w:val="00C65B32"/>
    <w:rsid w:val="00C727C8"/>
    <w:rsid w:val="00C7525B"/>
    <w:rsid w:val="00C75529"/>
    <w:rsid w:val="00C76C04"/>
    <w:rsid w:val="00C7726C"/>
    <w:rsid w:val="00C83C5C"/>
    <w:rsid w:val="00C84235"/>
    <w:rsid w:val="00C87A1D"/>
    <w:rsid w:val="00C9074E"/>
    <w:rsid w:val="00C94B13"/>
    <w:rsid w:val="00C959EE"/>
    <w:rsid w:val="00C96C9C"/>
    <w:rsid w:val="00CA0A9A"/>
    <w:rsid w:val="00CA3D40"/>
    <w:rsid w:val="00CA59AA"/>
    <w:rsid w:val="00CB195B"/>
    <w:rsid w:val="00CB3AC5"/>
    <w:rsid w:val="00CB3F63"/>
    <w:rsid w:val="00CB6BDD"/>
    <w:rsid w:val="00CC1DCB"/>
    <w:rsid w:val="00CC29AD"/>
    <w:rsid w:val="00CC30B1"/>
    <w:rsid w:val="00CD09C3"/>
    <w:rsid w:val="00CD0D26"/>
    <w:rsid w:val="00CD224A"/>
    <w:rsid w:val="00CD243E"/>
    <w:rsid w:val="00CD43BA"/>
    <w:rsid w:val="00CD4A28"/>
    <w:rsid w:val="00CD794F"/>
    <w:rsid w:val="00CD7A8A"/>
    <w:rsid w:val="00CE0B80"/>
    <w:rsid w:val="00CE0C86"/>
    <w:rsid w:val="00CE2F59"/>
    <w:rsid w:val="00CE752F"/>
    <w:rsid w:val="00CF130C"/>
    <w:rsid w:val="00CF2210"/>
    <w:rsid w:val="00CF3779"/>
    <w:rsid w:val="00CF50B7"/>
    <w:rsid w:val="00CF6ACF"/>
    <w:rsid w:val="00D00AB4"/>
    <w:rsid w:val="00D03D82"/>
    <w:rsid w:val="00D21A55"/>
    <w:rsid w:val="00D24689"/>
    <w:rsid w:val="00D24C39"/>
    <w:rsid w:val="00D262A7"/>
    <w:rsid w:val="00D450B4"/>
    <w:rsid w:val="00D45E71"/>
    <w:rsid w:val="00D47382"/>
    <w:rsid w:val="00D5395F"/>
    <w:rsid w:val="00D540CD"/>
    <w:rsid w:val="00D5507C"/>
    <w:rsid w:val="00D63074"/>
    <w:rsid w:val="00D631C8"/>
    <w:rsid w:val="00D636DD"/>
    <w:rsid w:val="00D66A67"/>
    <w:rsid w:val="00D71BF6"/>
    <w:rsid w:val="00D73F2E"/>
    <w:rsid w:val="00D7531E"/>
    <w:rsid w:val="00D755BB"/>
    <w:rsid w:val="00D841AA"/>
    <w:rsid w:val="00D871DC"/>
    <w:rsid w:val="00D91B6F"/>
    <w:rsid w:val="00D91C87"/>
    <w:rsid w:val="00D92480"/>
    <w:rsid w:val="00D932B0"/>
    <w:rsid w:val="00D97B11"/>
    <w:rsid w:val="00DA4976"/>
    <w:rsid w:val="00DA7F49"/>
    <w:rsid w:val="00DB42E8"/>
    <w:rsid w:val="00DB5AD8"/>
    <w:rsid w:val="00DB6A3B"/>
    <w:rsid w:val="00DC119C"/>
    <w:rsid w:val="00DC2A80"/>
    <w:rsid w:val="00DC7F08"/>
    <w:rsid w:val="00DD39D5"/>
    <w:rsid w:val="00DE6313"/>
    <w:rsid w:val="00DF0102"/>
    <w:rsid w:val="00DF40A5"/>
    <w:rsid w:val="00DF5C87"/>
    <w:rsid w:val="00E0174A"/>
    <w:rsid w:val="00E07765"/>
    <w:rsid w:val="00E12CB3"/>
    <w:rsid w:val="00E12F3D"/>
    <w:rsid w:val="00E14542"/>
    <w:rsid w:val="00E16947"/>
    <w:rsid w:val="00E16E90"/>
    <w:rsid w:val="00E21486"/>
    <w:rsid w:val="00E242B6"/>
    <w:rsid w:val="00E2580A"/>
    <w:rsid w:val="00E2767C"/>
    <w:rsid w:val="00E3113E"/>
    <w:rsid w:val="00E325C9"/>
    <w:rsid w:val="00E331DD"/>
    <w:rsid w:val="00E34EAD"/>
    <w:rsid w:val="00E41D96"/>
    <w:rsid w:val="00E42237"/>
    <w:rsid w:val="00E448EE"/>
    <w:rsid w:val="00E454EA"/>
    <w:rsid w:val="00E50083"/>
    <w:rsid w:val="00E50F9B"/>
    <w:rsid w:val="00E5369A"/>
    <w:rsid w:val="00E53DD1"/>
    <w:rsid w:val="00E54455"/>
    <w:rsid w:val="00E56B46"/>
    <w:rsid w:val="00E56CFC"/>
    <w:rsid w:val="00E60377"/>
    <w:rsid w:val="00E61562"/>
    <w:rsid w:val="00E61E71"/>
    <w:rsid w:val="00E6257F"/>
    <w:rsid w:val="00E812BC"/>
    <w:rsid w:val="00E85517"/>
    <w:rsid w:val="00E9020A"/>
    <w:rsid w:val="00E94E6F"/>
    <w:rsid w:val="00E97501"/>
    <w:rsid w:val="00EA0D1B"/>
    <w:rsid w:val="00EA11C4"/>
    <w:rsid w:val="00EA2435"/>
    <w:rsid w:val="00EA33D0"/>
    <w:rsid w:val="00EA63D4"/>
    <w:rsid w:val="00EA6E26"/>
    <w:rsid w:val="00EA7041"/>
    <w:rsid w:val="00EB5757"/>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7F4"/>
    <w:rsid w:val="00F349D7"/>
    <w:rsid w:val="00F3568E"/>
    <w:rsid w:val="00F37BFD"/>
    <w:rsid w:val="00F402D3"/>
    <w:rsid w:val="00F420B5"/>
    <w:rsid w:val="00F5344B"/>
    <w:rsid w:val="00F54A07"/>
    <w:rsid w:val="00F5576C"/>
    <w:rsid w:val="00F569EE"/>
    <w:rsid w:val="00F56DA5"/>
    <w:rsid w:val="00F60CBF"/>
    <w:rsid w:val="00F62A95"/>
    <w:rsid w:val="00F66B38"/>
    <w:rsid w:val="00F66B9A"/>
    <w:rsid w:val="00F701B9"/>
    <w:rsid w:val="00F7483F"/>
    <w:rsid w:val="00F8488C"/>
    <w:rsid w:val="00F912CE"/>
    <w:rsid w:val="00F91AC7"/>
    <w:rsid w:val="00F92841"/>
    <w:rsid w:val="00F94ECD"/>
    <w:rsid w:val="00F97D64"/>
    <w:rsid w:val="00FA035F"/>
    <w:rsid w:val="00FA107B"/>
    <w:rsid w:val="00FA56E7"/>
    <w:rsid w:val="00FC1AF5"/>
    <w:rsid w:val="00FC3083"/>
    <w:rsid w:val="00FC350F"/>
    <w:rsid w:val="00FC4460"/>
    <w:rsid w:val="00FC6083"/>
    <w:rsid w:val="00FC7FA1"/>
    <w:rsid w:val="00FD20B0"/>
    <w:rsid w:val="00FD3F9C"/>
    <w:rsid w:val="00FD4D83"/>
    <w:rsid w:val="00FD5122"/>
    <w:rsid w:val="00FD5677"/>
    <w:rsid w:val="00FD57A0"/>
    <w:rsid w:val="00FE0261"/>
    <w:rsid w:val="00FE0A2B"/>
    <w:rsid w:val="00FE40ED"/>
    <w:rsid w:val="00FE498C"/>
    <w:rsid w:val="00FE5677"/>
    <w:rsid w:val="00FE5FB1"/>
    <w:rsid w:val="00FE6E4A"/>
    <w:rsid w:val="00FF0380"/>
    <w:rsid w:val="00FF0551"/>
    <w:rsid w:val="00FF330C"/>
    <w:rsid w:val="00FF3437"/>
    <w:rsid w:val="00FF3B13"/>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B02818E-798D-4461-ADFE-21C6B173C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qFormat/>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056955">
      <w:bodyDiv w:val="1"/>
      <w:marLeft w:val="0"/>
      <w:marRight w:val="0"/>
      <w:marTop w:val="0"/>
      <w:marBottom w:val="0"/>
      <w:divBdr>
        <w:top w:val="none" w:sz="0" w:space="0" w:color="auto"/>
        <w:left w:val="none" w:sz="0" w:space="0" w:color="auto"/>
        <w:bottom w:val="none" w:sz="0" w:space="0" w:color="auto"/>
        <w:right w:val="none" w:sz="0" w:space="0" w:color="auto"/>
      </w:divBdr>
    </w:div>
    <w:div w:id="479350308">
      <w:bodyDiv w:val="1"/>
      <w:marLeft w:val="0"/>
      <w:marRight w:val="0"/>
      <w:marTop w:val="0"/>
      <w:marBottom w:val="0"/>
      <w:divBdr>
        <w:top w:val="none" w:sz="0" w:space="0" w:color="auto"/>
        <w:left w:val="none" w:sz="0" w:space="0" w:color="auto"/>
        <w:bottom w:val="none" w:sz="0" w:space="0" w:color="auto"/>
        <w:right w:val="none" w:sz="0" w:space="0" w:color="auto"/>
      </w:divBdr>
    </w:div>
    <w:div w:id="517430345">
      <w:bodyDiv w:val="1"/>
      <w:marLeft w:val="0"/>
      <w:marRight w:val="0"/>
      <w:marTop w:val="0"/>
      <w:marBottom w:val="0"/>
      <w:divBdr>
        <w:top w:val="none" w:sz="0" w:space="0" w:color="auto"/>
        <w:left w:val="none" w:sz="0" w:space="0" w:color="auto"/>
        <w:bottom w:val="none" w:sz="0" w:space="0" w:color="auto"/>
        <w:right w:val="none" w:sz="0" w:space="0" w:color="auto"/>
      </w:divBdr>
    </w:div>
    <w:div w:id="735083676">
      <w:bodyDiv w:val="1"/>
      <w:marLeft w:val="0"/>
      <w:marRight w:val="0"/>
      <w:marTop w:val="0"/>
      <w:marBottom w:val="0"/>
      <w:divBdr>
        <w:top w:val="none" w:sz="0" w:space="0" w:color="auto"/>
        <w:left w:val="none" w:sz="0" w:space="0" w:color="auto"/>
        <w:bottom w:val="none" w:sz="0" w:space="0" w:color="auto"/>
        <w:right w:val="none" w:sz="0" w:space="0" w:color="auto"/>
      </w:divBdr>
    </w:div>
    <w:div w:id="976185215">
      <w:bodyDiv w:val="1"/>
      <w:marLeft w:val="0"/>
      <w:marRight w:val="0"/>
      <w:marTop w:val="0"/>
      <w:marBottom w:val="0"/>
      <w:divBdr>
        <w:top w:val="none" w:sz="0" w:space="0" w:color="auto"/>
        <w:left w:val="none" w:sz="0" w:space="0" w:color="auto"/>
        <w:bottom w:val="none" w:sz="0" w:space="0" w:color="auto"/>
        <w:right w:val="none" w:sz="0" w:space="0" w:color="auto"/>
      </w:divBdr>
    </w:div>
    <w:div w:id="1010571823">
      <w:bodyDiv w:val="1"/>
      <w:marLeft w:val="0"/>
      <w:marRight w:val="0"/>
      <w:marTop w:val="0"/>
      <w:marBottom w:val="0"/>
      <w:divBdr>
        <w:top w:val="none" w:sz="0" w:space="0" w:color="auto"/>
        <w:left w:val="none" w:sz="0" w:space="0" w:color="auto"/>
        <w:bottom w:val="none" w:sz="0" w:space="0" w:color="auto"/>
        <w:right w:val="none" w:sz="0" w:space="0" w:color="auto"/>
      </w:divBdr>
    </w:div>
    <w:div w:id="1068923760">
      <w:bodyDiv w:val="1"/>
      <w:marLeft w:val="0"/>
      <w:marRight w:val="0"/>
      <w:marTop w:val="0"/>
      <w:marBottom w:val="0"/>
      <w:divBdr>
        <w:top w:val="none" w:sz="0" w:space="0" w:color="auto"/>
        <w:left w:val="none" w:sz="0" w:space="0" w:color="auto"/>
        <w:bottom w:val="none" w:sz="0" w:space="0" w:color="auto"/>
        <w:right w:val="none" w:sz="0" w:space="0" w:color="auto"/>
      </w:divBdr>
    </w:div>
    <w:div w:id="1421677539">
      <w:bodyDiv w:val="1"/>
      <w:marLeft w:val="0"/>
      <w:marRight w:val="0"/>
      <w:marTop w:val="0"/>
      <w:marBottom w:val="0"/>
      <w:divBdr>
        <w:top w:val="none" w:sz="0" w:space="0" w:color="auto"/>
        <w:left w:val="none" w:sz="0" w:space="0" w:color="auto"/>
        <w:bottom w:val="none" w:sz="0" w:space="0" w:color="auto"/>
        <w:right w:val="none" w:sz="0" w:space="0" w:color="auto"/>
      </w:divBdr>
    </w:div>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8327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34E4A-6EAD-4E01-97CD-09F3A4A5D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245</Words>
  <Characters>1403</Characters>
  <Application>Microsoft Office Word</Application>
  <DocSecurity>0</DocSecurity>
  <Lines>11</Lines>
  <Paragraphs>3</Paragraphs>
  <ScaleCrop>false</ScaleCrop>
  <Company/>
  <LinksUpToDate>false</LinksUpToDate>
  <CharactersWithSpaces>1645</CharactersWithSpaces>
  <SharedDoc>false</SharedDoc>
  <HLinks>
    <vt:vector size="30" baseType="variant">
      <vt:variant>
        <vt:i4>1114160</vt:i4>
      </vt:variant>
      <vt:variant>
        <vt:i4>26</vt:i4>
      </vt:variant>
      <vt:variant>
        <vt:i4>0</vt:i4>
      </vt:variant>
      <vt:variant>
        <vt:i4>5</vt:i4>
      </vt:variant>
      <vt:variant>
        <vt:lpwstr/>
      </vt:variant>
      <vt:variant>
        <vt:lpwstr>_Toc218085228</vt:lpwstr>
      </vt:variant>
      <vt:variant>
        <vt:i4>1114160</vt:i4>
      </vt:variant>
      <vt:variant>
        <vt:i4>20</vt:i4>
      </vt:variant>
      <vt:variant>
        <vt:i4>0</vt:i4>
      </vt:variant>
      <vt:variant>
        <vt:i4>5</vt:i4>
      </vt:variant>
      <vt:variant>
        <vt:lpwstr/>
      </vt:variant>
      <vt:variant>
        <vt:lpwstr>_Toc218085227</vt:lpwstr>
      </vt:variant>
      <vt:variant>
        <vt:i4>1114160</vt:i4>
      </vt:variant>
      <vt:variant>
        <vt:i4>14</vt:i4>
      </vt:variant>
      <vt:variant>
        <vt:i4>0</vt:i4>
      </vt:variant>
      <vt:variant>
        <vt:i4>5</vt:i4>
      </vt:variant>
      <vt:variant>
        <vt:lpwstr/>
      </vt:variant>
      <vt:variant>
        <vt:lpwstr>_Toc218085226</vt:lpwstr>
      </vt:variant>
      <vt:variant>
        <vt:i4>1114160</vt:i4>
      </vt:variant>
      <vt:variant>
        <vt:i4>8</vt:i4>
      </vt:variant>
      <vt:variant>
        <vt:i4>0</vt:i4>
      </vt:variant>
      <vt:variant>
        <vt:i4>5</vt:i4>
      </vt:variant>
      <vt:variant>
        <vt:lpwstr/>
      </vt:variant>
      <vt:variant>
        <vt:lpwstr>_Toc218085225</vt:lpwstr>
      </vt:variant>
      <vt:variant>
        <vt:i4>1114160</vt:i4>
      </vt:variant>
      <vt:variant>
        <vt:i4>2</vt:i4>
      </vt:variant>
      <vt:variant>
        <vt:i4>0</vt:i4>
      </vt:variant>
      <vt:variant>
        <vt:i4>5</vt:i4>
      </vt:variant>
      <vt:variant>
        <vt:lpwstr/>
      </vt:variant>
      <vt:variant>
        <vt:lpwstr>_Toc218085224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2025-11-24T09:34:00Z</cp:lastPrinted>
  <dcterms:created xsi:type="dcterms:W3CDTF">2025-12-31T07:02:00Z</dcterms:created>
  <dcterms:modified xsi:type="dcterms:W3CDTF">2025-12-31T07:02:00Z</dcterms:modified>
</cp:coreProperties>
</file>