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16BD" w:rsidRDefault="000F16BD" w:rsidP="00E34EAD">
      <w:pPr>
        <w:pStyle w:val="aa"/>
        <w:rPr>
          <w:color w:val="000000"/>
        </w:rPr>
      </w:pPr>
      <w:bookmarkStart w:id="0" w:name="_GoBack"/>
      <w:bookmarkEnd w:id="0"/>
      <w:r w:rsidRPr="000F16BD">
        <w:rPr>
          <w:rFonts w:hint="eastAsia"/>
          <w:color w:val="000000"/>
        </w:rPr>
        <w:t>核能安全委員會及所屬113年度決算評估報告</w:t>
      </w:r>
      <w:r>
        <w:rPr>
          <w:rFonts w:hint="eastAsia"/>
          <w:color w:val="000000"/>
        </w:rPr>
        <w:t>目</w:t>
      </w:r>
      <w:r w:rsidR="00F17D63" w:rsidRPr="009E1BB1">
        <w:rPr>
          <w:rFonts w:hint="eastAsia"/>
          <w:color w:val="000000"/>
        </w:rPr>
        <w:t>錄</w:t>
      </w:r>
    </w:p>
    <w:p w:rsidR="00F17D63" w:rsidRPr="009E1BB1" w:rsidRDefault="00E34EAD" w:rsidP="00E812BC">
      <w:pPr>
        <w:pStyle w:val="aa"/>
        <w:jc w:val="right"/>
        <w:rPr>
          <w:color w:val="000000"/>
        </w:rPr>
      </w:pPr>
      <w:r w:rsidRPr="009E1BB1">
        <w:rPr>
          <w:rFonts w:hint="eastAsia"/>
          <w:color w:val="000000"/>
        </w:rPr>
        <w:t xml:space="preserve"> </w:t>
      </w:r>
      <w:r w:rsidRPr="009E1BB1">
        <w:rPr>
          <w:color w:val="000000"/>
        </w:rPr>
        <w:t xml:space="preserve">                                       </w:t>
      </w:r>
      <w:r w:rsidR="00F17D63" w:rsidRPr="00C9074E">
        <w:rPr>
          <w:rFonts w:hint="eastAsia"/>
          <w:b w:val="0"/>
          <w:color w:val="000000"/>
          <w:sz w:val="24"/>
        </w:rPr>
        <w:t>頁次</w:t>
      </w:r>
    </w:p>
    <w:p w:rsidR="00635442" w:rsidRPr="003077CD" w:rsidRDefault="00635442">
      <w:pPr>
        <w:pStyle w:val="12"/>
        <w:rPr>
          <w:rFonts w:ascii="Calibri" w:eastAsia="新細明體" w:hAnsi="Calibri"/>
          <w:noProof/>
          <w:snapToGrid/>
          <w:szCs w:val="22"/>
        </w:rPr>
      </w:pPr>
      <w:r>
        <w:rPr>
          <w:color w:val="2F5496"/>
        </w:rPr>
        <w:fldChar w:fldCharType="begin"/>
      </w:r>
      <w:r>
        <w:rPr>
          <w:color w:val="2F5496"/>
        </w:rPr>
        <w:instrText xml:space="preserve"> TOC \o "1-3" \h \z \t "第二層(14號字),2,第一層(14號字),1" </w:instrText>
      </w:r>
      <w:r>
        <w:rPr>
          <w:color w:val="2F5496"/>
        </w:rPr>
        <w:fldChar w:fldCharType="separate"/>
      </w:r>
      <w:hyperlink w:anchor="_Toc218085224" w:history="1">
        <w:r w:rsidRPr="00774805">
          <w:rPr>
            <w:rStyle w:val="afc"/>
            <w:rFonts w:hint="eastAsia"/>
            <w:noProof/>
          </w:rPr>
          <w:t>壹、核能安全委員會及所屬</w:t>
        </w:r>
        <w:r>
          <w:rPr>
            <w:noProof/>
            <w:webHidden/>
          </w:rPr>
          <w:tab/>
        </w:r>
        <w:r>
          <w:rPr>
            <w:noProof/>
            <w:webHidden/>
          </w:rPr>
          <w:fldChar w:fldCharType="begin"/>
        </w:r>
        <w:r>
          <w:rPr>
            <w:noProof/>
            <w:webHidden/>
          </w:rPr>
          <w:instrText xml:space="preserve"> PAGEREF _Toc218085224 \h </w:instrText>
        </w:r>
        <w:r>
          <w:rPr>
            <w:noProof/>
            <w:webHidden/>
          </w:rPr>
        </w:r>
        <w:r>
          <w:rPr>
            <w:noProof/>
            <w:webHidden/>
          </w:rPr>
          <w:fldChar w:fldCharType="separate"/>
        </w:r>
        <w:r>
          <w:rPr>
            <w:noProof/>
            <w:webHidden/>
          </w:rPr>
          <w:t>1</w:t>
        </w:r>
        <w:r>
          <w:rPr>
            <w:noProof/>
            <w:webHidden/>
          </w:rPr>
          <w:fldChar w:fldCharType="end"/>
        </w:r>
      </w:hyperlink>
    </w:p>
    <w:p w:rsidR="00635442" w:rsidRPr="003077CD" w:rsidRDefault="00635442">
      <w:pPr>
        <w:pStyle w:val="23"/>
        <w:ind w:left="486" w:hanging="486"/>
        <w:rPr>
          <w:rFonts w:ascii="Calibri" w:eastAsia="新細明體" w:hAnsi="Calibri"/>
          <w:noProof/>
          <w:snapToGrid/>
          <w:szCs w:val="22"/>
        </w:rPr>
      </w:pPr>
      <w:hyperlink w:anchor="_Toc218085225" w:history="1">
        <w:r w:rsidRPr="00774805">
          <w:rPr>
            <w:rStyle w:val="afc"/>
            <w:rFonts w:hint="eastAsia"/>
            <w:noProof/>
          </w:rPr>
          <w:t>一、</w:t>
        </w:r>
        <w:r w:rsidRPr="00774805">
          <w:rPr>
            <w:rStyle w:val="afc"/>
            <w:noProof/>
          </w:rPr>
          <w:t>113</w:t>
        </w:r>
        <w:r w:rsidRPr="00774805">
          <w:rPr>
            <w:rStyle w:val="afc"/>
            <w:rFonts w:hint="eastAsia"/>
            <w:noProof/>
          </w:rPr>
          <w:t>年度辦理「原子能民生應用輻射安全管理躍昇計畫」實現率僅六成餘，且委託開發監控模組待分析測試項目仍多，允宜強化進度管控，並督促積極辦理，以利提升管制效能</w:t>
        </w:r>
        <w:r>
          <w:rPr>
            <w:noProof/>
            <w:webHidden/>
          </w:rPr>
          <w:tab/>
        </w:r>
        <w:r>
          <w:rPr>
            <w:noProof/>
            <w:webHidden/>
          </w:rPr>
          <w:fldChar w:fldCharType="begin"/>
        </w:r>
        <w:r>
          <w:rPr>
            <w:noProof/>
            <w:webHidden/>
          </w:rPr>
          <w:instrText xml:space="preserve"> PAGEREF _Toc218085225 \h </w:instrText>
        </w:r>
        <w:r>
          <w:rPr>
            <w:noProof/>
            <w:webHidden/>
          </w:rPr>
        </w:r>
        <w:r>
          <w:rPr>
            <w:noProof/>
            <w:webHidden/>
          </w:rPr>
          <w:fldChar w:fldCharType="separate"/>
        </w:r>
        <w:r>
          <w:rPr>
            <w:noProof/>
            <w:webHidden/>
          </w:rPr>
          <w:t>1</w:t>
        </w:r>
        <w:r>
          <w:rPr>
            <w:noProof/>
            <w:webHidden/>
          </w:rPr>
          <w:fldChar w:fldCharType="end"/>
        </w:r>
      </w:hyperlink>
    </w:p>
    <w:p w:rsidR="00635442" w:rsidRPr="003077CD" w:rsidRDefault="00635442">
      <w:pPr>
        <w:pStyle w:val="23"/>
        <w:ind w:left="486" w:hanging="486"/>
        <w:rPr>
          <w:rFonts w:ascii="Calibri" w:eastAsia="新細明體" w:hAnsi="Calibri"/>
          <w:noProof/>
          <w:snapToGrid/>
          <w:szCs w:val="22"/>
        </w:rPr>
      </w:pPr>
      <w:hyperlink w:anchor="_Toc218085226" w:history="1">
        <w:r w:rsidRPr="00774805">
          <w:rPr>
            <w:rStyle w:val="afc"/>
            <w:rFonts w:hint="eastAsia"/>
            <w:noProof/>
          </w:rPr>
          <w:t>二、「六氟化鈾安定化處理與處置計畫」執行多年，迄</w:t>
        </w:r>
        <w:r w:rsidRPr="00774805">
          <w:rPr>
            <w:rStyle w:val="afc"/>
            <w:noProof/>
          </w:rPr>
          <w:t>113</w:t>
        </w:r>
        <w:r w:rsidRPr="00774805">
          <w:rPr>
            <w:rStyle w:val="afc"/>
            <w:rFonts w:hint="eastAsia"/>
            <w:noProof/>
          </w:rPr>
          <w:t>年底待執行保留數仍高，允宜積極辦理並管控時程</w:t>
        </w:r>
        <w:r>
          <w:rPr>
            <w:noProof/>
            <w:webHidden/>
          </w:rPr>
          <w:tab/>
        </w:r>
        <w:r>
          <w:rPr>
            <w:noProof/>
            <w:webHidden/>
          </w:rPr>
          <w:fldChar w:fldCharType="begin"/>
        </w:r>
        <w:r>
          <w:rPr>
            <w:noProof/>
            <w:webHidden/>
          </w:rPr>
          <w:instrText xml:space="preserve"> PAGEREF _Toc218085226 \h </w:instrText>
        </w:r>
        <w:r>
          <w:rPr>
            <w:noProof/>
            <w:webHidden/>
          </w:rPr>
        </w:r>
        <w:r>
          <w:rPr>
            <w:noProof/>
            <w:webHidden/>
          </w:rPr>
          <w:fldChar w:fldCharType="separate"/>
        </w:r>
        <w:r>
          <w:rPr>
            <w:noProof/>
            <w:webHidden/>
          </w:rPr>
          <w:t>3</w:t>
        </w:r>
        <w:r>
          <w:rPr>
            <w:noProof/>
            <w:webHidden/>
          </w:rPr>
          <w:fldChar w:fldCharType="end"/>
        </w:r>
      </w:hyperlink>
    </w:p>
    <w:p w:rsidR="00635442" w:rsidRPr="003077CD" w:rsidRDefault="00635442">
      <w:pPr>
        <w:pStyle w:val="12"/>
        <w:rPr>
          <w:rFonts w:ascii="Calibri" w:eastAsia="新細明體" w:hAnsi="Calibri"/>
          <w:noProof/>
          <w:snapToGrid/>
          <w:szCs w:val="22"/>
        </w:rPr>
      </w:pPr>
      <w:hyperlink w:anchor="_Toc218085227" w:history="1">
        <w:r w:rsidRPr="00774805">
          <w:rPr>
            <w:rStyle w:val="afc"/>
            <w:rFonts w:hint="eastAsia"/>
            <w:noProof/>
          </w:rPr>
          <w:t>貳、核子事故緊急應變基金</w:t>
        </w:r>
        <w:r>
          <w:rPr>
            <w:noProof/>
            <w:webHidden/>
          </w:rPr>
          <w:tab/>
        </w:r>
        <w:r>
          <w:rPr>
            <w:noProof/>
            <w:webHidden/>
          </w:rPr>
          <w:fldChar w:fldCharType="begin"/>
        </w:r>
        <w:r>
          <w:rPr>
            <w:noProof/>
            <w:webHidden/>
          </w:rPr>
          <w:instrText xml:space="preserve"> PAGEREF _Toc218085227 \h </w:instrText>
        </w:r>
        <w:r>
          <w:rPr>
            <w:noProof/>
            <w:webHidden/>
          </w:rPr>
        </w:r>
        <w:r>
          <w:rPr>
            <w:noProof/>
            <w:webHidden/>
          </w:rPr>
          <w:fldChar w:fldCharType="separate"/>
        </w:r>
        <w:r>
          <w:rPr>
            <w:noProof/>
            <w:webHidden/>
          </w:rPr>
          <w:t>5</w:t>
        </w:r>
        <w:r>
          <w:rPr>
            <w:noProof/>
            <w:webHidden/>
          </w:rPr>
          <w:fldChar w:fldCharType="end"/>
        </w:r>
      </w:hyperlink>
    </w:p>
    <w:p w:rsidR="00635442" w:rsidRPr="003077CD" w:rsidRDefault="00635442">
      <w:pPr>
        <w:pStyle w:val="23"/>
        <w:ind w:left="486" w:hanging="486"/>
        <w:rPr>
          <w:rFonts w:ascii="Calibri" w:eastAsia="新細明體" w:hAnsi="Calibri"/>
          <w:noProof/>
          <w:snapToGrid/>
          <w:szCs w:val="22"/>
        </w:rPr>
      </w:pPr>
      <w:hyperlink w:anchor="_Toc218085228" w:history="1">
        <w:r w:rsidRPr="00774805">
          <w:rPr>
            <w:rStyle w:val="afc"/>
            <w:rFonts w:hint="eastAsia"/>
            <w:noProof/>
          </w:rPr>
          <w:t>三、南北放射性分析備援實驗室啟用迄今多年，惟實際檢測量仍遠低於最大檢測量，允宜研謀精進，俾增設置效益</w:t>
        </w:r>
        <w:r>
          <w:rPr>
            <w:noProof/>
            <w:webHidden/>
          </w:rPr>
          <w:tab/>
        </w:r>
        <w:r>
          <w:rPr>
            <w:noProof/>
            <w:webHidden/>
          </w:rPr>
          <w:fldChar w:fldCharType="begin"/>
        </w:r>
        <w:r>
          <w:rPr>
            <w:noProof/>
            <w:webHidden/>
          </w:rPr>
          <w:instrText xml:space="preserve"> PAGEREF _Toc218085228 \h </w:instrText>
        </w:r>
        <w:r>
          <w:rPr>
            <w:noProof/>
            <w:webHidden/>
          </w:rPr>
        </w:r>
        <w:r>
          <w:rPr>
            <w:noProof/>
            <w:webHidden/>
          </w:rPr>
          <w:fldChar w:fldCharType="separate"/>
        </w:r>
        <w:r>
          <w:rPr>
            <w:noProof/>
            <w:webHidden/>
          </w:rPr>
          <w:t>5</w:t>
        </w:r>
        <w:r>
          <w:rPr>
            <w:noProof/>
            <w:webHidden/>
          </w:rPr>
          <w:fldChar w:fldCharType="end"/>
        </w:r>
      </w:hyperlink>
    </w:p>
    <w:p w:rsidR="00F17D63" w:rsidRPr="009E1BB1" w:rsidRDefault="00635442" w:rsidP="00F17D63">
      <w:pPr>
        <w:ind w:left="566" w:firstLine="486"/>
        <w:rPr>
          <w:color w:val="2F5496"/>
        </w:rPr>
      </w:pPr>
      <w:r>
        <w:rPr>
          <w:color w:val="2F5496"/>
          <w:sz w:val="24"/>
        </w:rPr>
        <w:fldChar w:fldCharType="end"/>
      </w:r>
    </w:p>
    <w:p w:rsidR="00F17D63" w:rsidRPr="009E1BB1" w:rsidRDefault="00F17D63" w:rsidP="00F17D63">
      <w:pPr>
        <w:pStyle w:val="142"/>
        <w:jc w:val="right"/>
        <w:rPr>
          <w:b/>
          <w:color w:val="2F5496"/>
          <w:sz w:val="36"/>
        </w:rPr>
        <w:sectPr w:rsidR="00F17D63" w:rsidRPr="009E1BB1" w:rsidSect="00635442">
          <w:headerReference w:type="even" r:id="rId8"/>
          <w:headerReference w:type="default" r:id="rId9"/>
          <w:footerReference w:type="even" r:id="rId10"/>
          <w:footerReference w:type="default" r:id="rId11"/>
          <w:headerReference w:type="first" r:id="rId12"/>
          <w:footerReference w:type="first" r:id="rId13"/>
          <w:pgSz w:w="11906" w:h="16838" w:code="9"/>
          <w:pgMar w:top="1701" w:right="1883" w:bottom="1701" w:left="1701" w:header="0" w:footer="1134" w:gutter="0"/>
          <w:pgNumType w:start="1"/>
          <w:cols w:space="425"/>
          <w:docGrid w:type="linesAndChars" w:linePitch="500" w:charSpace="658"/>
        </w:sectPr>
      </w:pPr>
    </w:p>
    <w:p w:rsidR="000F16BD" w:rsidRDefault="000F16BD" w:rsidP="000F16BD">
      <w:pPr>
        <w:pStyle w:val="aa"/>
        <w:rPr>
          <w:rFonts w:hint="eastAsia"/>
        </w:rPr>
      </w:pPr>
      <w:r>
        <w:rPr>
          <w:rFonts w:hint="eastAsia"/>
        </w:rPr>
        <w:lastRenderedPageBreak/>
        <w:t>核能安全委員會及所屬113年度決算評估報告</w:t>
      </w:r>
    </w:p>
    <w:p w:rsidR="000F16BD" w:rsidRDefault="000F16BD" w:rsidP="000F16BD">
      <w:pPr>
        <w:pStyle w:val="a8"/>
        <w:ind w:firstLine="566"/>
        <w:rPr>
          <w:rFonts w:hint="eastAsia"/>
        </w:rPr>
      </w:pPr>
      <w:r>
        <w:rPr>
          <w:rFonts w:hint="eastAsia"/>
        </w:rPr>
        <w:t>核能安全委員會(以下稱核安會)係依112年6月21日制定公布並於同年9月27日施行之核能安全委員會組織法，由原行政院原子能委員會(以下稱原能會)改制為相當中央三級獨立機關，掌理我國核能、輻射及放射性物料安全有關業務，轄下設有輻射偵測中心(以下稱輻偵中心)，而原所屬核能研究所則於該會組織法施行日同步改制為行政法人國家原子能科技研究院(以下稱國原院)，受其監督。</w:t>
      </w:r>
    </w:p>
    <w:p w:rsidR="000F16BD" w:rsidRDefault="000F16BD" w:rsidP="000F16BD">
      <w:pPr>
        <w:pStyle w:val="a8"/>
        <w:ind w:firstLine="566"/>
        <w:rPr>
          <w:rFonts w:hint="eastAsia"/>
        </w:rPr>
      </w:pPr>
      <w:r>
        <w:rPr>
          <w:rFonts w:hint="eastAsia"/>
        </w:rPr>
        <w:t>核安會及所屬113年度歲入預算數1億4,282萬4千元、決算審定數1億2,708萬1千元，預算達成率88.98%，歲出預算數29億5,822萬元、決算審定數28億6,473萬5千元(含實現數24億4,578萬9千元及保留數4億1,894萬6千元)，預算執行率96.84%；核子事故緊急應變基金(以下稱核子事故基金)係屬特別收入基金，113年度決算審定賸餘2,580萬7千元，較預算賸餘1,930萬3千元增加650萬4千元(增幅33.70%)。謹就核安會及所屬、核子事故基金113年度決算評估如下：</w:t>
      </w:r>
    </w:p>
    <w:p w:rsidR="000F16BD" w:rsidRDefault="000F16BD" w:rsidP="00635442">
      <w:pPr>
        <w:pStyle w:val="144"/>
        <w:ind w:left="567" w:hanging="567"/>
        <w:rPr>
          <w:rFonts w:hint="eastAsia"/>
        </w:rPr>
      </w:pPr>
      <w:bookmarkStart w:id="1" w:name="_Toc218085224"/>
      <w:r>
        <w:rPr>
          <w:rFonts w:hint="eastAsia"/>
        </w:rPr>
        <w:t>壹、核能安全委員會及所屬</w:t>
      </w:r>
      <w:bookmarkEnd w:id="1"/>
    </w:p>
    <w:p w:rsidR="000F16BD" w:rsidRDefault="000F16BD" w:rsidP="000F16BD">
      <w:pPr>
        <w:pStyle w:val="14"/>
        <w:ind w:left="567" w:hanging="567"/>
        <w:rPr>
          <w:rFonts w:hint="eastAsia"/>
        </w:rPr>
      </w:pPr>
      <w:bookmarkStart w:id="2" w:name="_Toc218085225"/>
      <w:r>
        <w:rPr>
          <w:rFonts w:hint="eastAsia"/>
        </w:rPr>
        <w:t>一、113年度辦理「原子能民生應用輻射安全管理躍昇計畫」實現率僅六成餘，且委託開發監控模組待分析測試項目仍多，允宜強化進度管控，並督促積極辦理，以利提升管制效能</w:t>
      </w:r>
      <w:bookmarkEnd w:id="2"/>
    </w:p>
    <w:p w:rsidR="000F16BD" w:rsidRDefault="000F16BD" w:rsidP="000F16BD">
      <w:pPr>
        <w:ind w:left="566" w:firstLine="566"/>
        <w:rPr>
          <w:rFonts w:hint="eastAsia"/>
        </w:rPr>
      </w:pPr>
      <w:r>
        <w:rPr>
          <w:rFonts w:hint="eastAsia"/>
        </w:rPr>
        <w:t>核安會「游離輻射安全防護-醫用及非醫用游離輻射安全防護檢查與管制」下之「原子能民生應用輻射安全管理躍昇計畫」113年度法定預算數1,942萬3千元，決算數1,836萬6千元。茲說明如下：</w:t>
      </w:r>
    </w:p>
    <w:p w:rsidR="000F16BD" w:rsidRDefault="000F16BD" w:rsidP="000F16BD">
      <w:pPr>
        <w:pStyle w:val="a4"/>
        <w:ind w:left="849" w:hanging="283"/>
        <w:rPr>
          <w:rFonts w:hint="eastAsia"/>
        </w:rPr>
      </w:pPr>
      <w:r>
        <w:rPr>
          <w:rFonts w:hint="eastAsia"/>
        </w:rPr>
        <w:t>(一)計畫概要</w:t>
      </w:r>
    </w:p>
    <w:p w:rsidR="000F16BD" w:rsidRDefault="000F16BD" w:rsidP="000F16BD">
      <w:pPr>
        <w:pStyle w:val="21"/>
        <w:ind w:left="850" w:firstLine="566"/>
        <w:rPr>
          <w:rFonts w:hint="eastAsia"/>
        </w:rPr>
      </w:pPr>
      <w:r>
        <w:rPr>
          <w:rFonts w:hint="eastAsia"/>
        </w:rPr>
        <w:t>為確保民生輻射應用安全與品質，保障輻射工作人員及公眾安全，並將民生輻射應用效益最大化，核安會爰推動「原子能民生應用輻射安全管理躍昇計畫」，期透過結合新興智慧科</w:t>
      </w:r>
      <w:r>
        <w:rPr>
          <w:rFonts w:hint="eastAsia"/>
        </w:rPr>
        <w:lastRenderedPageBreak/>
        <w:t>技，全面強化輻射安全監管效能，其工作項目包含建立新一代輻射源申辦及管制系統平台、推動高風險輻射源即時監控制度與輻射偵測業務認證機制、開發輻射安全智慧客服與學習網絡，以建構嚴密之輻射安全管制網、提供高優質之輻射防護申辦服務及強化業者輻射安全管理品質。本計畫經行政院112年3月核定總經費2億4,050萬元，辦理期程為113至116年度</w:t>
      </w:r>
      <w:r>
        <w:rPr>
          <w:rStyle w:val="af6"/>
        </w:rPr>
        <w:footnoteReference w:id="1"/>
      </w:r>
      <w:r>
        <w:rPr>
          <w:rFonts w:hint="eastAsia"/>
        </w:rPr>
        <w:t>。</w:t>
      </w:r>
    </w:p>
    <w:p w:rsidR="000F16BD" w:rsidRDefault="000F16BD" w:rsidP="000F16BD">
      <w:pPr>
        <w:pStyle w:val="a4"/>
        <w:ind w:left="849" w:hanging="283"/>
        <w:rPr>
          <w:rFonts w:hint="eastAsia"/>
        </w:rPr>
      </w:pPr>
      <w:r>
        <w:rPr>
          <w:rFonts w:hint="eastAsia"/>
        </w:rPr>
        <w:t>(二)113年度預算實現率僅65.83%，且委託國原院開發監控模組尚有多處環節待賡續分析測試，允宜加強進度控管及督促積極辦理</w:t>
      </w:r>
    </w:p>
    <w:p w:rsidR="000F16BD" w:rsidRPr="000F16BD" w:rsidRDefault="000F16BD" w:rsidP="000F16BD">
      <w:pPr>
        <w:pStyle w:val="123"/>
        <w:ind w:left="1133" w:hanging="283"/>
        <w:rPr>
          <w:rFonts w:hint="eastAsia"/>
          <w:b w:val="0"/>
        </w:rPr>
      </w:pPr>
      <w:r w:rsidRPr="000F16BD">
        <w:rPr>
          <w:rFonts w:hint="eastAsia"/>
          <w:b w:val="0"/>
        </w:rPr>
        <w:t>1.本計畫113年度法定預算數1,942萬3千元，實現數1,278萬6千元(占比65.83%)及保留數558萬元(占比28.73%)。據核安會說明略以，預算執行未如預期主要係因「新一代輻射安全管理暨輻射源物聯網即時追蹤整合平台」及「新一代輻射工作人員劑量資料管理系統建置資訊服務」採購案依業務需求及契約期程，辦理保留於114年度執行。</w:t>
      </w:r>
    </w:p>
    <w:p w:rsidR="000F16BD" w:rsidRPr="000F16BD" w:rsidRDefault="000F16BD" w:rsidP="000F16BD">
      <w:pPr>
        <w:pStyle w:val="123"/>
        <w:ind w:left="1133" w:hanging="283"/>
        <w:rPr>
          <w:rFonts w:hint="eastAsia"/>
          <w:b w:val="0"/>
        </w:rPr>
      </w:pPr>
      <w:r w:rsidRPr="000F16BD">
        <w:rPr>
          <w:rFonts w:hint="eastAsia"/>
          <w:b w:val="0"/>
        </w:rPr>
        <w:t>2.本計畫委託國原院開發高風險輻射源科技監控模組(下稱監控模組)，迄113年底已完成模組設計及輻射影響評估。惟按審計部113年度總決算審核報告略以，據核安會113年度參訪韓國報告所載述該國推動輻射源動態監控系統十餘年經驗，追蹤器故障失效主因為定位或狀態資訊異常、外殼損壞、螺絲與配件損壞及電池效能等，且據國原院高風險輻射源科技監控技術研析相關報告顯示，其開發之監控模組尚有GPS定位通訊傳輸、追蹤器外殼及配件耐用度、電池效能及電源供應對於即時監控作業之影響等多處環節待持續分析測試，以提升系統可靠度。</w:t>
      </w:r>
    </w:p>
    <w:p w:rsidR="000F16BD" w:rsidRPr="000F16BD" w:rsidRDefault="000F16BD" w:rsidP="000F16BD">
      <w:pPr>
        <w:pStyle w:val="123"/>
        <w:ind w:left="1133" w:hanging="283"/>
        <w:rPr>
          <w:rFonts w:hint="eastAsia"/>
          <w:b w:val="0"/>
        </w:rPr>
      </w:pPr>
      <w:r w:rsidRPr="000F16BD">
        <w:rPr>
          <w:rFonts w:hint="eastAsia"/>
          <w:b w:val="0"/>
        </w:rPr>
        <w:t>3.揆諸前述，本計畫113年度執行進度未如預期，且委託國原院開發監控模組尚有多處環節仍待分析測試，允宜加強進度控管，並督促該院依規劃時程完成分析測試作業，以利推動輻射源科技監控及運送監管機制。</w:t>
      </w:r>
    </w:p>
    <w:p w:rsidR="000B6596" w:rsidRDefault="000F16BD" w:rsidP="000F16BD">
      <w:pPr>
        <w:ind w:left="566" w:firstLine="566"/>
      </w:pPr>
      <w:r>
        <w:rPr>
          <w:rFonts w:hint="eastAsia"/>
        </w:rPr>
        <w:t>綜上，核安會推動「原子能民生應用輻射安全管理躍昇計畫」，惟113年度實現率僅六成餘，且委託國原院開發監控模組待分析測試項目仍多，允宜加強進度控管及督促國原院積極辦理，俾達全面強化輻射安全監管效能之計畫目標。</w:t>
      </w:r>
    </w:p>
    <w:p w:rsidR="000F16BD" w:rsidRDefault="000F16BD" w:rsidP="000F16BD">
      <w:pPr>
        <w:ind w:left="566" w:firstLine="566"/>
      </w:pPr>
    </w:p>
    <w:p w:rsidR="000F16BD" w:rsidRDefault="000F16BD" w:rsidP="00E812BC">
      <w:pPr>
        <w:pStyle w:val="14"/>
        <w:ind w:left="567" w:hanging="567"/>
        <w:rPr>
          <w:rFonts w:hint="eastAsia"/>
        </w:rPr>
      </w:pPr>
      <w:bookmarkStart w:id="3" w:name="_Toc218085226"/>
      <w:r>
        <w:rPr>
          <w:rFonts w:hint="eastAsia"/>
        </w:rPr>
        <w:t>二、「六氟化鈾安定化處理與處置計畫」執行多年，迄113年底待執行保留數仍高，允宜積極辦理並管控時程</w:t>
      </w:r>
      <w:bookmarkEnd w:id="3"/>
    </w:p>
    <w:p w:rsidR="000F16BD" w:rsidRDefault="000F16BD" w:rsidP="000F16BD">
      <w:pPr>
        <w:ind w:left="566" w:firstLine="566"/>
        <w:rPr>
          <w:rFonts w:hint="eastAsia"/>
        </w:rPr>
      </w:pPr>
      <w:r>
        <w:rPr>
          <w:rFonts w:hint="eastAsia"/>
        </w:rPr>
        <w:t>核安會113年度「原子能科學發展-國家原子能科技研究院營運發展計畫」補助國原院辦理「六氟化鈾安定化處理與處置計畫」(以下稱六氟化鈾處置計畫)預算1億458萬1千元，係賡續執行自104年度起辦理之六氟化鈾處置計畫。茲說明如下：</w:t>
      </w:r>
    </w:p>
    <w:p w:rsidR="000F16BD" w:rsidRDefault="000F16BD" w:rsidP="000F16BD">
      <w:pPr>
        <w:pStyle w:val="a4"/>
        <w:ind w:left="849" w:hanging="283"/>
        <w:rPr>
          <w:rFonts w:hint="eastAsia"/>
        </w:rPr>
      </w:pPr>
      <w:r>
        <w:rPr>
          <w:rFonts w:hint="eastAsia"/>
        </w:rPr>
        <w:t>(一)六氟化鈾處置計畫係將國原院貯存之六氟化鈾送至境外處理場安定化處理及處置，歷經3次修正計畫展延期限至113年度</w:t>
      </w:r>
    </w:p>
    <w:p w:rsidR="000F16BD" w:rsidRPr="000F16BD" w:rsidRDefault="000F16BD" w:rsidP="000F16BD">
      <w:pPr>
        <w:pStyle w:val="123"/>
        <w:ind w:left="1133" w:hanging="283"/>
        <w:rPr>
          <w:rFonts w:hint="eastAsia"/>
          <w:b w:val="0"/>
        </w:rPr>
      </w:pPr>
      <w:r w:rsidRPr="000F16BD">
        <w:rPr>
          <w:rFonts w:hint="eastAsia"/>
          <w:b w:val="0"/>
        </w:rPr>
        <w:t>1.國原院68至72年間執行輕水反應器核子燃料發展計畫，以因應當時之世界能源危機，加強國內能源供應之安全，爰自美、法兩國購入六氟化鈾供實驗研究及化工程序開發使用；76年以後，調整研發策略及相關研發計畫相繼結案，所餘六氟化鈾貯存於該院。</w:t>
      </w:r>
    </w:p>
    <w:p w:rsidR="000F16BD" w:rsidRPr="000F16BD" w:rsidRDefault="000F16BD" w:rsidP="000F16BD">
      <w:pPr>
        <w:pStyle w:val="123"/>
        <w:ind w:left="1133" w:hanging="283"/>
        <w:rPr>
          <w:rFonts w:hint="eastAsia"/>
          <w:b w:val="0"/>
        </w:rPr>
      </w:pPr>
      <w:r w:rsidRPr="000F16BD">
        <w:rPr>
          <w:rFonts w:hint="eastAsia"/>
          <w:b w:val="0"/>
        </w:rPr>
        <w:t>2.基於長期貯存安全考量，宜將氣態六氟化鈾處理為安定之固態，該院爰規劃送至境外處理廠進行安定化處理與處置，並於104及105年度預算各編列4,500萬元及7,500萬元辦理。惟因美方認處理境外六氟化鈾並非其能源部執掌而請我國另尋相關民間廠商辦理，爰於106年提報「六氟化鈾安定化處理與處置專案計畫」經行政院同意後執行，計畫期程為107至108年度(107及108年度預算合共1億5,530萬8千元)。</w:t>
      </w:r>
    </w:p>
    <w:p w:rsidR="000F16BD" w:rsidRPr="000F16BD" w:rsidRDefault="000F16BD" w:rsidP="000F16BD">
      <w:pPr>
        <w:pStyle w:val="123"/>
        <w:ind w:left="1133" w:hanging="283"/>
        <w:rPr>
          <w:rFonts w:hint="eastAsia"/>
          <w:b w:val="0"/>
        </w:rPr>
      </w:pPr>
      <w:r w:rsidRPr="000F16BD">
        <w:rPr>
          <w:rFonts w:hint="eastAsia"/>
          <w:b w:val="0"/>
        </w:rPr>
        <w:t>3.嗣因國外廠商處理後仍需將氧化鈾回運至我國，與該計畫所規劃將全數於境外處理之目標未符、辦理國外運送採購案歷經數度流標致時程延宕、國內外海陸運經費上漲等原因，該計畫陸續辦理3次辦理修正後，完成期限由原訂之108年度延後至113年度。</w:t>
      </w:r>
    </w:p>
    <w:p w:rsidR="000F16BD" w:rsidRDefault="000F16BD" w:rsidP="000F16BD">
      <w:pPr>
        <w:pStyle w:val="a4"/>
        <w:ind w:left="849" w:hanging="283"/>
        <w:rPr>
          <w:rFonts w:hint="eastAsia"/>
        </w:rPr>
      </w:pPr>
      <w:r>
        <w:rPr>
          <w:rFonts w:hint="eastAsia"/>
        </w:rPr>
        <w:t>(二)六氟化鈾處置計畫迄113年底尚有保留數2.08億元待執行，允宜積極辦理並管控時程</w:t>
      </w:r>
    </w:p>
    <w:p w:rsidR="000F16BD" w:rsidRPr="000F16BD" w:rsidRDefault="000F16BD" w:rsidP="000F16BD">
      <w:pPr>
        <w:pStyle w:val="123"/>
        <w:ind w:left="1133" w:hanging="283"/>
        <w:rPr>
          <w:rFonts w:hint="eastAsia"/>
          <w:b w:val="0"/>
        </w:rPr>
      </w:pPr>
      <w:r w:rsidRPr="000F16BD">
        <w:rPr>
          <w:rFonts w:hint="eastAsia"/>
          <w:b w:val="0"/>
        </w:rPr>
        <w:t>1.該計畫104至113年度累計預算編列4億4,519萬3千元(詳表1)，其中104及105年度預算分別因尚未簽訂契約、雖已簽訂合作備忘錄惟歷時4年未支用預算保留款而予繳庫，106、109及111年度未編列預算，而107、108、110及112年度預算概因六氟化鈾運送前置檢測、驗證等作業尚未完成，後續國內陸運及國外海陸運等經費需俟實際運送完成後方予支付，及受COVID-19疫情影響致國外技師無法來臺執行六氟化鈾桶完整性檢測作業等因素而辦理經費保留。</w:t>
      </w:r>
    </w:p>
    <w:p w:rsidR="000F16BD" w:rsidRDefault="000F16BD" w:rsidP="000F16BD">
      <w:pPr>
        <w:pStyle w:val="123"/>
        <w:ind w:left="1133" w:hanging="283"/>
        <w:rPr>
          <w:b w:val="0"/>
        </w:rPr>
      </w:pPr>
      <w:r w:rsidRPr="000F16BD">
        <w:rPr>
          <w:rFonts w:hint="eastAsia"/>
          <w:b w:val="0"/>
        </w:rPr>
        <w:t>2.該計畫迄113年度已編列預算4億4,519萬3千元，實現數僅4,964萬3千元(占比11.15%)，保留數高達2億777萬2千元(占比46.67%)(詳表1)。據核安會說明略以，113年度工作項目目標係將32桶六氟化鈾皆運送至英國URENCO公司處理與處置，迄該年底已將30桶六氟化鈾運送至英國URENCO公司，其餘2桶48Y型容器六氟化鈾低於最低承載重量要求，致未取得許可證書及運送至英國，仍待於114年度積極辦理並加強管控時程。</w:t>
      </w:r>
    </w:p>
    <w:p w:rsidR="000F16BD" w:rsidRPr="00D90B72" w:rsidRDefault="000F16BD" w:rsidP="000F16BD">
      <w:pPr>
        <w:spacing w:beforeLines="30" w:before="150" w:line="360" w:lineRule="exact"/>
        <w:ind w:leftChars="0" w:left="797" w:hangingChars="281" w:hanging="797"/>
      </w:pPr>
      <w:r w:rsidRPr="00D90B72">
        <w:rPr>
          <w:rFonts w:hAnsi="標楷體" w:hint="eastAsia"/>
          <w:b/>
        </w:rPr>
        <w:t xml:space="preserve">表1  104至113年度「六氟化鈾安定化處理與處置計畫」預算編列與執行概況表           </w:t>
      </w:r>
      <w:r w:rsidRPr="00D90B72">
        <w:rPr>
          <w:rFonts w:hAnsi="標楷體"/>
          <w:b/>
        </w:rPr>
        <w:t xml:space="preserve">   </w:t>
      </w:r>
      <w:r w:rsidRPr="00D90B72">
        <w:rPr>
          <w:rFonts w:hAnsi="標楷體" w:hint="eastAsia"/>
          <w:b/>
        </w:rPr>
        <w:t xml:space="preserve">                  </w:t>
      </w:r>
      <w:r w:rsidRPr="00D90B72">
        <w:rPr>
          <w:rFonts w:hAnsi="標楷體" w:hint="eastAsia"/>
          <w:sz w:val="24"/>
        </w:rPr>
        <w:t>單位：新臺幣千元</w:t>
      </w:r>
    </w:p>
    <w:tbl>
      <w:tblPr>
        <w:tblW w:w="8505" w:type="dxa"/>
        <w:tblInd w:w="28" w:type="dxa"/>
        <w:tblLayout w:type="fixed"/>
        <w:tblCellMar>
          <w:left w:w="28" w:type="dxa"/>
          <w:right w:w="28" w:type="dxa"/>
        </w:tblCellMar>
        <w:tblLook w:val="04A0" w:firstRow="1" w:lastRow="0" w:firstColumn="1" w:lastColumn="0" w:noHBand="0" w:noVBand="1"/>
      </w:tblPr>
      <w:tblGrid>
        <w:gridCol w:w="820"/>
        <w:gridCol w:w="1014"/>
        <w:gridCol w:w="1190"/>
        <w:gridCol w:w="1190"/>
        <w:gridCol w:w="1430"/>
        <w:gridCol w:w="1430"/>
        <w:gridCol w:w="1431"/>
      </w:tblGrid>
      <w:tr w:rsidR="000F16BD" w:rsidRPr="00370FDC" w:rsidTr="003077CD">
        <w:trPr>
          <w:tblHeader/>
        </w:trPr>
        <w:tc>
          <w:tcPr>
            <w:tcW w:w="820" w:type="dxa"/>
            <w:vMerge w:val="restart"/>
            <w:tcBorders>
              <w:top w:val="single" w:sz="12" w:space="0" w:color="auto"/>
              <w:left w:val="single" w:sz="12" w:space="0" w:color="auto"/>
              <w:bottom w:val="single" w:sz="4" w:space="0" w:color="auto"/>
              <w:right w:val="single" w:sz="4" w:space="0" w:color="auto"/>
            </w:tcBorders>
            <w:shd w:val="clear" w:color="auto" w:fill="auto"/>
            <w:vAlign w:val="center"/>
            <w:hideMark/>
          </w:tcPr>
          <w:p w:rsidR="000F16BD" w:rsidRPr="00370FDC" w:rsidRDefault="000F16BD" w:rsidP="003077CD">
            <w:pPr>
              <w:pStyle w:val="142"/>
              <w:jc w:val="center"/>
              <w:rPr>
                <w:snapToGrid/>
              </w:rPr>
            </w:pPr>
            <w:r w:rsidRPr="00370FDC">
              <w:rPr>
                <w:rFonts w:hint="eastAsia"/>
                <w:snapToGrid/>
              </w:rPr>
              <w:t>年度</w:t>
            </w:r>
          </w:p>
        </w:tc>
        <w:tc>
          <w:tcPr>
            <w:tcW w:w="3394" w:type="dxa"/>
            <w:gridSpan w:val="3"/>
            <w:tcBorders>
              <w:top w:val="single" w:sz="12" w:space="0" w:color="auto"/>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center"/>
              <w:rPr>
                <w:rFonts w:hint="eastAsia"/>
                <w:snapToGrid/>
              </w:rPr>
            </w:pPr>
            <w:r w:rsidRPr="00370FDC">
              <w:rPr>
                <w:rFonts w:hint="eastAsia"/>
                <w:snapToGrid/>
              </w:rPr>
              <w:t>可支用預算數</w:t>
            </w:r>
          </w:p>
        </w:tc>
        <w:tc>
          <w:tcPr>
            <w:tcW w:w="1430" w:type="dxa"/>
            <w:vMerge w:val="restart"/>
            <w:tcBorders>
              <w:top w:val="single" w:sz="12" w:space="0" w:color="auto"/>
              <w:left w:val="single" w:sz="4" w:space="0" w:color="auto"/>
              <w:bottom w:val="single" w:sz="4" w:space="0" w:color="auto"/>
              <w:right w:val="single" w:sz="4" w:space="0" w:color="auto"/>
            </w:tcBorders>
            <w:shd w:val="clear" w:color="auto" w:fill="auto"/>
            <w:vAlign w:val="center"/>
            <w:hideMark/>
          </w:tcPr>
          <w:p w:rsidR="000F16BD" w:rsidRPr="00370FDC" w:rsidRDefault="000F16BD" w:rsidP="003077CD">
            <w:pPr>
              <w:pStyle w:val="142"/>
              <w:jc w:val="center"/>
              <w:rPr>
                <w:rFonts w:hint="eastAsia"/>
                <w:snapToGrid/>
              </w:rPr>
            </w:pPr>
            <w:r w:rsidRPr="00370FDC">
              <w:rPr>
                <w:rFonts w:hint="eastAsia"/>
                <w:snapToGrid/>
              </w:rPr>
              <w:t>實現數</w:t>
            </w:r>
          </w:p>
        </w:tc>
        <w:tc>
          <w:tcPr>
            <w:tcW w:w="1430" w:type="dxa"/>
            <w:vMerge w:val="restart"/>
            <w:tcBorders>
              <w:top w:val="single" w:sz="12" w:space="0" w:color="auto"/>
              <w:left w:val="single" w:sz="4" w:space="0" w:color="auto"/>
              <w:bottom w:val="single" w:sz="4" w:space="0" w:color="auto"/>
              <w:right w:val="single" w:sz="4" w:space="0" w:color="auto"/>
            </w:tcBorders>
            <w:shd w:val="clear" w:color="auto" w:fill="auto"/>
            <w:vAlign w:val="center"/>
            <w:hideMark/>
          </w:tcPr>
          <w:p w:rsidR="000F16BD" w:rsidRPr="00370FDC" w:rsidRDefault="000F16BD" w:rsidP="003077CD">
            <w:pPr>
              <w:pStyle w:val="142"/>
              <w:jc w:val="center"/>
              <w:rPr>
                <w:rFonts w:hint="eastAsia"/>
                <w:snapToGrid/>
              </w:rPr>
            </w:pPr>
            <w:r w:rsidRPr="00370FDC">
              <w:rPr>
                <w:rFonts w:hint="eastAsia"/>
                <w:snapToGrid/>
              </w:rPr>
              <w:t>保留數</w:t>
            </w:r>
          </w:p>
        </w:tc>
        <w:tc>
          <w:tcPr>
            <w:tcW w:w="1431" w:type="dxa"/>
            <w:vMerge w:val="restart"/>
            <w:tcBorders>
              <w:top w:val="single" w:sz="12" w:space="0" w:color="auto"/>
              <w:left w:val="single" w:sz="4" w:space="0" w:color="auto"/>
              <w:bottom w:val="single" w:sz="4" w:space="0" w:color="auto"/>
              <w:right w:val="single" w:sz="12" w:space="0" w:color="auto"/>
            </w:tcBorders>
            <w:shd w:val="clear" w:color="auto" w:fill="auto"/>
            <w:vAlign w:val="center"/>
            <w:hideMark/>
          </w:tcPr>
          <w:p w:rsidR="000F16BD" w:rsidRPr="00370FDC" w:rsidRDefault="000F16BD" w:rsidP="003077CD">
            <w:pPr>
              <w:pStyle w:val="142"/>
              <w:jc w:val="center"/>
              <w:rPr>
                <w:rFonts w:hint="eastAsia"/>
                <w:snapToGrid/>
              </w:rPr>
            </w:pPr>
            <w:r w:rsidRPr="00370FDC">
              <w:rPr>
                <w:rFonts w:hint="eastAsia"/>
                <w:snapToGrid/>
              </w:rPr>
              <w:t>賸餘數</w:t>
            </w:r>
          </w:p>
        </w:tc>
      </w:tr>
      <w:tr w:rsidR="000F16BD" w:rsidRPr="00370FDC" w:rsidTr="003077CD">
        <w:trPr>
          <w:tblHeader/>
        </w:trPr>
        <w:tc>
          <w:tcPr>
            <w:tcW w:w="820" w:type="dxa"/>
            <w:vMerge/>
            <w:tcBorders>
              <w:top w:val="single" w:sz="4" w:space="0" w:color="auto"/>
              <w:left w:val="single" w:sz="12" w:space="0" w:color="auto"/>
              <w:bottom w:val="single" w:sz="4" w:space="0" w:color="auto"/>
              <w:right w:val="single" w:sz="4" w:space="0" w:color="auto"/>
            </w:tcBorders>
            <w:vAlign w:val="center"/>
            <w:hideMark/>
          </w:tcPr>
          <w:p w:rsidR="000F16BD" w:rsidRPr="00370FDC" w:rsidRDefault="000F16BD" w:rsidP="003077CD">
            <w:pPr>
              <w:pStyle w:val="142"/>
              <w:jc w:val="center"/>
              <w:rPr>
                <w:snapToGrid/>
              </w:rPr>
            </w:pPr>
          </w:p>
        </w:tc>
        <w:tc>
          <w:tcPr>
            <w:tcW w:w="1014" w:type="dxa"/>
            <w:tcBorders>
              <w:top w:val="nil"/>
              <w:left w:val="nil"/>
              <w:bottom w:val="single" w:sz="4" w:space="0" w:color="auto"/>
              <w:right w:val="single" w:sz="4" w:space="0" w:color="auto"/>
            </w:tcBorders>
            <w:shd w:val="clear" w:color="auto" w:fill="auto"/>
            <w:vAlign w:val="center"/>
            <w:hideMark/>
          </w:tcPr>
          <w:p w:rsidR="000F16BD" w:rsidRDefault="000F16BD" w:rsidP="003077CD">
            <w:pPr>
              <w:pStyle w:val="142"/>
              <w:jc w:val="center"/>
              <w:rPr>
                <w:snapToGrid/>
              </w:rPr>
            </w:pPr>
            <w:r w:rsidRPr="00370FDC">
              <w:rPr>
                <w:rFonts w:hint="eastAsia"/>
                <w:snapToGrid/>
              </w:rPr>
              <w:t>年度</w:t>
            </w:r>
          </w:p>
          <w:p w:rsidR="000F16BD" w:rsidRPr="00370FDC" w:rsidRDefault="000F16BD" w:rsidP="003077CD">
            <w:pPr>
              <w:pStyle w:val="142"/>
              <w:jc w:val="center"/>
              <w:rPr>
                <w:rFonts w:hint="eastAsia"/>
                <w:snapToGrid/>
              </w:rPr>
            </w:pPr>
            <w:r w:rsidRPr="00370FDC">
              <w:rPr>
                <w:rFonts w:hint="eastAsia"/>
                <w:snapToGrid/>
              </w:rPr>
              <w:t>預算數</w:t>
            </w:r>
          </w:p>
        </w:tc>
        <w:tc>
          <w:tcPr>
            <w:tcW w:w="1190" w:type="dxa"/>
            <w:tcBorders>
              <w:top w:val="nil"/>
              <w:left w:val="nil"/>
              <w:bottom w:val="single" w:sz="4" w:space="0" w:color="auto"/>
              <w:right w:val="single" w:sz="4" w:space="0" w:color="auto"/>
            </w:tcBorders>
            <w:shd w:val="clear" w:color="auto" w:fill="auto"/>
            <w:vAlign w:val="center"/>
            <w:hideMark/>
          </w:tcPr>
          <w:p w:rsidR="000F16BD" w:rsidRDefault="000F16BD" w:rsidP="003077CD">
            <w:pPr>
              <w:pStyle w:val="142"/>
              <w:jc w:val="center"/>
              <w:rPr>
                <w:snapToGrid/>
              </w:rPr>
            </w:pPr>
            <w:r w:rsidRPr="00370FDC">
              <w:rPr>
                <w:rFonts w:hint="eastAsia"/>
                <w:snapToGrid/>
              </w:rPr>
              <w:t>以前年度</w:t>
            </w:r>
          </w:p>
          <w:p w:rsidR="000F16BD" w:rsidRPr="00370FDC" w:rsidRDefault="000F16BD" w:rsidP="003077CD">
            <w:pPr>
              <w:pStyle w:val="142"/>
              <w:jc w:val="center"/>
              <w:rPr>
                <w:rFonts w:hint="eastAsia"/>
                <w:snapToGrid/>
              </w:rPr>
            </w:pPr>
            <w:r w:rsidRPr="00370FDC">
              <w:rPr>
                <w:rFonts w:hint="eastAsia"/>
                <w:snapToGrid/>
              </w:rPr>
              <w:t>保留數</w:t>
            </w:r>
          </w:p>
        </w:tc>
        <w:tc>
          <w:tcPr>
            <w:tcW w:w="119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center"/>
              <w:rPr>
                <w:rFonts w:hint="eastAsia"/>
                <w:snapToGrid/>
              </w:rPr>
            </w:pPr>
            <w:r w:rsidRPr="00370FDC">
              <w:rPr>
                <w:rFonts w:hint="eastAsia"/>
                <w:snapToGrid/>
              </w:rPr>
              <w:t>合計</w:t>
            </w:r>
          </w:p>
        </w:tc>
        <w:tc>
          <w:tcPr>
            <w:tcW w:w="1430" w:type="dxa"/>
            <w:vMerge/>
            <w:tcBorders>
              <w:top w:val="single" w:sz="4" w:space="0" w:color="auto"/>
              <w:left w:val="single" w:sz="4" w:space="0" w:color="auto"/>
              <w:bottom w:val="single" w:sz="4" w:space="0" w:color="auto"/>
              <w:right w:val="single" w:sz="4" w:space="0" w:color="auto"/>
            </w:tcBorders>
            <w:vAlign w:val="center"/>
            <w:hideMark/>
          </w:tcPr>
          <w:p w:rsidR="000F16BD" w:rsidRPr="00370FDC" w:rsidRDefault="000F16BD" w:rsidP="003077CD">
            <w:pPr>
              <w:pStyle w:val="142"/>
              <w:rPr>
                <w:snapToGrid/>
              </w:rPr>
            </w:pPr>
          </w:p>
        </w:tc>
        <w:tc>
          <w:tcPr>
            <w:tcW w:w="1430" w:type="dxa"/>
            <w:vMerge/>
            <w:tcBorders>
              <w:top w:val="single" w:sz="4" w:space="0" w:color="auto"/>
              <w:left w:val="single" w:sz="4" w:space="0" w:color="auto"/>
              <w:bottom w:val="single" w:sz="4" w:space="0" w:color="auto"/>
              <w:right w:val="single" w:sz="4" w:space="0" w:color="auto"/>
            </w:tcBorders>
            <w:vAlign w:val="center"/>
            <w:hideMark/>
          </w:tcPr>
          <w:p w:rsidR="000F16BD" w:rsidRPr="00370FDC" w:rsidRDefault="000F16BD" w:rsidP="003077CD">
            <w:pPr>
              <w:pStyle w:val="142"/>
              <w:rPr>
                <w:snapToGrid/>
              </w:rPr>
            </w:pPr>
          </w:p>
        </w:tc>
        <w:tc>
          <w:tcPr>
            <w:tcW w:w="1431" w:type="dxa"/>
            <w:vMerge/>
            <w:tcBorders>
              <w:top w:val="single" w:sz="4" w:space="0" w:color="auto"/>
              <w:left w:val="single" w:sz="4" w:space="0" w:color="auto"/>
              <w:bottom w:val="single" w:sz="4" w:space="0" w:color="auto"/>
              <w:right w:val="single" w:sz="12" w:space="0" w:color="auto"/>
            </w:tcBorders>
            <w:vAlign w:val="center"/>
            <w:hideMark/>
          </w:tcPr>
          <w:p w:rsidR="000F16BD" w:rsidRPr="00370FDC" w:rsidRDefault="000F16BD" w:rsidP="003077CD">
            <w:pPr>
              <w:pStyle w:val="142"/>
              <w:rPr>
                <w:snapToGrid/>
              </w:rPr>
            </w:pPr>
          </w:p>
        </w:tc>
      </w:tr>
      <w:tr w:rsidR="000F16BD" w:rsidRPr="00370FDC" w:rsidTr="003077CD">
        <w:tc>
          <w:tcPr>
            <w:tcW w:w="820" w:type="dxa"/>
            <w:tcBorders>
              <w:top w:val="nil"/>
              <w:left w:val="single" w:sz="12" w:space="0" w:color="auto"/>
              <w:bottom w:val="single" w:sz="4" w:space="0" w:color="auto"/>
              <w:right w:val="single" w:sz="4" w:space="0" w:color="auto"/>
            </w:tcBorders>
            <w:shd w:val="clear" w:color="auto" w:fill="auto"/>
            <w:vAlign w:val="center"/>
            <w:hideMark/>
          </w:tcPr>
          <w:p w:rsidR="000F16BD" w:rsidRPr="00370FDC" w:rsidRDefault="000F16BD" w:rsidP="003077CD">
            <w:pPr>
              <w:pStyle w:val="142"/>
              <w:jc w:val="center"/>
              <w:rPr>
                <w:rFonts w:hint="eastAsia"/>
                <w:snapToGrid/>
              </w:rPr>
            </w:pPr>
            <w:r w:rsidRPr="00370FDC">
              <w:rPr>
                <w:rFonts w:hint="eastAsia"/>
                <w:snapToGrid/>
              </w:rPr>
              <w:t>104</w:t>
            </w:r>
          </w:p>
        </w:tc>
        <w:tc>
          <w:tcPr>
            <w:tcW w:w="1014"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45,000</w:t>
            </w:r>
          </w:p>
        </w:tc>
        <w:tc>
          <w:tcPr>
            <w:tcW w:w="119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w:t>
            </w:r>
          </w:p>
        </w:tc>
        <w:tc>
          <w:tcPr>
            <w:tcW w:w="119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45,000</w:t>
            </w:r>
          </w:p>
        </w:tc>
        <w:tc>
          <w:tcPr>
            <w:tcW w:w="143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1,050</w:t>
            </w:r>
          </w:p>
        </w:tc>
        <w:tc>
          <w:tcPr>
            <w:tcW w:w="143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900</w:t>
            </w:r>
          </w:p>
        </w:tc>
        <w:tc>
          <w:tcPr>
            <w:tcW w:w="1431" w:type="dxa"/>
            <w:tcBorders>
              <w:top w:val="nil"/>
              <w:left w:val="nil"/>
              <w:bottom w:val="single" w:sz="4" w:space="0" w:color="auto"/>
              <w:right w:val="single" w:sz="12"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43,050</w:t>
            </w:r>
          </w:p>
        </w:tc>
      </w:tr>
      <w:tr w:rsidR="000F16BD" w:rsidRPr="00370FDC" w:rsidTr="003077CD">
        <w:tc>
          <w:tcPr>
            <w:tcW w:w="820" w:type="dxa"/>
            <w:tcBorders>
              <w:top w:val="nil"/>
              <w:left w:val="single" w:sz="12" w:space="0" w:color="auto"/>
              <w:bottom w:val="single" w:sz="4" w:space="0" w:color="auto"/>
              <w:right w:val="single" w:sz="4" w:space="0" w:color="auto"/>
            </w:tcBorders>
            <w:shd w:val="clear" w:color="auto" w:fill="auto"/>
            <w:vAlign w:val="center"/>
            <w:hideMark/>
          </w:tcPr>
          <w:p w:rsidR="000F16BD" w:rsidRPr="00370FDC" w:rsidRDefault="000F16BD" w:rsidP="003077CD">
            <w:pPr>
              <w:pStyle w:val="142"/>
              <w:jc w:val="center"/>
              <w:rPr>
                <w:rFonts w:hint="eastAsia"/>
                <w:snapToGrid/>
              </w:rPr>
            </w:pPr>
            <w:r w:rsidRPr="00370FDC">
              <w:rPr>
                <w:rFonts w:hint="eastAsia"/>
                <w:snapToGrid/>
              </w:rPr>
              <w:t>105</w:t>
            </w:r>
          </w:p>
        </w:tc>
        <w:tc>
          <w:tcPr>
            <w:tcW w:w="1014"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75,000</w:t>
            </w:r>
          </w:p>
        </w:tc>
        <w:tc>
          <w:tcPr>
            <w:tcW w:w="119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900</w:t>
            </w:r>
          </w:p>
        </w:tc>
        <w:tc>
          <w:tcPr>
            <w:tcW w:w="119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75,900</w:t>
            </w:r>
          </w:p>
        </w:tc>
        <w:tc>
          <w:tcPr>
            <w:tcW w:w="143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1,208</w:t>
            </w:r>
          </w:p>
        </w:tc>
        <w:tc>
          <w:tcPr>
            <w:tcW w:w="143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74,692</w:t>
            </w:r>
          </w:p>
        </w:tc>
        <w:tc>
          <w:tcPr>
            <w:tcW w:w="1431" w:type="dxa"/>
            <w:tcBorders>
              <w:top w:val="nil"/>
              <w:left w:val="nil"/>
              <w:bottom w:val="single" w:sz="4" w:space="0" w:color="auto"/>
              <w:right w:val="single" w:sz="12"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0</w:t>
            </w:r>
          </w:p>
        </w:tc>
      </w:tr>
      <w:tr w:rsidR="000F16BD" w:rsidRPr="00370FDC" w:rsidTr="003077CD">
        <w:tc>
          <w:tcPr>
            <w:tcW w:w="820" w:type="dxa"/>
            <w:tcBorders>
              <w:top w:val="nil"/>
              <w:left w:val="single" w:sz="12" w:space="0" w:color="auto"/>
              <w:bottom w:val="single" w:sz="4" w:space="0" w:color="auto"/>
              <w:right w:val="single" w:sz="4" w:space="0" w:color="auto"/>
            </w:tcBorders>
            <w:shd w:val="clear" w:color="auto" w:fill="auto"/>
            <w:vAlign w:val="center"/>
            <w:hideMark/>
          </w:tcPr>
          <w:p w:rsidR="000F16BD" w:rsidRPr="00370FDC" w:rsidRDefault="000F16BD" w:rsidP="003077CD">
            <w:pPr>
              <w:pStyle w:val="142"/>
              <w:jc w:val="center"/>
              <w:rPr>
                <w:rFonts w:hint="eastAsia"/>
                <w:snapToGrid/>
              </w:rPr>
            </w:pPr>
            <w:r w:rsidRPr="00370FDC">
              <w:rPr>
                <w:rFonts w:hint="eastAsia"/>
                <w:snapToGrid/>
              </w:rPr>
              <w:t>106</w:t>
            </w:r>
          </w:p>
        </w:tc>
        <w:tc>
          <w:tcPr>
            <w:tcW w:w="1014"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w:t>
            </w:r>
          </w:p>
        </w:tc>
        <w:tc>
          <w:tcPr>
            <w:tcW w:w="119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74,692</w:t>
            </w:r>
          </w:p>
        </w:tc>
        <w:tc>
          <w:tcPr>
            <w:tcW w:w="119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74,692</w:t>
            </w:r>
          </w:p>
        </w:tc>
        <w:tc>
          <w:tcPr>
            <w:tcW w:w="143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w:t>
            </w:r>
          </w:p>
        </w:tc>
        <w:tc>
          <w:tcPr>
            <w:tcW w:w="143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74,692</w:t>
            </w:r>
          </w:p>
        </w:tc>
        <w:tc>
          <w:tcPr>
            <w:tcW w:w="1431" w:type="dxa"/>
            <w:tcBorders>
              <w:top w:val="nil"/>
              <w:left w:val="nil"/>
              <w:bottom w:val="single" w:sz="4" w:space="0" w:color="auto"/>
              <w:right w:val="single" w:sz="12"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0</w:t>
            </w:r>
          </w:p>
        </w:tc>
      </w:tr>
      <w:tr w:rsidR="000F16BD" w:rsidRPr="00370FDC" w:rsidTr="003077CD">
        <w:tc>
          <w:tcPr>
            <w:tcW w:w="820" w:type="dxa"/>
            <w:tcBorders>
              <w:top w:val="nil"/>
              <w:left w:val="single" w:sz="12" w:space="0" w:color="auto"/>
              <w:bottom w:val="single" w:sz="4" w:space="0" w:color="auto"/>
              <w:right w:val="single" w:sz="4" w:space="0" w:color="auto"/>
            </w:tcBorders>
            <w:shd w:val="clear" w:color="auto" w:fill="auto"/>
            <w:vAlign w:val="center"/>
            <w:hideMark/>
          </w:tcPr>
          <w:p w:rsidR="000F16BD" w:rsidRPr="00370FDC" w:rsidRDefault="000F16BD" w:rsidP="003077CD">
            <w:pPr>
              <w:pStyle w:val="142"/>
              <w:jc w:val="center"/>
              <w:rPr>
                <w:rFonts w:hint="eastAsia"/>
                <w:snapToGrid/>
              </w:rPr>
            </w:pPr>
            <w:r w:rsidRPr="00370FDC">
              <w:rPr>
                <w:rFonts w:hint="eastAsia"/>
                <w:snapToGrid/>
              </w:rPr>
              <w:t>107</w:t>
            </w:r>
          </w:p>
        </w:tc>
        <w:tc>
          <w:tcPr>
            <w:tcW w:w="1014"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89,500</w:t>
            </w:r>
          </w:p>
        </w:tc>
        <w:tc>
          <w:tcPr>
            <w:tcW w:w="119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74,692</w:t>
            </w:r>
          </w:p>
        </w:tc>
        <w:tc>
          <w:tcPr>
            <w:tcW w:w="119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164,192</w:t>
            </w:r>
          </w:p>
        </w:tc>
        <w:tc>
          <w:tcPr>
            <w:tcW w:w="143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2,174</w:t>
            </w:r>
          </w:p>
        </w:tc>
        <w:tc>
          <w:tcPr>
            <w:tcW w:w="143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120,464</w:t>
            </w:r>
          </w:p>
        </w:tc>
        <w:tc>
          <w:tcPr>
            <w:tcW w:w="1431" w:type="dxa"/>
            <w:tcBorders>
              <w:top w:val="nil"/>
              <w:left w:val="nil"/>
              <w:bottom w:val="single" w:sz="4" w:space="0" w:color="auto"/>
              <w:right w:val="single" w:sz="12"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41,554</w:t>
            </w:r>
          </w:p>
        </w:tc>
      </w:tr>
      <w:tr w:rsidR="000F16BD" w:rsidRPr="00370FDC" w:rsidTr="003077CD">
        <w:tc>
          <w:tcPr>
            <w:tcW w:w="820" w:type="dxa"/>
            <w:tcBorders>
              <w:top w:val="nil"/>
              <w:left w:val="single" w:sz="12" w:space="0" w:color="auto"/>
              <w:bottom w:val="single" w:sz="4" w:space="0" w:color="auto"/>
              <w:right w:val="single" w:sz="4" w:space="0" w:color="auto"/>
            </w:tcBorders>
            <w:shd w:val="clear" w:color="auto" w:fill="auto"/>
            <w:vAlign w:val="center"/>
            <w:hideMark/>
          </w:tcPr>
          <w:p w:rsidR="000F16BD" w:rsidRPr="00370FDC" w:rsidRDefault="000F16BD" w:rsidP="003077CD">
            <w:pPr>
              <w:pStyle w:val="142"/>
              <w:jc w:val="center"/>
              <w:rPr>
                <w:rFonts w:hint="eastAsia"/>
                <w:snapToGrid/>
              </w:rPr>
            </w:pPr>
            <w:r w:rsidRPr="00370FDC">
              <w:rPr>
                <w:rFonts w:hint="eastAsia"/>
                <w:snapToGrid/>
              </w:rPr>
              <w:t>108</w:t>
            </w:r>
          </w:p>
        </w:tc>
        <w:tc>
          <w:tcPr>
            <w:tcW w:w="1014"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65,808</w:t>
            </w:r>
          </w:p>
        </w:tc>
        <w:tc>
          <w:tcPr>
            <w:tcW w:w="119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120,464</w:t>
            </w:r>
          </w:p>
        </w:tc>
        <w:tc>
          <w:tcPr>
            <w:tcW w:w="119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186,272</w:t>
            </w:r>
          </w:p>
        </w:tc>
        <w:tc>
          <w:tcPr>
            <w:tcW w:w="143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1,487</w:t>
            </w:r>
          </w:p>
        </w:tc>
        <w:tc>
          <w:tcPr>
            <w:tcW w:w="143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184,785</w:t>
            </w:r>
          </w:p>
        </w:tc>
        <w:tc>
          <w:tcPr>
            <w:tcW w:w="1431" w:type="dxa"/>
            <w:tcBorders>
              <w:top w:val="nil"/>
              <w:left w:val="nil"/>
              <w:bottom w:val="single" w:sz="4" w:space="0" w:color="auto"/>
              <w:right w:val="single" w:sz="12"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0</w:t>
            </w:r>
          </w:p>
        </w:tc>
      </w:tr>
      <w:tr w:rsidR="000F16BD" w:rsidRPr="00370FDC" w:rsidTr="003077CD">
        <w:tc>
          <w:tcPr>
            <w:tcW w:w="820" w:type="dxa"/>
            <w:tcBorders>
              <w:top w:val="nil"/>
              <w:left w:val="single" w:sz="12" w:space="0" w:color="auto"/>
              <w:bottom w:val="single" w:sz="4" w:space="0" w:color="auto"/>
              <w:right w:val="single" w:sz="4" w:space="0" w:color="auto"/>
            </w:tcBorders>
            <w:shd w:val="clear" w:color="auto" w:fill="auto"/>
            <w:vAlign w:val="center"/>
            <w:hideMark/>
          </w:tcPr>
          <w:p w:rsidR="000F16BD" w:rsidRPr="00370FDC" w:rsidRDefault="000F16BD" w:rsidP="003077CD">
            <w:pPr>
              <w:pStyle w:val="142"/>
              <w:jc w:val="center"/>
              <w:rPr>
                <w:rFonts w:hint="eastAsia"/>
                <w:snapToGrid/>
              </w:rPr>
            </w:pPr>
            <w:r w:rsidRPr="00370FDC">
              <w:rPr>
                <w:rFonts w:hint="eastAsia"/>
                <w:snapToGrid/>
              </w:rPr>
              <w:t>109</w:t>
            </w:r>
          </w:p>
        </w:tc>
        <w:tc>
          <w:tcPr>
            <w:tcW w:w="1014"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w:t>
            </w:r>
          </w:p>
        </w:tc>
        <w:tc>
          <w:tcPr>
            <w:tcW w:w="119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184,785</w:t>
            </w:r>
          </w:p>
        </w:tc>
        <w:tc>
          <w:tcPr>
            <w:tcW w:w="119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184,785</w:t>
            </w:r>
          </w:p>
        </w:tc>
        <w:tc>
          <w:tcPr>
            <w:tcW w:w="143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5,913</w:t>
            </w:r>
          </w:p>
        </w:tc>
        <w:tc>
          <w:tcPr>
            <w:tcW w:w="143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104,180</w:t>
            </w:r>
          </w:p>
        </w:tc>
        <w:tc>
          <w:tcPr>
            <w:tcW w:w="1431" w:type="dxa"/>
            <w:tcBorders>
              <w:top w:val="nil"/>
              <w:left w:val="nil"/>
              <w:bottom w:val="single" w:sz="4" w:space="0" w:color="auto"/>
              <w:right w:val="single" w:sz="12"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74,692</w:t>
            </w:r>
          </w:p>
        </w:tc>
      </w:tr>
      <w:tr w:rsidR="000F16BD" w:rsidRPr="00370FDC" w:rsidTr="003077CD">
        <w:tc>
          <w:tcPr>
            <w:tcW w:w="820" w:type="dxa"/>
            <w:tcBorders>
              <w:top w:val="nil"/>
              <w:left w:val="single" w:sz="12" w:space="0" w:color="auto"/>
              <w:bottom w:val="single" w:sz="4" w:space="0" w:color="auto"/>
              <w:right w:val="single" w:sz="4" w:space="0" w:color="auto"/>
            </w:tcBorders>
            <w:shd w:val="clear" w:color="auto" w:fill="auto"/>
            <w:vAlign w:val="center"/>
            <w:hideMark/>
          </w:tcPr>
          <w:p w:rsidR="000F16BD" w:rsidRPr="00370FDC" w:rsidRDefault="000F16BD" w:rsidP="003077CD">
            <w:pPr>
              <w:pStyle w:val="142"/>
              <w:jc w:val="center"/>
              <w:rPr>
                <w:rFonts w:hint="eastAsia"/>
                <w:snapToGrid/>
              </w:rPr>
            </w:pPr>
            <w:r w:rsidRPr="00370FDC">
              <w:rPr>
                <w:rFonts w:hint="eastAsia"/>
                <w:snapToGrid/>
              </w:rPr>
              <w:t>110</w:t>
            </w:r>
          </w:p>
        </w:tc>
        <w:tc>
          <w:tcPr>
            <w:tcW w:w="1014"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23,990</w:t>
            </w:r>
          </w:p>
        </w:tc>
        <w:tc>
          <w:tcPr>
            <w:tcW w:w="119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104,180</w:t>
            </w:r>
          </w:p>
        </w:tc>
        <w:tc>
          <w:tcPr>
            <w:tcW w:w="119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128,170</w:t>
            </w:r>
          </w:p>
        </w:tc>
        <w:tc>
          <w:tcPr>
            <w:tcW w:w="143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549</w:t>
            </w:r>
          </w:p>
        </w:tc>
        <w:tc>
          <w:tcPr>
            <w:tcW w:w="143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127,621</w:t>
            </w:r>
          </w:p>
        </w:tc>
        <w:tc>
          <w:tcPr>
            <w:tcW w:w="1431" w:type="dxa"/>
            <w:tcBorders>
              <w:top w:val="nil"/>
              <w:left w:val="nil"/>
              <w:bottom w:val="single" w:sz="4" w:space="0" w:color="auto"/>
              <w:right w:val="single" w:sz="12"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0</w:t>
            </w:r>
          </w:p>
        </w:tc>
      </w:tr>
      <w:tr w:rsidR="000F16BD" w:rsidRPr="00370FDC" w:rsidTr="003077CD">
        <w:tc>
          <w:tcPr>
            <w:tcW w:w="820" w:type="dxa"/>
            <w:tcBorders>
              <w:top w:val="nil"/>
              <w:left w:val="single" w:sz="12" w:space="0" w:color="auto"/>
              <w:bottom w:val="single" w:sz="4" w:space="0" w:color="auto"/>
              <w:right w:val="single" w:sz="4" w:space="0" w:color="auto"/>
            </w:tcBorders>
            <w:shd w:val="clear" w:color="auto" w:fill="auto"/>
            <w:vAlign w:val="center"/>
            <w:hideMark/>
          </w:tcPr>
          <w:p w:rsidR="000F16BD" w:rsidRPr="00370FDC" w:rsidRDefault="000F16BD" w:rsidP="003077CD">
            <w:pPr>
              <w:pStyle w:val="142"/>
              <w:jc w:val="center"/>
              <w:rPr>
                <w:rFonts w:hint="eastAsia"/>
                <w:snapToGrid/>
              </w:rPr>
            </w:pPr>
            <w:r w:rsidRPr="00370FDC">
              <w:rPr>
                <w:rFonts w:hint="eastAsia"/>
                <w:snapToGrid/>
              </w:rPr>
              <w:t>111</w:t>
            </w:r>
          </w:p>
        </w:tc>
        <w:tc>
          <w:tcPr>
            <w:tcW w:w="1014"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w:t>
            </w:r>
          </w:p>
        </w:tc>
        <w:tc>
          <w:tcPr>
            <w:tcW w:w="119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127,621</w:t>
            </w:r>
          </w:p>
        </w:tc>
        <w:tc>
          <w:tcPr>
            <w:tcW w:w="119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127,621</w:t>
            </w:r>
          </w:p>
        </w:tc>
        <w:tc>
          <w:tcPr>
            <w:tcW w:w="143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7,691</w:t>
            </w:r>
          </w:p>
        </w:tc>
        <w:tc>
          <w:tcPr>
            <w:tcW w:w="143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119,312</w:t>
            </w:r>
          </w:p>
        </w:tc>
        <w:tc>
          <w:tcPr>
            <w:tcW w:w="1431" w:type="dxa"/>
            <w:tcBorders>
              <w:top w:val="nil"/>
              <w:left w:val="nil"/>
              <w:bottom w:val="single" w:sz="4" w:space="0" w:color="auto"/>
              <w:right w:val="single" w:sz="12"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618</w:t>
            </w:r>
          </w:p>
        </w:tc>
      </w:tr>
      <w:tr w:rsidR="000F16BD" w:rsidRPr="00370FDC" w:rsidTr="003077CD">
        <w:tc>
          <w:tcPr>
            <w:tcW w:w="820" w:type="dxa"/>
            <w:tcBorders>
              <w:top w:val="nil"/>
              <w:left w:val="single" w:sz="12" w:space="0" w:color="auto"/>
              <w:bottom w:val="single" w:sz="4" w:space="0" w:color="auto"/>
              <w:right w:val="single" w:sz="4" w:space="0" w:color="auto"/>
            </w:tcBorders>
            <w:shd w:val="clear" w:color="auto" w:fill="auto"/>
            <w:vAlign w:val="center"/>
            <w:hideMark/>
          </w:tcPr>
          <w:p w:rsidR="000F16BD" w:rsidRPr="00370FDC" w:rsidRDefault="000F16BD" w:rsidP="003077CD">
            <w:pPr>
              <w:pStyle w:val="142"/>
              <w:jc w:val="center"/>
              <w:rPr>
                <w:rFonts w:hint="eastAsia"/>
                <w:snapToGrid/>
              </w:rPr>
            </w:pPr>
            <w:r w:rsidRPr="00370FDC">
              <w:rPr>
                <w:rFonts w:hint="eastAsia"/>
                <w:snapToGrid/>
              </w:rPr>
              <w:t>112</w:t>
            </w:r>
          </w:p>
        </w:tc>
        <w:tc>
          <w:tcPr>
            <w:tcW w:w="1014"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41,314</w:t>
            </w:r>
          </w:p>
        </w:tc>
        <w:tc>
          <w:tcPr>
            <w:tcW w:w="119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119,312</w:t>
            </w:r>
          </w:p>
        </w:tc>
        <w:tc>
          <w:tcPr>
            <w:tcW w:w="119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160,626</w:t>
            </w:r>
          </w:p>
        </w:tc>
        <w:tc>
          <w:tcPr>
            <w:tcW w:w="143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2,230</w:t>
            </w:r>
          </w:p>
        </w:tc>
        <w:tc>
          <w:tcPr>
            <w:tcW w:w="143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158,345</w:t>
            </w:r>
          </w:p>
        </w:tc>
        <w:tc>
          <w:tcPr>
            <w:tcW w:w="1431" w:type="dxa"/>
            <w:tcBorders>
              <w:top w:val="nil"/>
              <w:left w:val="nil"/>
              <w:bottom w:val="single" w:sz="4" w:space="0" w:color="auto"/>
              <w:right w:val="single" w:sz="12"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51</w:t>
            </w:r>
          </w:p>
        </w:tc>
      </w:tr>
      <w:tr w:rsidR="000F16BD" w:rsidRPr="00370FDC" w:rsidTr="003077CD">
        <w:tc>
          <w:tcPr>
            <w:tcW w:w="820" w:type="dxa"/>
            <w:tcBorders>
              <w:top w:val="nil"/>
              <w:left w:val="single" w:sz="12" w:space="0" w:color="auto"/>
              <w:bottom w:val="single" w:sz="4" w:space="0" w:color="auto"/>
              <w:right w:val="single" w:sz="4" w:space="0" w:color="auto"/>
            </w:tcBorders>
            <w:shd w:val="clear" w:color="auto" w:fill="auto"/>
            <w:vAlign w:val="center"/>
            <w:hideMark/>
          </w:tcPr>
          <w:p w:rsidR="000F16BD" w:rsidRPr="00370FDC" w:rsidRDefault="000F16BD" w:rsidP="003077CD">
            <w:pPr>
              <w:pStyle w:val="142"/>
              <w:jc w:val="center"/>
              <w:rPr>
                <w:rFonts w:hint="eastAsia"/>
                <w:snapToGrid/>
              </w:rPr>
            </w:pPr>
            <w:r w:rsidRPr="00370FDC">
              <w:rPr>
                <w:rFonts w:hint="eastAsia"/>
                <w:snapToGrid/>
              </w:rPr>
              <w:t>113</w:t>
            </w:r>
          </w:p>
        </w:tc>
        <w:tc>
          <w:tcPr>
            <w:tcW w:w="1014"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104,581</w:t>
            </w:r>
          </w:p>
        </w:tc>
        <w:tc>
          <w:tcPr>
            <w:tcW w:w="119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158,345</w:t>
            </w:r>
          </w:p>
        </w:tc>
        <w:tc>
          <w:tcPr>
            <w:tcW w:w="119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262,926</w:t>
            </w:r>
          </w:p>
        </w:tc>
        <w:tc>
          <w:tcPr>
            <w:tcW w:w="143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27,341</w:t>
            </w:r>
          </w:p>
        </w:tc>
        <w:tc>
          <w:tcPr>
            <w:tcW w:w="1430" w:type="dxa"/>
            <w:tcBorders>
              <w:top w:val="nil"/>
              <w:left w:val="nil"/>
              <w:bottom w:val="single" w:sz="4" w:space="0" w:color="auto"/>
              <w:right w:val="single" w:sz="4"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207,772</w:t>
            </w:r>
          </w:p>
        </w:tc>
        <w:tc>
          <w:tcPr>
            <w:tcW w:w="1431" w:type="dxa"/>
            <w:tcBorders>
              <w:top w:val="nil"/>
              <w:left w:val="nil"/>
              <w:bottom w:val="single" w:sz="4" w:space="0" w:color="auto"/>
              <w:right w:val="single" w:sz="12" w:space="0" w:color="auto"/>
            </w:tcBorders>
            <w:shd w:val="clear" w:color="auto" w:fill="auto"/>
            <w:vAlign w:val="center"/>
            <w:hideMark/>
          </w:tcPr>
          <w:p w:rsidR="000F16BD" w:rsidRPr="00370FDC" w:rsidRDefault="000F16BD" w:rsidP="003077CD">
            <w:pPr>
              <w:pStyle w:val="142"/>
              <w:jc w:val="right"/>
              <w:rPr>
                <w:rFonts w:hint="eastAsia"/>
                <w:snapToGrid/>
              </w:rPr>
            </w:pPr>
            <w:r w:rsidRPr="00370FDC">
              <w:rPr>
                <w:rFonts w:hint="eastAsia"/>
                <w:snapToGrid/>
              </w:rPr>
              <w:t>0</w:t>
            </w:r>
          </w:p>
        </w:tc>
      </w:tr>
      <w:tr w:rsidR="000F16BD" w:rsidRPr="00370FDC" w:rsidTr="003077CD">
        <w:tc>
          <w:tcPr>
            <w:tcW w:w="820" w:type="dxa"/>
            <w:tcBorders>
              <w:top w:val="nil"/>
              <w:left w:val="single" w:sz="12" w:space="0" w:color="auto"/>
              <w:bottom w:val="single" w:sz="12" w:space="0" w:color="auto"/>
              <w:right w:val="single" w:sz="4" w:space="0" w:color="auto"/>
            </w:tcBorders>
            <w:shd w:val="clear" w:color="auto" w:fill="auto"/>
            <w:noWrap/>
            <w:vAlign w:val="center"/>
            <w:hideMark/>
          </w:tcPr>
          <w:p w:rsidR="000F16BD" w:rsidRPr="00791780" w:rsidRDefault="000F16BD" w:rsidP="003077CD">
            <w:pPr>
              <w:pStyle w:val="142"/>
              <w:jc w:val="center"/>
              <w:rPr>
                <w:rFonts w:hint="eastAsia"/>
                <w:b/>
                <w:snapToGrid/>
              </w:rPr>
            </w:pPr>
            <w:r w:rsidRPr="00791780">
              <w:rPr>
                <w:rFonts w:hint="eastAsia"/>
                <w:b/>
                <w:snapToGrid/>
              </w:rPr>
              <w:t>合計</w:t>
            </w:r>
          </w:p>
        </w:tc>
        <w:tc>
          <w:tcPr>
            <w:tcW w:w="1014" w:type="dxa"/>
            <w:tcBorders>
              <w:top w:val="nil"/>
              <w:left w:val="nil"/>
              <w:bottom w:val="single" w:sz="12" w:space="0" w:color="auto"/>
              <w:right w:val="single" w:sz="4" w:space="0" w:color="auto"/>
            </w:tcBorders>
            <w:shd w:val="clear" w:color="auto" w:fill="auto"/>
            <w:noWrap/>
            <w:vAlign w:val="center"/>
            <w:hideMark/>
          </w:tcPr>
          <w:p w:rsidR="000F16BD" w:rsidRPr="00791780" w:rsidRDefault="000F16BD" w:rsidP="003077CD">
            <w:pPr>
              <w:pStyle w:val="142"/>
              <w:jc w:val="right"/>
              <w:rPr>
                <w:rFonts w:hint="eastAsia"/>
                <w:b/>
                <w:snapToGrid/>
              </w:rPr>
            </w:pPr>
            <w:r w:rsidRPr="00791780">
              <w:rPr>
                <w:rFonts w:hint="eastAsia"/>
                <w:b/>
                <w:snapToGrid/>
              </w:rPr>
              <w:t>445,193</w:t>
            </w:r>
          </w:p>
        </w:tc>
        <w:tc>
          <w:tcPr>
            <w:tcW w:w="1190" w:type="dxa"/>
            <w:tcBorders>
              <w:top w:val="nil"/>
              <w:left w:val="nil"/>
              <w:bottom w:val="single" w:sz="12" w:space="0" w:color="auto"/>
              <w:right w:val="single" w:sz="4" w:space="0" w:color="auto"/>
            </w:tcBorders>
            <w:shd w:val="clear" w:color="auto" w:fill="auto"/>
            <w:noWrap/>
            <w:vAlign w:val="center"/>
            <w:hideMark/>
          </w:tcPr>
          <w:p w:rsidR="000F16BD" w:rsidRPr="00791780" w:rsidRDefault="000F16BD" w:rsidP="003077CD">
            <w:pPr>
              <w:pStyle w:val="142"/>
              <w:jc w:val="right"/>
              <w:rPr>
                <w:rFonts w:hint="eastAsia"/>
                <w:b/>
                <w:snapToGrid/>
              </w:rPr>
            </w:pPr>
            <w:r w:rsidRPr="00791780">
              <w:rPr>
                <w:rFonts w:hint="eastAsia"/>
                <w:b/>
                <w:snapToGrid/>
              </w:rPr>
              <w:t xml:space="preserve">-　</w:t>
            </w:r>
          </w:p>
        </w:tc>
        <w:tc>
          <w:tcPr>
            <w:tcW w:w="1190" w:type="dxa"/>
            <w:tcBorders>
              <w:top w:val="nil"/>
              <w:left w:val="nil"/>
              <w:bottom w:val="single" w:sz="12" w:space="0" w:color="auto"/>
              <w:right w:val="single" w:sz="4" w:space="0" w:color="auto"/>
            </w:tcBorders>
            <w:shd w:val="clear" w:color="auto" w:fill="auto"/>
            <w:noWrap/>
            <w:vAlign w:val="center"/>
            <w:hideMark/>
          </w:tcPr>
          <w:p w:rsidR="000F16BD" w:rsidRPr="00791780" w:rsidRDefault="000F16BD" w:rsidP="003077CD">
            <w:pPr>
              <w:pStyle w:val="142"/>
              <w:jc w:val="right"/>
              <w:rPr>
                <w:rFonts w:hint="eastAsia"/>
                <w:b/>
                <w:snapToGrid/>
              </w:rPr>
            </w:pPr>
            <w:r w:rsidRPr="00791780">
              <w:rPr>
                <w:rFonts w:hint="eastAsia"/>
                <w:b/>
                <w:snapToGrid/>
              </w:rPr>
              <w:t xml:space="preserve">-　</w:t>
            </w:r>
          </w:p>
        </w:tc>
        <w:tc>
          <w:tcPr>
            <w:tcW w:w="1430" w:type="dxa"/>
            <w:tcBorders>
              <w:top w:val="nil"/>
              <w:left w:val="nil"/>
              <w:bottom w:val="single" w:sz="12" w:space="0" w:color="auto"/>
              <w:right w:val="single" w:sz="4" w:space="0" w:color="auto"/>
            </w:tcBorders>
            <w:shd w:val="clear" w:color="auto" w:fill="auto"/>
            <w:noWrap/>
            <w:vAlign w:val="center"/>
            <w:hideMark/>
          </w:tcPr>
          <w:p w:rsidR="000F16BD" w:rsidRPr="00791780" w:rsidRDefault="000F16BD" w:rsidP="003077CD">
            <w:pPr>
              <w:pStyle w:val="142"/>
              <w:jc w:val="right"/>
              <w:rPr>
                <w:rFonts w:hint="eastAsia"/>
                <w:b/>
                <w:snapToGrid/>
              </w:rPr>
            </w:pPr>
            <w:r w:rsidRPr="00791780">
              <w:rPr>
                <w:rFonts w:hint="eastAsia"/>
                <w:b/>
                <w:snapToGrid/>
              </w:rPr>
              <w:t>49,643</w:t>
            </w:r>
          </w:p>
        </w:tc>
        <w:tc>
          <w:tcPr>
            <w:tcW w:w="1430" w:type="dxa"/>
            <w:tcBorders>
              <w:top w:val="nil"/>
              <w:left w:val="nil"/>
              <w:bottom w:val="single" w:sz="12" w:space="0" w:color="auto"/>
              <w:right w:val="single" w:sz="4" w:space="0" w:color="auto"/>
            </w:tcBorders>
            <w:shd w:val="clear" w:color="auto" w:fill="auto"/>
            <w:noWrap/>
            <w:vAlign w:val="center"/>
            <w:hideMark/>
          </w:tcPr>
          <w:p w:rsidR="000F16BD" w:rsidRPr="00370FDC" w:rsidRDefault="000F16BD" w:rsidP="003077CD">
            <w:pPr>
              <w:pStyle w:val="142"/>
              <w:jc w:val="right"/>
              <w:rPr>
                <w:rFonts w:hint="eastAsia"/>
                <w:snapToGrid/>
              </w:rPr>
            </w:pPr>
            <w:r>
              <w:rPr>
                <w:rFonts w:hint="eastAsia"/>
                <w:snapToGrid/>
              </w:rPr>
              <w:t>-</w:t>
            </w:r>
            <w:r w:rsidRPr="00370FDC">
              <w:rPr>
                <w:rFonts w:hint="eastAsia"/>
                <w:snapToGrid/>
              </w:rPr>
              <w:t xml:space="preserve">　</w:t>
            </w:r>
          </w:p>
        </w:tc>
        <w:tc>
          <w:tcPr>
            <w:tcW w:w="1431" w:type="dxa"/>
            <w:tcBorders>
              <w:top w:val="nil"/>
              <w:left w:val="nil"/>
              <w:bottom w:val="single" w:sz="12" w:space="0" w:color="auto"/>
              <w:right w:val="single" w:sz="12" w:space="0" w:color="auto"/>
            </w:tcBorders>
            <w:shd w:val="clear" w:color="auto" w:fill="auto"/>
            <w:noWrap/>
            <w:vAlign w:val="center"/>
            <w:hideMark/>
          </w:tcPr>
          <w:p w:rsidR="000F16BD" w:rsidRPr="00791780" w:rsidRDefault="000F16BD" w:rsidP="003077CD">
            <w:pPr>
              <w:pStyle w:val="142"/>
              <w:jc w:val="right"/>
              <w:rPr>
                <w:rFonts w:hint="eastAsia"/>
                <w:b/>
                <w:snapToGrid/>
              </w:rPr>
            </w:pPr>
            <w:r w:rsidRPr="00791780">
              <w:rPr>
                <w:rFonts w:hint="eastAsia"/>
                <w:b/>
                <w:snapToGrid/>
              </w:rPr>
              <w:t>159,965</w:t>
            </w:r>
          </w:p>
        </w:tc>
      </w:tr>
    </w:tbl>
    <w:p w:rsidR="000F16BD" w:rsidRPr="00D003A0" w:rsidRDefault="000F16BD" w:rsidP="000F16BD">
      <w:pPr>
        <w:pStyle w:val="142"/>
      </w:pPr>
      <w:r w:rsidRPr="00D003A0">
        <w:rPr>
          <w:rFonts w:hint="eastAsia"/>
        </w:rPr>
        <w:t>說    明：表列決算均為審定數。</w:t>
      </w:r>
    </w:p>
    <w:p w:rsidR="000F16BD" w:rsidRDefault="000F16BD" w:rsidP="000F16BD">
      <w:pPr>
        <w:pStyle w:val="142"/>
      </w:pPr>
      <w:r w:rsidRPr="00D003A0">
        <w:rPr>
          <w:rFonts w:hint="eastAsia"/>
        </w:rPr>
        <w:t>資料來源：</w:t>
      </w:r>
      <w:r>
        <w:rPr>
          <w:rFonts w:hint="eastAsia"/>
        </w:rPr>
        <w:t>核安會</w:t>
      </w:r>
      <w:r w:rsidRPr="00D003A0">
        <w:rPr>
          <w:rFonts w:hint="eastAsia"/>
        </w:rPr>
        <w:t>提供。</w:t>
      </w:r>
    </w:p>
    <w:p w:rsidR="000F16BD" w:rsidRDefault="00E812BC" w:rsidP="00E812BC">
      <w:pPr>
        <w:ind w:left="566" w:firstLine="566"/>
      </w:pPr>
      <w:r w:rsidRPr="00E812BC">
        <w:rPr>
          <w:rFonts w:hint="eastAsia"/>
        </w:rPr>
        <w:t>綜上，核安會補助國原院辦理六氟化鈾處置計畫辦理期限由108年度陸續展延至113年度，惟迄113年底尚有保留數2億777萬2千元待執行，且部分六氟化鈾桶未能按預計時程運送至國外處理，允宜積極辦理並加強計畫時程之控管，俾利早日如質結案。</w:t>
      </w:r>
    </w:p>
    <w:p w:rsidR="00E812BC" w:rsidRDefault="00E812BC" w:rsidP="00E812BC">
      <w:pPr>
        <w:ind w:left="566" w:firstLine="566"/>
      </w:pPr>
    </w:p>
    <w:p w:rsidR="00E812BC" w:rsidRPr="00E812BC" w:rsidRDefault="00E812BC" w:rsidP="00E812BC">
      <w:pPr>
        <w:pStyle w:val="144"/>
        <w:ind w:left="567" w:hanging="567"/>
        <w:rPr>
          <w:rFonts w:hint="eastAsia"/>
        </w:rPr>
      </w:pPr>
      <w:bookmarkStart w:id="4" w:name="_Toc218085227"/>
      <w:r w:rsidRPr="00E812BC">
        <w:rPr>
          <w:rFonts w:hint="eastAsia"/>
        </w:rPr>
        <w:t>貳、核子事故緊急應變基金</w:t>
      </w:r>
      <w:bookmarkEnd w:id="4"/>
    </w:p>
    <w:p w:rsidR="00E812BC" w:rsidRPr="00E812BC" w:rsidRDefault="00E812BC" w:rsidP="00E812BC">
      <w:pPr>
        <w:pStyle w:val="14"/>
        <w:ind w:left="567" w:hanging="567"/>
        <w:rPr>
          <w:rFonts w:hint="eastAsia"/>
        </w:rPr>
      </w:pPr>
      <w:bookmarkStart w:id="5" w:name="_Toc218085228"/>
      <w:r w:rsidRPr="00E812BC">
        <w:rPr>
          <w:rFonts w:hint="eastAsia"/>
        </w:rPr>
        <w:t>三、南北放射性分析備援實驗室啟用迄今多年，惟實際檢測量仍遠低於最大檢測量，允宜研謀精進，俾增設置效益</w:t>
      </w:r>
      <w:bookmarkEnd w:id="5"/>
    </w:p>
    <w:p w:rsidR="00E812BC" w:rsidRPr="00E812BC" w:rsidRDefault="00E812BC" w:rsidP="00E812BC">
      <w:pPr>
        <w:ind w:left="566" w:firstLine="566"/>
        <w:rPr>
          <w:rFonts w:hint="eastAsia"/>
        </w:rPr>
      </w:pPr>
      <w:r w:rsidRPr="00E812BC">
        <w:rPr>
          <w:rFonts w:hint="eastAsia"/>
        </w:rPr>
        <w:t>核子事故基金「核子事故中央災害應變工作計畫」下之「北部輻射災害檢驗分析備援實驗室能力精進補助計畫」及「南部放射性分析備援實驗室環境試樣檢測能力精進及民眾輻射風險溝通補助計畫」113年度決算數各150萬元，合共300萬元。茲說明如下：</w:t>
      </w:r>
    </w:p>
    <w:p w:rsidR="00E812BC" w:rsidRPr="00E812BC" w:rsidRDefault="00E812BC" w:rsidP="00E812BC">
      <w:pPr>
        <w:pStyle w:val="a4"/>
        <w:ind w:left="849" w:hanging="283"/>
        <w:rPr>
          <w:rFonts w:hint="eastAsia"/>
        </w:rPr>
      </w:pPr>
      <w:r w:rsidRPr="00E812BC">
        <w:rPr>
          <w:rFonts w:hint="eastAsia"/>
        </w:rPr>
        <w:t>(一)為增加國內對放射性核種分析量能，核安會委託國立陽明大學及屏東科技大學建置北、南部備援實驗室，並分別於108年及107年間啟用</w:t>
      </w:r>
    </w:p>
    <w:p w:rsidR="00E812BC" w:rsidRPr="00E812BC" w:rsidRDefault="00E812BC" w:rsidP="00E812BC">
      <w:pPr>
        <w:pStyle w:val="21"/>
        <w:ind w:left="850" w:firstLine="566"/>
        <w:rPr>
          <w:rFonts w:hint="eastAsia"/>
        </w:rPr>
      </w:pPr>
      <w:r w:rsidRPr="00E812BC">
        <w:rPr>
          <w:rFonts w:hint="eastAsia"/>
        </w:rPr>
        <w:t>鑒於日本福島核電廠事故經驗，原子能委員會(112年9月27日改制為核安會，下稱核安會)考量災害防救備援能量需超前部署，爰委託國立陽明交通大學、屏東科技大學分別於北部及南部地區建置備援實驗室，以增加國內對放射性核種分析量能，其中國立陽明交通大學建置之北部輻射災害檢驗分析備援實驗室(以下稱北部備援實驗室)於108年11月啟用、總建置經費1,687萬1千元；國立屏東科技大學建置之南部放射性分析備援實驗室(以下稱南部備援實驗室)於107年10月啟用、總建置經費1,330萬元。</w:t>
      </w:r>
    </w:p>
    <w:p w:rsidR="00E812BC" w:rsidRPr="00E812BC" w:rsidRDefault="00E812BC" w:rsidP="00E812BC">
      <w:pPr>
        <w:pStyle w:val="a4"/>
        <w:ind w:left="849" w:hanging="283"/>
        <w:rPr>
          <w:rFonts w:hint="eastAsia"/>
        </w:rPr>
      </w:pPr>
      <w:r w:rsidRPr="00E812BC">
        <w:rPr>
          <w:rFonts w:hint="eastAsia"/>
        </w:rPr>
        <w:t>(二)南北備援實驗室109至113年度實際檢驗量均未逾千件，遠低最大檢測量3,800件</w:t>
      </w:r>
    </w:p>
    <w:p w:rsidR="00E812BC" w:rsidRDefault="00E812BC" w:rsidP="00E812BC">
      <w:pPr>
        <w:pStyle w:val="21"/>
        <w:ind w:left="850" w:firstLine="566"/>
      </w:pPr>
      <w:r w:rsidRPr="00E812BC">
        <w:rPr>
          <w:rFonts w:hint="eastAsia"/>
        </w:rPr>
        <w:t>核子事故基金109至113年度每年補助北部備援實驗室維運管理經費介於141萬6千元至167萬8千元間；另核安會109至112年度每年補助南部備援實驗室維運管理經費介於190至230萬元間，核子事故基金113年度補助該實驗室150萬元(詳表1)。據核安會提供資料顯示，北部及南部備援實驗室109至113年度實際檢驗量各介於90至515件及345至949件(詳表1)，雖概呈增加，惟均未達千件以上，與兩實驗室最大檢測量3,800件存有甚多差距，尚有精進空間，允待賡續精進，以增進實驗室設置效益。</w:t>
      </w:r>
    </w:p>
    <w:p w:rsidR="00E812BC" w:rsidRPr="009127C7" w:rsidRDefault="00E812BC" w:rsidP="00E812BC">
      <w:pPr>
        <w:pStyle w:val="123"/>
        <w:ind w:leftChars="20" w:hangingChars="121" w:hanging="343"/>
        <w:rPr>
          <w:b w:val="0"/>
        </w:rPr>
      </w:pPr>
      <w:r w:rsidRPr="009127C7">
        <w:rPr>
          <w:rFonts w:hint="eastAsia"/>
          <w:b w:val="0"/>
        </w:rPr>
        <w:t>表</w:t>
      </w:r>
      <w:r>
        <w:rPr>
          <w:rFonts w:hint="eastAsia"/>
          <w:b w:val="0"/>
        </w:rPr>
        <w:t>1</w:t>
      </w:r>
      <w:r w:rsidRPr="009127C7">
        <w:rPr>
          <w:rFonts w:hint="eastAsia"/>
          <w:b w:val="0"/>
        </w:rPr>
        <w:t xml:space="preserve">  南、北部放射性分析備援實驗室維管經費及實際檢驗</w:t>
      </w:r>
      <w:r>
        <w:rPr>
          <w:rFonts w:hint="eastAsia"/>
          <w:b w:val="0"/>
        </w:rPr>
        <w:t>量概況</w:t>
      </w:r>
      <w:r w:rsidRPr="009127C7">
        <w:rPr>
          <w:rFonts w:hint="eastAsia"/>
          <w:b w:val="0"/>
        </w:rPr>
        <w:t>表</w:t>
      </w:r>
    </w:p>
    <w:p w:rsidR="00E812BC" w:rsidRPr="009127C7" w:rsidRDefault="00E812BC" w:rsidP="00E812BC">
      <w:pPr>
        <w:pStyle w:val="123"/>
        <w:spacing w:line="360" w:lineRule="exact"/>
        <w:ind w:leftChars="20" w:hangingChars="121" w:hanging="343"/>
        <w:rPr>
          <w:rFonts w:hint="eastAsia"/>
          <w:sz w:val="24"/>
          <w:szCs w:val="24"/>
        </w:rPr>
      </w:pPr>
      <w:r>
        <w:rPr>
          <w:rFonts w:hint="eastAsia"/>
        </w:rPr>
        <w:t xml:space="preserve">                                           </w:t>
      </w:r>
      <w:r w:rsidRPr="009127C7">
        <w:rPr>
          <w:rFonts w:hint="eastAsia"/>
          <w:sz w:val="24"/>
          <w:szCs w:val="24"/>
        </w:rPr>
        <w:t>單位：新臺幣千元；件</w:t>
      </w:r>
    </w:p>
    <w:tbl>
      <w:tblPr>
        <w:tblW w:w="8483" w:type="dxa"/>
        <w:tblInd w:w="70" w:type="dxa"/>
        <w:tblLayout w:type="fixed"/>
        <w:tblCellMar>
          <w:left w:w="28" w:type="dxa"/>
          <w:right w:w="28" w:type="dxa"/>
        </w:tblCellMar>
        <w:tblLook w:val="04A0" w:firstRow="1" w:lastRow="0" w:firstColumn="1" w:lastColumn="0" w:noHBand="0" w:noVBand="1"/>
      </w:tblPr>
      <w:tblGrid>
        <w:gridCol w:w="1652"/>
        <w:gridCol w:w="1425"/>
        <w:gridCol w:w="1795"/>
        <w:gridCol w:w="1553"/>
        <w:gridCol w:w="2058"/>
      </w:tblGrid>
      <w:tr w:rsidR="00E812BC" w:rsidRPr="00E812BC" w:rsidTr="003077CD">
        <w:trPr>
          <w:tblHeader/>
        </w:trPr>
        <w:tc>
          <w:tcPr>
            <w:tcW w:w="1652" w:type="dxa"/>
            <w:vMerge w:val="restart"/>
            <w:tcBorders>
              <w:top w:val="single" w:sz="12" w:space="0" w:color="auto"/>
              <w:left w:val="single" w:sz="12" w:space="0" w:color="auto"/>
              <w:right w:val="single" w:sz="4" w:space="0" w:color="auto"/>
            </w:tcBorders>
            <w:shd w:val="clear" w:color="auto" w:fill="auto"/>
            <w:noWrap/>
            <w:vAlign w:val="center"/>
            <w:hideMark/>
          </w:tcPr>
          <w:p w:rsidR="00E812BC" w:rsidRPr="00E812BC" w:rsidRDefault="00E812BC" w:rsidP="00E812BC">
            <w:pPr>
              <w:pStyle w:val="142"/>
              <w:jc w:val="center"/>
            </w:pPr>
            <w:r w:rsidRPr="00E812BC">
              <w:rPr>
                <w:rFonts w:hint="eastAsia"/>
              </w:rPr>
              <w:t>年度</w:t>
            </w:r>
          </w:p>
        </w:tc>
        <w:tc>
          <w:tcPr>
            <w:tcW w:w="3220" w:type="dxa"/>
            <w:gridSpan w:val="2"/>
            <w:tcBorders>
              <w:top w:val="single" w:sz="12" w:space="0" w:color="auto"/>
              <w:left w:val="nil"/>
              <w:bottom w:val="single" w:sz="4" w:space="0" w:color="auto"/>
              <w:right w:val="single" w:sz="4" w:space="0" w:color="auto"/>
            </w:tcBorders>
            <w:shd w:val="clear" w:color="auto" w:fill="auto"/>
            <w:noWrap/>
            <w:vAlign w:val="center"/>
            <w:hideMark/>
          </w:tcPr>
          <w:p w:rsidR="00E812BC" w:rsidRPr="00E812BC" w:rsidRDefault="00E812BC" w:rsidP="00E812BC">
            <w:pPr>
              <w:pStyle w:val="142"/>
              <w:jc w:val="center"/>
              <w:rPr>
                <w:rFonts w:hint="eastAsia"/>
              </w:rPr>
            </w:pPr>
            <w:r w:rsidRPr="00E812BC">
              <w:rPr>
                <w:rFonts w:hint="eastAsia"/>
              </w:rPr>
              <w:t>北部備援實驗室( 陽明交大)</w:t>
            </w:r>
          </w:p>
        </w:tc>
        <w:tc>
          <w:tcPr>
            <w:tcW w:w="3611" w:type="dxa"/>
            <w:gridSpan w:val="2"/>
            <w:tcBorders>
              <w:top w:val="single" w:sz="12" w:space="0" w:color="auto"/>
              <w:left w:val="nil"/>
              <w:bottom w:val="single" w:sz="4" w:space="0" w:color="auto"/>
              <w:right w:val="single" w:sz="12" w:space="0" w:color="auto"/>
            </w:tcBorders>
            <w:shd w:val="clear" w:color="auto" w:fill="auto"/>
            <w:noWrap/>
            <w:vAlign w:val="center"/>
            <w:hideMark/>
          </w:tcPr>
          <w:p w:rsidR="00E812BC" w:rsidRPr="00E812BC" w:rsidRDefault="00E812BC" w:rsidP="00E812BC">
            <w:pPr>
              <w:pStyle w:val="142"/>
              <w:jc w:val="center"/>
              <w:rPr>
                <w:rFonts w:hint="eastAsia"/>
              </w:rPr>
            </w:pPr>
            <w:r w:rsidRPr="00E812BC">
              <w:rPr>
                <w:rFonts w:hint="eastAsia"/>
              </w:rPr>
              <w:t>南部備援實驗室(屏東科大)</w:t>
            </w:r>
          </w:p>
        </w:tc>
      </w:tr>
      <w:tr w:rsidR="00E812BC" w:rsidRPr="00E812BC" w:rsidTr="003077CD">
        <w:trPr>
          <w:tblHeader/>
        </w:trPr>
        <w:tc>
          <w:tcPr>
            <w:tcW w:w="1652" w:type="dxa"/>
            <w:vMerge/>
            <w:tcBorders>
              <w:left w:val="single" w:sz="12" w:space="0" w:color="auto"/>
              <w:bottom w:val="single" w:sz="4" w:space="0" w:color="auto"/>
              <w:right w:val="single" w:sz="4" w:space="0" w:color="auto"/>
            </w:tcBorders>
            <w:shd w:val="clear" w:color="auto" w:fill="auto"/>
            <w:noWrap/>
            <w:vAlign w:val="center"/>
            <w:hideMark/>
          </w:tcPr>
          <w:p w:rsidR="00E812BC" w:rsidRPr="00E812BC" w:rsidRDefault="00E812BC" w:rsidP="00E812BC">
            <w:pPr>
              <w:pStyle w:val="142"/>
              <w:jc w:val="center"/>
              <w:rPr>
                <w:rFonts w:hint="eastAsia"/>
              </w:rPr>
            </w:pPr>
          </w:p>
        </w:tc>
        <w:tc>
          <w:tcPr>
            <w:tcW w:w="1425" w:type="dxa"/>
            <w:tcBorders>
              <w:top w:val="nil"/>
              <w:left w:val="nil"/>
              <w:bottom w:val="single" w:sz="4" w:space="0" w:color="auto"/>
              <w:right w:val="single" w:sz="4" w:space="0" w:color="auto"/>
            </w:tcBorders>
            <w:shd w:val="clear" w:color="000000" w:fill="FFFFFF"/>
            <w:vAlign w:val="center"/>
            <w:hideMark/>
          </w:tcPr>
          <w:p w:rsidR="00E812BC" w:rsidRPr="00E812BC" w:rsidRDefault="00E812BC" w:rsidP="00E812BC">
            <w:pPr>
              <w:pStyle w:val="142"/>
              <w:jc w:val="center"/>
              <w:rPr>
                <w:rFonts w:hint="eastAsia"/>
              </w:rPr>
            </w:pPr>
            <w:r w:rsidRPr="00E812BC">
              <w:rPr>
                <w:rFonts w:hint="eastAsia"/>
              </w:rPr>
              <w:t>維管經費</w:t>
            </w:r>
          </w:p>
        </w:tc>
        <w:tc>
          <w:tcPr>
            <w:tcW w:w="1795" w:type="dxa"/>
            <w:tcBorders>
              <w:top w:val="nil"/>
              <w:left w:val="nil"/>
              <w:bottom w:val="single" w:sz="4" w:space="0" w:color="auto"/>
              <w:right w:val="single" w:sz="4" w:space="0" w:color="auto"/>
            </w:tcBorders>
            <w:shd w:val="clear" w:color="000000" w:fill="FFFFFF"/>
            <w:vAlign w:val="center"/>
            <w:hideMark/>
          </w:tcPr>
          <w:p w:rsidR="00E812BC" w:rsidRPr="00E812BC" w:rsidRDefault="00E812BC" w:rsidP="00E812BC">
            <w:pPr>
              <w:pStyle w:val="142"/>
              <w:jc w:val="center"/>
              <w:rPr>
                <w:rFonts w:hint="eastAsia"/>
              </w:rPr>
            </w:pPr>
            <w:r w:rsidRPr="00E812BC">
              <w:rPr>
                <w:rFonts w:hint="eastAsia"/>
              </w:rPr>
              <w:t>每年實際檢驗量</w:t>
            </w:r>
          </w:p>
        </w:tc>
        <w:tc>
          <w:tcPr>
            <w:tcW w:w="1553" w:type="dxa"/>
            <w:tcBorders>
              <w:top w:val="nil"/>
              <w:left w:val="nil"/>
              <w:bottom w:val="single" w:sz="4" w:space="0" w:color="auto"/>
              <w:right w:val="single" w:sz="4" w:space="0" w:color="auto"/>
            </w:tcBorders>
            <w:shd w:val="clear" w:color="auto" w:fill="auto"/>
            <w:vAlign w:val="center"/>
            <w:hideMark/>
          </w:tcPr>
          <w:p w:rsidR="00E812BC" w:rsidRPr="00E812BC" w:rsidRDefault="00E812BC" w:rsidP="00E812BC">
            <w:pPr>
              <w:pStyle w:val="142"/>
              <w:jc w:val="center"/>
              <w:rPr>
                <w:rFonts w:hint="eastAsia"/>
              </w:rPr>
            </w:pPr>
            <w:r w:rsidRPr="00E812BC">
              <w:rPr>
                <w:rFonts w:hint="eastAsia"/>
              </w:rPr>
              <w:t>維管經費</w:t>
            </w:r>
          </w:p>
        </w:tc>
        <w:tc>
          <w:tcPr>
            <w:tcW w:w="2058" w:type="dxa"/>
            <w:tcBorders>
              <w:top w:val="nil"/>
              <w:left w:val="nil"/>
              <w:bottom w:val="single" w:sz="4" w:space="0" w:color="auto"/>
              <w:right w:val="single" w:sz="12" w:space="0" w:color="auto"/>
            </w:tcBorders>
            <w:shd w:val="clear" w:color="auto" w:fill="auto"/>
            <w:vAlign w:val="center"/>
            <w:hideMark/>
          </w:tcPr>
          <w:p w:rsidR="00E812BC" w:rsidRPr="00E812BC" w:rsidRDefault="00E812BC" w:rsidP="00E812BC">
            <w:pPr>
              <w:pStyle w:val="142"/>
              <w:jc w:val="center"/>
              <w:rPr>
                <w:rFonts w:hint="eastAsia"/>
              </w:rPr>
            </w:pPr>
            <w:r w:rsidRPr="00E812BC">
              <w:rPr>
                <w:rFonts w:hint="eastAsia"/>
              </w:rPr>
              <w:t>每年實際檢驗量</w:t>
            </w:r>
          </w:p>
        </w:tc>
      </w:tr>
      <w:tr w:rsidR="00E812BC" w:rsidRPr="00E812BC" w:rsidTr="003077CD">
        <w:tc>
          <w:tcPr>
            <w:tcW w:w="1652" w:type="dxa"/>
            <w:tcBorders>
              <w:top w:val="nil"/>
              <w:left w:val="single" w:sz="12" w:space="0" w:color="auto"/>
              <w:bottom w:val="single" w:sz="4" w:space="0" w:color="auto"/>
              <w:right w:val="single" w:sz="4" w:space="0" w:color="auto"/>
            </w:tcBorders>
            <w:shd w:val="clear" w:color="auto" w:fill="auto"/>
            <w:noWrap/>
            <w:vAlign w:val="center"/>
            <w:hideMark/>
          </w:tcPr>
          <w:p w:rsidR="00E812BC" w:rsidRPr="00E812BC" w:rsidRDefault="00E812BC" w:rsidP="00E812BC">
            <w:pPr>
              <w:pStyle w:val="142"/>
              <w:jc w:val="center"/>
              <w:rPr>
                <w:rFonts w:hint="eastAsia"/>
              </w:rPr>
            </w:pPr>
            <w:r w:rsidRPr="00E812BC">
              <w:rPr>
                <w:rFonts w:hint="eastAsia"/>
              </w:rPr>
              <w:t>105至108</w:t>
            </w:r>
          </w:p>
        </w:tc>
        <w:tc>
          <w:tcPr>
            <w:tcW w:w="1425" w:type="dxa"/>
            <w:tcBorders>
              <w:top w:val="nil"/>
              <w:left w:val="nil"/>
              <w:bottom w:val="single" w:sz="4" w:space="0" w:color="auto"/>
              <w:right w:val="single" w:sz="4" w:space="0" w:color="auto"/>
            </w:tcBorders>
            <w:shd w:val="clear" w:color="000000" w:fill="FFFFFF"/>
            <w:vAlign w:val="center"/>
            <w:hideMark/>
          </w:tcPr>
          <w:p w:rsidR="00E812BC" w:rsidRPr="00E812BC" w:rsidRDefault="00E812BC" w:rsidP="00E812BC">
            <w:pPr>
              <w:pStyle w:val="142"/>
              <w:jc w:val="right"/>
              <w:rPr>
                <w:rFonts w:hint="eastAsia"/>
              </w:rPr>
            </w:pPr>
            <w:r w:rsidRPr="00E812BC">
              <w:rPr>
                <w:rFonts w:hint="eastAsia"/>
              </w:rPr>
              <w:t>-</w:t>
            </w:r>
          </w:p>
        </w:tc>
        <w:tc>
          <w:tcPr>
            <w:tcW w:w="1795" w:type="dxa"/>
            <w:tcBorders>
              <w:top w:val="nil"/>
              <w:left w:val="nil"/>
              <w:bottom w:val="single" w:sz="4" w:space="0" w:color="auto"/>
              <w:right w:val="single" w:sz="4" w:space="0" w:color="auto"/>
            </w:tcBorders>
            <w:shd w:val="clear" w:color="000000" w:fill="FFFFFF"/>
            <w:vAlign w:val="center"/>
            <w:hideMark/>
          </w:tcPr>
          <w:p w:rsidR="00E812BC" w:rsidRPr="00E812BC" w:rsidRDefault="00E812BC" w:rsidP="00E812BC">
            <w:pPr>
              <w:pStyle w:val="142"/>
              <w:jc w:val="right"/>
              <w:rPr>
                <w:rFonts w:hint="eastAsia"/>
              </w:rPr>
            </w:pPr>
            <w:r w:rsidRPr="00E812BC">
              <w:rPr>
                <w:rFonts w:hint="eastAsia"/>
              </w:rPr>
              <w:t>230</w:t>
            </w:r>
          </w:p>
        </w:tc>
        <w:tc>
          <w:tcPr>
            <w:tcW w:w="1553" w:type="dxa"/>
            <w:tcBorders>
              <w:top w:val="nil"/>
              <w:left w:val="nil"/>
              <w:bottom w:val="single" w:sz="4" w:space="0" w:color="auto"/>
              <w:right w:val="single" w:sz="4" w:space="0" w:color="auto"/>
            </w:tcBorders>
            <w:shd w:val="clear" w:color="auto" w:fill="auto"/>
            <w:vAlign w:val="center"/>
            <w:hideMark/>
          </w:tcPr>
          <w:p w:rsidR="00E812BC" w:rsidRPr="00E812BC" w:rsidRDefault="00E812BC" w:rsidP="00E812BC">
            <w:pPr>
              <w:pStyle w:val="142"/>
              <w:jc w:val="right"/>
              <w:rPr>
                <w:rFonts w:hint="eastAsia"/>
              </w:rPr>
            </w:pPr>
            <w:r w:rsidRPr="00E812BC">
              <w:rPr>
                <w:rFonts w:hint="eastAsia"/>
              </w:rPr>
              <w:t>4,850</w:t>
            </w:r>
          </w:p>
        </w:tc>
        <w:tc>
          <w:tcPr>
            <w:tcW w:w="2058" w:type="dxa"/>
            <w:tcBorders>
              <w:top w:val="nil"/>
              <w:left w:val="nil"/>
              <w:bottom w:val="single" w:sz="4" w:space="0" w:color="auto"/>
              <w:right w:val="single" w:sz="12" w:space="0" w:color="auto"/>
            </w:tcBorders>
            <w:shd w:val="clear" w:color="auto" w:fill="auto"/>
            <w:vAlign w:val="center"/>
            <w:hideMark/>
          </w:tcPr>
          <w:p w:rsidR="00E812BC" w:rsidRPr="00E812BC" w:rsidRDefault="00E812BC" w:rsidP="00E812BC">
            <w:pPr>
              <w:pStyle w:val="142"/>
              <w:jc w:val="right"/>
              <w:rPr>
                <w:rFonts w:hint="eastAsia"/>
              </w:rPr>
            </w:pPr>
            <w:r w:rsidRPr="00E812BC">
              <w:rPr>
                <w:rFonts w:hint="eastAsia"/>
              </w:rPr>
              <w:t>632</w:t>
            </w:r>
          </w:p>
        </w:tc>
      </w:tr>
      <w:tr w:rsidR="00E812BC" w:rsidRPr="00E812BC" w:rsidTr="003077CD">
        <w:tc>
          <w:tcPr>
            <w:tcW w:w="1652" w:type="dxa"/>
            <w:tcBorders>
              <w:top w:val="nil"/>
              <w:left w:val="single" w:sz="12" w:space="0" w:color="auto"/>
              <w:bottom w:val="single" w:sz="4" w:space="0" w:color="auto"/>
              <w:right w:val="single" w:sz="4" w:space="0" w:color="auto"/>
            </w:tcBorders>
            <w:shd w:val="clear" w:color="auto" w:fill="auto"/>
            <w:noWrap/>
            <w:vAlign w:val="center"/>
            <w:hideMark/>
          </w:tcPr>
          <w:p w:rsidR="00E812BC" w:rsidRPr="00E812BC" w:rsidRDefault="00E812BC" w:rsidP="00E812BC">
            <w:pPr>
              <w:pStyle w:val="142"/>
              <w:jc w:val="center"/>
              <w:rPr>
                <w:rFonts w:hint="eastAsia"/>
              </w:rPr>
            </w:pPr>
            <w:r w:rsidRPr="00E812BC">
              <w:rPr>
                <w:rFonts w:hint="eastAsia"/>
              </w:rPr>
              <w:t>109</w:t>
            </w:r>
          </w:p>
        </w:tc>
        <w:tc>
          <w:tcPr>
            <w:tcW w:w="1425" w:type="dxa"/>
            <w:tcBorders>
              <w:top w:val="nil"/>
              <w:left w:val="nil"/>
              <w:bottom w:val="single" w:sz="4" w:space="0" w:color="auto"/>
              <w:right w:val="single" w:sz="4" w:space="0" w:color="auto"/>
            </w:tcBorders>
            <w:shd w:val="clear" w:color="000000" w:fill="FFFFFF"/>
            <w:vAlign w:val="center"/>
            <w:hideMark/>
          </w:tcPr>
          <w:p w:rsidR="00E812BC" w:rsidRPr="00E812BC" w:rsidRDefault="00E812BC" w:rsidP="00E812BC">
            <w:pPr>
              <w:pStyle w:val="142"/>
              <w:jc w:val="right"/>
              <w:rPr>
                <w:rFonts w:hint="eastAsia"/>
              </w:rPr>
            </w:pPr>
            <w:r w:rsidRPr="00E812BC">
              <w:rPr>
                <w:rFonts w:hint="eastAsia"/>
              </w:rPr>
              <w:t>1,416</w:t>
            </w:r>
          </w:p>
        </w:tc>
        <w:tc>
          <w:tcPr>
            <w:tcW w:w="1795" w:type="dxa"/>
            <w:tcBorders>
              <w:top w:val="nil"/>
              <w:left w:val="nil"/>
              <w:bottom w:val="single" w:sz="4" w:space="0" w:color="auto"/>
              <w:right w:val="single" w:sz="4" w:space="0" w:color="auto"/>
            </w:tcBorders>
            <w:shd w:val="clear" w:color="000000" w:fill="FFFFFF"/>
            <w:vAlign w:val="center"/>
            <w:hideMark/>
          </w:tcPr>
          <w:p w:rsidR="00E812BC" w:rsidRPr="00E812BC" w:rsidRDefault="00E812BC" w:rsidP="00E812BC">
            <w:pPr>
              <w:pStyle w:val="142"/>
              <w:jc w:val="right"/>
              <w:rPr>
                <w:rFonts w:hint="eastAsia"/>
              </w:rPr>
            </w:pPr>
            <w:r w:rsidRPr="00E812BC">
              <w:rPr>
                <w:rFonts w:hint="eastAsia"/>
              </w:rPr>
              <w:t>94</w:t>
            </w:r>
          </w:p>
        </w:tc>
        <w:tc>
          <w:tcPr>
            <w:tcW w:w="1553" w:type="dxa"/>
            <w:tcBorders>
              <w:top w:val="nil"/>
              <w:left w:val="nil"/>
              <w:bottom w:val="single" w:sz="4" w:space="0" w:color="auto"/>
              <w:right w:val="single" w:sz="4" w:space="0" w:color="auto"/>
            </w:tcBorders>
            <w:shd w:val="clear" w:color="auto" w:fill="auto"/>
            <w:vAlign w:val="center"/>
            <w:hideMark/>
          </w:tcPr>
          <w:p w:rsidR="00E812BC" w:rsidRPr="00E812BC" w:rsidRDefault="00E812BC" w:rsidP="00E812BC">
            <w:pPr>
              <w:pStyle w:val="142"/>
              <w:jc w:val="right"/>
              <w:rPr>
                <w:rFonts w:hint="eastAsia"/>
              </w:rPr>
            </w:pPr>
            <w:r w:rsidRPr="00E812BC">
              <w:rPr>
                <w:rFonts w:hint="eastAsia"/>
              </w:rPr>
              <w:t>2,100</w:t>
            </w:r>
          </w:p>
        </w:tc>
        <w:tc>
          <w:tcPr>
            <w:tcW w:w="2058" w:type="dxa"/>
            <w:tcBorders>
              <w:top w:val="nil"/>
              <w:left w:val="nil"/>
              <w:bottom w:val="single" w:sz="4" w:space="0" w:color="auto"/>
              <w:right w:val="single" w:sz="12" w:space="0" w:color="auto"/>
            </w:tcBorders>
            <w:shd w:val="clear" w:color="auto" w:fill="auto"/>
            <w:vAlign w:val="center"/>
            <w:hideMark/>
          </w:tcPr>
          <w:p w:rsidR="00E812BC" w:rsidRPr="00E812BC" w:rsidRDefault="00E812BC" w:rsidP="00E812BC">
            <w:pPr>
              <w:pStyle w:val="142"/>
              <w:jc w:val="right"/>
              <w:rPr>
                <w:rFonts w:hint="eastAsia"/>
              </w:rPr>
            </w:pPr>
            <w:r w:rsidRPr="00E812BC">
              <w:rPr>
                <w:rFonts w:hint="eastAsia"/>
              </w:rPr>
              <w:t>345</w:t>
            </w:r>
          </w:p>
        </w:tc>
      </w:tr>
      <w:tr w:rsidR="00E812BC" w:rsidRPr="00E812BC" w:rsidTr="003077CD">
        <w:tc>
          <w:tcPr>
            <w:tcW w:w="1652" w:type="dxa"/>
            <w:tcBorders>
              <w:top w:val="nil"/>
              <w:left w:val="single" w:sz="12" w:space="0" w:color="auto"/>
              <w:bottom w:val="single" w:sz="4" w:space="0" w:color="auto"/>
              <w:right w:val="single" w:sz="4" w:space="0" w:color="auto"/>
            </w:tcBorders>
            <w:shd w:val="clear" w:color="auto" w:fill="auto"/>
            <w:noWrap/>
            <w:vAlign w:val="center"/>
            <w:hideMark/>
          </w:tcPr>
          <w:p w:rsidR="00E812BC" w:rsidRPr="00E812BC" w:rsidRDefault="00E812BC" w:rsidP="00E812BC">
            <w:pPr>
              <w:pStyle w:val="142"/>
              <w:jc w:val="center"/>
              <w:rPr>
                <w:rFonts w:hint="eastAsia"/>
              </w:rPr>
            </w:pPr>
            <w:r w:rsidRPr="00E812BC">
              <w:rPr>
                <w:rFonts w:hint="eastAsia"/>
              </w:rPr>
              <w:t>110</w:t>
            </w:r>
          </w:p>
        </w:tc>
        <w:tc>
          <w:tcPr>
            <w:tcW w:w="1425" w:type="dxa"/>
            <w:tcBorders>
              <w:top w:val="nil"/>
              <w:left w:val="nil"/>
              <w:bottom w:val="single" w:sz="4" w:space="0" w:color="auto"/>
              <w:right w:val="single" w:sz="4" w:space="0" w:color="auto"/>
            </w:tcBorders>
            <w:shd w:val="clear" w:color="000000" w:fill="FFFFFF"/>
            <w:vAlign w:val="center"/>
            <w:hideMark/>
          </w:tcPr>
          <w:p w:rsidR="00E812BC" w:rsidRPr="00E812BC" w:rsidRDefault="00E812BC" w:rsidP="00E812BC">
            <w:pPr>
              <w:pStyle w:val="142"/>
              <w:jc w:val="right"/>
              <w:rPr>
                <w:rFonts w:hint="eastAsia"/>
              </w:rPr>
            </w:pPr>
            <w:r w:rsidRPr="00E812BC">
              <w:rPr>
                <w:rFonts w:hint="eastAsia"/>
              </w:rPr>
              <w:t>1,678</w:t>
            </w:r>
          </w:p>
        </w:tc>
        <w:tc>
          <w:tcPr>
            <w:tcW w:w="1795" w:type="dxa"/>
            <w:tcBorders>
              <w:top w:val="nil"/>
              <w:left w:val="nil"/>
              <w:bottom w:val="single" w:sz="4" w:space="0" w:color="auto"/>
              <w:right w:val="single" w:sz="4" w:space="0" w:color="auto"/>
            </w:tcBorders>
            <w:shd w:val="clear" w:color="000000" w:fill="FFFFFF"/>
            <w:vAlign w:val="center"/>
            <w:hideMark/>
          </w:tcPr>
          <w:p w:rsidR="00E812BC" w:rsidRPr="00E812BC" w:rsidRDefault="00E812BC" w:rsidP="00E812BC">
            <w:pPr>
              <w:pStyle w:val="142"/>
              <w:jc w:val="right"/>
              <w:rPr>
                <w:rFonts w:hint="eastAsia"/>
              </w:rPr>
            </w:pPr>
            <w:r w:rsidRPr="00E812BC">
              <w:rPr>
                <w:rFonts w:hint="eastAsia"/>
              </w:rPr>
              <w:t>90</w:t>
            </w:r>
          </w:p>
        </w:tc>
        <w:tc>
          <w:tcPr>
            <w:tcW w:w="1553" w:type="dxa"/>
            <w:tcBorders>
              <w:top w:val="nil"/>
              <w:left w:val="nil"/>
              <w:bottom w:val="single" w:sz="4" w:space="0" w:color="auto"/>
              <w:right w:val="single" w:sz="4" w:space="0" w:color="auto"/>
            </w:tcBorders>
            <w:shd w:val="clear" w:color="auto" w:fill="auto"/>
            <w:vAlign w:val="center"/>
            <w:hideMark/>
          </w:tcPr>
          <w:p w:rsidR="00E812BC" w:rsidRPr="00E812BC" w:rsidRDefault="00E812BC" w:rsidP="00E812BC">
            <w:pPr>
              <w:pStyle w:val="142"/>
              <w:jc w:val="right"/>
              <w:rPr>
                <w:rFonts w:hint="eastAsia"/>
              </w:rPr>
            </w:pPr>
            <w:r w:rsidRPr="00E812BC">
              <w:rPr>
                <w:rFonts w:hint="eastAsia"/>
              </w:rPr>
              <w:t>2,100</w:t>
            </w:r>
          </w:p>
        </w:tc>
        <w:tc>
          <w:tcPr>
            <w:tcW w:w="2058" w:type="dxa"/>
            <w:tcBorders>
              <w:top w:val="nil"/>
              <w:left w:val="nil"/>
              <w:bottom w:val="single" w:sz="4" w:space="0" w:color="auto"/>
              <w:right w:val="single" w:sz="12" w:space="0" w:color="auto"/>
            </w:tcBorders>
            <w:shd w:val="clear" w:color="auto" w:fill="auto"/>
            <w:vAlign w:val="center"/>
            <w:hideMark/>
          </w:tcPr>
          <w:p w:rsidR="00E812BC" w:rsidRPr="00E812BC" w:rsidRDefault="00E812BC" w:rsidP="00E812BC">
            <w:pPr>
              <w:pStyle w:val="142"/>
              <w:jc w:val="right"/>
              <w:rPr>
                <w:rFonts w:hint="eastAsia"/>
              </w:rPr>
            </w:pPr>
            <w:r w:rsidRPr="00E812BC">
              <w:rPr>
                <w:rFonts w:hint="eastAsia"/>
              </w:rPr>
              <w:t>446</w:t>
            </w:r>
          </w:p>
        </w:tc>
      </w:tr>
      <w:tr w:rsidR="00E812BC" w:rsidRPr="00E812BC" w:rsidTr="003077CD">
        <w:tc>
          <w:tcPr>
            <w:tcW w:w="1652" w:type="dxa"/>
            <w:tcBorders>
              <w:top w:val="nil"/>
              <w:left w:val="single" w:sz="12" w:space="0" w:color="auto"/>
              <w:bottom w:val="single" w:sz="4" w:space="0" w:color="auto"/>
              <w:right w:val="single" w:sz="4" w:space="0" w:color="auto"/>
            </w:tcBorders>
            <w:shd w:val="clear" w:color="auto" w:fill="auto"/>
            <w:noWrap/>
            <w:vAlign w:val="center"/>
            <w:hideMark/>
          </w:tcPr>
          <w:p w:rsidR="00E812BC" w:rsidRPr="00E812BC" w:rsidRDefault="00E812BC" w:rsidP="00E812BC">
            <w:pPr>
              <w:pStyle w:val="142"/>
              <w:jc w:val="center"/>
              <w:rPr>
                <w:rFonts w:hint="eastAsia"/>
              </w:rPr>
            </w:pPr>
            <w:r w:rsidRPr="00E812BC">
              <w:rPr>
                <w:rFonts w:hint="eastAsia"/>
              </w:rPr>
              <w:t>111</w:t>
            </w:r>
          </w:p>
        </w:tc>
        <w:tc>
          <w:tcPr>
            <w:tcW w:w="1425" w:type="dxa"/>
            <w:tcBorders>
              <w:top w:val="nil"/>
              <w:left w:val="nil"/>
              <w:bottom w:val="single" w:sz="4" w:space="0" w:color="auto"/>
              <w:right w:val="single" w:sz="4" w:space="0" w:color="auto"/>
            </w:tcBorders>
            <w:shd w:val="clear" w:color="000000" w:fill="FFFFFF"/>
            <w:vAlign w:val="center"/>
            <w:hideMark/>
          </w:tcPr>
          <w:p w:rsidR="00E812BC" w:rsidRPr="00E812BC" w:rsidRDefault="00E812BC" w:rsidP="00635442">
            <w:pPr>
              <w:pStyle w:val="142"/>
              <w:jc w:val="right"/>
              <w:rPr>
                <w:rFonts w:hint="eastAsia"/>
              </w:rPr>
            </w:pPr>
            <w:r w:rsidRPr="00E812BC">
              <w:rPr>
                <w:rFonts w:hint="eastAsia"/>
              </w:rPr>
              <w:t>1,486</w:t>
            </w:r>
          </w:p>
        </w:tc>
        <w:tc>
          <w:tcPr>
            <w:tcW w:w="1795" w:type="dxa"/>
            <w:tcBorders>
              <w:top w:val="nil"/>
              <w:left w:val="nil"/>
              <w:bottom w:val="single" w:sz="4" w:space="0" w:color="auto"/>
              <w:right w:val="single" w:sz="4" w:space="0" w:color="auto"/>
            </w:tcBorders>
            <w:shd w:val="clear" w:color="000000" w:fill="FFFFFF"/>
            <w:vAlign w:val="center"/>
            <w:hideMark/>
          </w:tcPr>
          <w:p w:rsidR="00E812BC" w:rsidRPr="00E812BC" w:rsidRDefault="00E812BC" w:rsidP="00635442">
            <w:pPr>
              <w:pStyle w:val="142"/>
              <w:jc w:val="right"/>
              <w:rPr>
                <w:rFonts w:hint="eastAsia"/>
              </w:rPr>
            </w:pPr>
            <w:r w:rsidRPr="00E812BC">
              <w:rPr>
                <w:rFonts w:hint="eastAsia"/>
              </w:rPr>
              <w:t>412</w:t>
            </w:r>
          </w:p>
        </w:tc>
        <w:tc>
          <w:tcPr>
            <w:tcW w:w="1553" w:type="dxa"/>
            <w:tcBorders>
              <w:top w:val="nil"/>
              <w:left w:val="nil"/>
              <w:bottom w:val="single" w:sz="4" w:space="0" w:color="auto"/>
              <w:right w:val="single" w:sz="4" w:space="0" w:color="auto"/>
            </w:tcBorders>
            <w:shd w:val="clear" w:color="auto" w:fill="auto"/>
            <w:vAlign w:val="center"/>
            <w:hideMark/>
          </w:tcPr>
          <w:p w:rsidR="00E812BC" w:rsidRPr="00E812BC" w:rsidRDefault="00E812BC" w:rsidP="00635442">
            <w:pPr>
              <w:pStyle w:val="142"/>
              <w:jc w:val="right"/>
              <w:rPr>
                <w:rFonts w:hint="eastAsia"/>
              </w:rPr>
            </w:pPr>
            <w:r w:rsidRPr="00E812BC">
              <w:rPr>
                <w:rFonts w:hint="eastAsia"/>
              </w:rPr>
              <w:t>1,900</w:t>
            </w:r>
          </w:p>
        </w:tc>
        <w:tc>
          <w:tcPr>
            <w:tcW w:w="2058" w:type="dxa"/>
            <w:tcBorders>
              <w:top w:val="nil"/>
              <w:left w:val="nil"/>
              <w:bottom w:val="single" w:sz="4" w:space="0" w:color="auto"/>
              <w:right w:val="single" w:sz="12" w:space="0" w:color="auto"/>
            </w:tcBorders>
            <w:shd w:val="clear" w:color="auto" w:fill="auto"/>
            <w:vAlign w:val="center"/>
            <w:hideMark/>
          </w:tcPr>
          <w:p w:rsidR="00E812BC" w:rsidRPr="00E812BC" w:rsidRDefault="00E812BC" w:rsidP="00635442">
            <w:pPr>
              <w:pStyle w:val="142"/>
              <w:jc w:val="right"/>
              <w:rPr>
                <w:rFonts w:hint="eastAsia"/>
              </w:rPr>
            </w:pPr>
            <w:r w:rsidRPr="00E812BC">
              <w:rPr>
                <w:rFonts w:hint="eastAsia"/>
              </w:rPr>
              <w:t>496</w:t>
            </w:r>
          </w:p>
        </w:tc>
      </w:tr>
      <w:tr w:rsidR="00E812BC" w:rsidRPr="00E812BC" w:rsidTr="003077CD">
        <w:tc>
          <w:tcPr>
            <w:tcW w:w="1652" w:type="dxa"/>
            <w:tcBorders>
              <w:top w:val="nil"/>
              <w:left w:val="single" w:sz="12" w:space="0" w:color="auto"/>
              <w:bottom w:val="single" w:sz="4" w:space="0" w:color="auto"/>
              <w:right w:val="single" w:sz="4" w:space="0" w:color="auto"/>
            </w:tcBorders>
            <w:shd w:val="clear" w:color="auto" w:fill="auto"/>
            <w:noWrap/>
            <w:vAlign w:val="center"/>
            <w:hideMark/>
          </w:tcPr>
          <w:p w:rsidR="00E812BC" w:rsidRPr="00E812BC" w:rsidRDefault="00E812BC" w:rsidP="00E812BC">
            <w:pPr>
              <w:pStyle w:val="142"/>
              <w:jc w:val="center"/>
              <w:rPr>
                <w:rFonts w:hint="eastAsia"/>
              </w:rPr>
            </w:pPr>
            <w:r w:rsidRPr="00E812BC">
              <w:rPr>
                <w:rFonts w:hint="eastAsia"/>
              </w:rPr>
              <w:t>112</w:t>
            </w:r>
          </w:p>
        </w:tc>
        <w:tc>
          <w:tcPr>
            <w:tcW w:w="1425" w:type="dxa"/>
            <w:tcBorders>
              <w:top w:val="nil"/>
              <w:left w:val="nil"/>
              <w:bottom w:val="single" w:sz="4" w:space="0" w:color="auto"/>
              <w:right w:val="single" w:sz="4" w:space="0" w:color="auto"/>
            </w:tcBorders>
            <w:shd w:val="clear" w:color="000000" w:fill="FFFFFF"/>
            <w:vAlign w:val="center"/>
            <w:hideMark/>
          </w:tcPr>
          <w:p w:rsidR="00E812BC" w:rsidRPr="00E812BC" w:rsidRDefault="00E812BC" w:rsidP="00635442">
            <w:pPr>
              <w:pStyle w:val="142"/>
              <w:jc w:val="right"/>
              <w:rPr>
                <w:rFonts w:hint="eastAsia"/>
              </w:rPr>
            </w:pPr>
            <w:r w:rsidRPr="00E812BC">
              <w:rPr>
                <w:rFonts w:hint="eastAsia"/>
              </w:rPr>
              <w:t>1,550</w:t>
            </w:r>
          </w:p>
        </w:tc>
        <w:tc>
          <w:tcPr>
            <w:tcW w:w="1795" w:type="dxa"/>
            <w:tcBorders>
              <w:top w:val="nil"/>
              <w:left w:val="nil"/>
              <w:bottom w:val="single" w:sz="4" w:space="0" w:color="auto"/>
              <w:right w:val="single" w:sz="4" w:space="0" w:color="auto"/>
            </w:tcBorders>
            <w:shd w:val="clear" w:color="000000" w:fill="FFFFFF"/>
            <w:vAlign w:val="center"/>
            <w:hideMark/>
          </w:tcPr>
          <w:p w:rsidR="00E812BC" w:rsidRPr="00E812BC" w:rsidRDefault="00E812BC" w:rsidP="00635442">
            <w:pPr>
              <w:pStyle w:val="142"/>
              <w:jc w:val="right"/>
              <w:rPr>
                <w:rFonts w:hint="eastAsia"/>
              </w:rPr>
            </w:pPr>
            <w:r w:rsidRPr="00E812BC">
              <w:rPr>
                <w:rFonts w:hint="eastAsia"/>
              </w:rPr>
              <w:t>515</w:t>
            </w:r>
          </w:p>
        </w:tc>
        <w:tc>
          <w:tcPr>
            <w:tcW w:w="1553" w:type="dxa"/>
            <w:tcBorders>
              <w:top w:val="nil"/>
              <w:left w:val="nil"/>
              <w:bottom w:val="single" w:sz="4" w:space="0" w:color="auto"/>
              <w:right w:val="single" w:sz="4" w:space="0" w:color="auto"/>
            </w:tcBorders>
            <w:shd w:val="clear" w:color="auto" w:fill="auto"/>
            <w:vAlign w:val="center"/>
            <w:hideMark/>
          </w:tcPr>
          <w:p w:rsidR="00E812BC" w:rsidRPr="00E812BC" w:rsidRDefault="00E812BC" w:rsidP="00635442">
            <w:pPr>
              <w:pStyle w:val="142"/>
              <w:jc w:val="right"/>
              <w:rPr>
                <w:rFonts w:hint="eastAsia"/>
              </w:rPr>
            </w:pPr>
            <w:r w:rsidRPr="00E812BC">
              <w:rPr>
                <w:rFonts w:hint="eastAsia"/>
              </w:rPr>
              <w:t>2,300</w:t>
            </w:r>
          </w:p>
        </w:tc>
        <w:tc>
          <w:tcPr>
            <w:tcW w:w="2058" w:type="dxa"/>
            <w:tcBorders>
              <w:top w:val="nil"/>
              <w:left w:val="nil"/>
              <w:bottom w:val="single" w:sz="4" w:space="0" w:color="auto"/>
              <w:right w:val="single" w:sz="12" w:space="0" w:color="auto"/>
            </w:tcBorders>
            <w:shd w:val="clear" w:color="auto" w:fill="auto"/>
            <w:vAlign w:val="center"/>
            <w:hideMark/>
          </w:tcPr>
          <w:p w:rsidR="00E812BC" w:rsidRPr="00E812BC" w:rsidRDefault="00E812BC" w:rsidP="00635442">
            <w:pPr>
              <w:pStyle w:val="142"/>
              <w:jc w:val="right"/>
              <w:rPr>
                <w:rFonts w:hint="eastAsia"/>
              </w:rPr>
            </w:pPr>
            <w:r w:rsidRPr="00E812BC">
              <w:rPr>
                <w:rFonts w:hint="eastAsia"/>
              </w:rPr>
              <w:t>418</w:t>
            </w:r>
          </w:p>
        </w:tc>
      </w:tr>
      <w:tr w:rsidR="00E812BC" w:rsidRPr="00E812BC" w:rsidTr="003077CD">
        <w:tc>
          <w:tcPr>
            <w:tcW w:w="1652" w:type="dxa"/>
            <w:tcBorders>
              <w:top w:val="nil"/>
              <w:left w:val="single" w:sz="12" w:space="0" w:color="auto"/>
              <w:bottom w:val="single" w:sz="12" w:space="0" w:color="auto"/>
              <w:right w:val="single" w:sz="4" w:space="0" w:color="auto"/>
            </w:tcBorders>
            <w:shd w:val="clear" w:color="auto" w:fill="auto"/>
            <w:noWrap/>
            <w:vAlign w:val="center"/>
            <w:hideMark/>
          </w:tcPr>
          <w:p w:rsidR="00E812BC" w:rsidRPr="00E812BC" w:rsidRDefault="00E812BC" w:rsidP="00E812BC">
            <w:pPr>
              <w:pStyle w:val="142"/>
              <w:jc w:val="center"/>
              <w:rPr>
                <w:rFonts w:hint="eastAsia"/>
              </w:rPr>
            </w:pPr>
            <w:r w:rsidRPr="00E812BC">
              <w:rPr>
                <w:rFonts w:hint="eastAsia"/>
              </w:rPr>
              <w:t>113</w:t>
            </w:r>
          </w:p>
        </w:tc>
        <w:tc>
          <w:tcPr>
            <w:tcW w:w="1425" w:type="dxa"/>
            <w:tcBorders>
              <w:top w:val="nil"/>
              <w:left w:val="nil"/>
              <w:bottom w:val="single" w:sz="12" w:space="0" w:color="auto"/>
              <w:right w:val="single" w:sz="4" w:space="0" w:color="auto"/>
            </w:tcBorders>
            <w:shd w:val="clear" w:color="000000" w:fill="FFFFFF"/>
            <w:vAlign w:val="center"/>
            <w:hideMark/>
          </w:tcPr>
          <w:p w:rsidR="00E812BC" w:rsidRPr="00E812BC" w:rsidRDefault="00E812BC" w:rsidP="00635442">
            <w:pPr>
              <w:pStyle w:val="142"/>
              <w:jc w:val="right"/>
              <w:rPr>
                <w:rFonts w:hint="eastAsia"/>
              </w:rPr>
            </w:pPr>
            <w:r w:rsidRPr="00E812BC">
              <w:rPr>
                <w:rFonts w:hint="eastAsia"/>
              </w:rPr>
              <w:t>1,500</w:t>
            </w:r>
          </w:p>
        </w:tc>
        <w:tc>
          <w:tcPr>
            <w:tcW w:w="1795" w:type="dxa"/>
            <w:tcBorders>
              <w:top w:val="nil"/>
              <w:left w:val="nil"/>
              <w:bottom w:val="single" w:sz="12" w:space="0" w:color="auto"/>
              <w:right w:val="single" w:sz="4" w:space="0" w:color="auto"/>
            </w:tcBorders>
            <w:shd w:val="clear" w:color="000000" w:fill="FFFFFF"/>
            <w:vAlign w:val="center"/>
            <w:hideMark/>
          </w:tcPr>
          <w:p w:rsidR="00E812BC" w:rsidRPr="00E812BC" w:rsidRDefault="00E812BC" w:rsidP="00635442">
            <w:pPr>
              <w:pStyle w:val="142"/>
              <w:jc w:val="right"/>
              <w:rPr>
                <w:rFonts w:hint="eastAsia"/>
              </w:rPr>
            </w:pPr>
            <w:r w:rsidRPr="00E812BC">
              <w:rPr>
                <w:rFonts w:hint="eastAsia"/>
              </w:rPr>
              <w:t>481</w:t>
            </w:r>
          </w:p>
        </w:tc>
        <w:tc>
          <w:tcPr>
            <w:tcW w:w="1553" w:type="dxa"/>
            <w:tcBorders>
              <w:top w:val="nil"/>
              <w:left w:val="nil"/>
              <w:bottom w:val="single" w:sz="12" w:space="0" w:color="auto"/>
              <w:right w:val="single" w:sz="4" w:space="0" w:color="auto"/>
            </w:tcBorders>
            <w:shd w:val="clear" w:color="auto" w:fill="auto"/>
            <w:vAlign w:val="center"/>
            <w:hideMark/>
          </w:tcPr>
          <w:p w:rsidR="00E812BC" w:rsidRPr="00E812BC" w:rsidRDefault="00E812BC" w:rsidP="00635442">
            <w:pPr>
              <w:pStyle w:val="142"/>
              <w:jc w:val="right"/>
              <w:rPr>
                <w:rFonts w:hint="eastAsia"/>
              </w:rPr>
            </w:pPr>
            <w:r w:rsidRPr="00E812BC">
              <w:rPr>
                <w:rFonts w:hint="eastAsia"/>
              </w:rPr>
              <w:t>1,500</w:t>
            </w:r>
          </w:p>
        </w:tc>
        <w:tc>
          <w:tcPr>
            <w:tcW w:w="2058" w:type="dxa"/>
            <w:tcBorders>
              <w:top w:val="nil"/>
              <w:left w:val="nil"/>
              <w:bottom w:val="single" w:sz="12" w:space="0" w:color="auto"/>
              <w:right w:val="single" w:sz="12" w:space="0" w:color="auto"/>
            </w:tcBorders>
            <w:shd w:val="clear" w:color="auto" w:fill="auto"/>
            <w:vAlign w:val="center"/>
            <w:hideMark/>
          </w:tcPr>
          <w:p w:rsidR="00E812BC" w:rsidRPr="00E812BC" w:rsidRDefault="00E812BC" w:rsidP="00635442">
            <w:pPr>
              <w:pStyle w:val="142"/>
              <w:jc w:val="right"/>
              <w:rPr>
                <w:rFonts w:hint="eastAsia"/>
              </w:rPr>
            </w:pPr>
            <w:r w:rsidRPr="00E812BC">
              <w:rPr>
                <w:rFonts w:hint="eastAsia"/>
              </w:rPr>
              <w:t>949</w:t>
            </w:r>
          </w:p>
        </w:tc>
      </w:tr>
    </w:tbl>
    <w:p w:rsidR="00E812BC" w:rsidRPr="00E812BC" w:rsidRDefault="00E812BC" w:rsidP="00E812BC">
      <w:pPr>
        <w:pStyle w:val="142"/>
      </w:pPr>
      <w:r w:rsidRPr="00E812BC">
        <w:rPr>
          <w:rFonts w:hint="eastAsia"/>
        </w:rPr>
        <w:t>說    明：表列「維管經費」為決算數。</w:t>
      </w:r>
    </w:p>
    <w:p w:rsidR="00E812BC" w:rsidRDefault="00E812BC" w:rsidP="00E812BC">
      <w:pPr>
        <w:pStyle w:val="142"/>
      </w:pPr>
      <w:r w:rsidRPr="00E812BC">
        <w:rPr>
          <w:rFonts w:hint="eastAsia"/>
        </w:rPr>
        <w:t>資料來源：彙整自核安會提供資料。</w:t>
      </w:r>
    </w:p>
    <w:p w:rsidR="00E812BC" w:rsidRDefault="00E812BC" w:rsidP="00E812BC">
      <w:pPr>
        <w:ind w:left="566" w:firstLine="566"/>
      </w:pPr>
      <w:r w:rsidRPr="00E812BC">
        <w:rPr>
          <w:rFonts w:hint="eastAsia"/>
        </w:rPr>
        <w:t>綜上，核安會委託國立陽明交通大學及屏東科技大學建置放射性分析備援實驗室，並補助維運管理經費，惟啟用迄113年度止，實際檢測量仍遠低於最大檢測量，允宜研謀精進，以增進設置效益。</w:t>
      </w:r>
    </w:p>
    <w:p w:rsidR="00E812BC" w:rsidRPr="0042564F" w:rsidRDefault="00E812BC" w:rsidP="00E812BC">
      <w:pPr>
        <w:pStyle w:val="ab"/>
        <w:ind w:left="566" w:firstLine="566"/>
      </w:pPr>
      <w:r w:rsidRPr="0042564F">
        <w:rPr>
          <w:rFonts w:hint="eastAsia"/>
        </w:rPr>
        <w:t>(分機：865</w:t>
      </w:r>
      <w:r>
        <w:rPr>
          <w:rFonts w:hint="eastAsia"/>
        </w:rPr>
        <w:t>3</w:t>
      </w:r>
      <w:r w:rsidRPr="0042564F">
        <w:rPr>
          <w:rFonts w:hint="eastAsia"/>
        </w:rPr>
        <w:t xml:space="preserve"> </w:t>
      </w:r>
      <w:r>
        <w:rPr>
          <w:rFonts w:hint="eastAsia"/>
        </w:rPr>
        <w:t>江穗美</w:t>
      </w:r>
      <w:r w:rsidRPr="0042564F">
        <w:rPr>
          <w:rFonts w:hint="eastAsia"/>
        </w:rPr>
        <w:t>)</w:t>
      </w:r>
    </w:p>
    <w:p w:rsidR="00E812BC" w:rsidRPr="00E812BC" w:rsidRDefault="00E812BC" w:rsidP="00E812BC">
      <w:pPr>
        <w:ind w:left="566" w:firstLine="566"/>
        <w:rPr>
          <w:rFonts w:hint="eastAsia"/>
        </w:rPr>
      </w:pPr>
    </w:p>
    <w:sectPr w:rsidR="00E812BC" w:rsidRPr="00E812BC" w:rsidSect="00F347F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77CD" w:rsidRDefault="003077CD" w:rsidP="009B732E">
      <w:pPr>
        <w:spacing w:line="240" w:lineRule="auto"/>
        <w:ind w:left="560" w:firstLine="560"/>
      </w:pPr>
      <w:r>
        <w:separator/>
      </w:r>
    </w:p>
  </w:endnote>
  <w:endnote w:type="continuationSeparator" w:id="0">
    <w:p w:rsidR="003077CD" w:rsidRDefault="003077CD"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38C" w:rsidRDefault="00AA738C">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38C" w:rsidRDefault="00AA738C" w:rsidP="00BA2F2C">
    <w:pPr>
      <w:pStyle w:val="af0"/>
      <w:ind w:leftChars="0" w:left="0" w:firstLineChars="0" w:firstLine="0"/>
      <w:jc w:val="center"/>
    </w:pPr>
    <w:r>
      <w:fldChar w:fldCharType="begin"/>
    </w:r>
    <w:r>
      <w:instrText>PAGE   \* MERGEFORMAT</w:instrText>
    </w:r>
    <w:r>
      <w:fldChar w:fldCharType="separate"/>
    </w:r>
    <w:r w:rsidR="000C4970" w:rsidRPr="000C4970">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38C" w:rsidRDefault="00AA738C">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77CD" w:rsidRDefault="003077CD" w:rsidP="009B732E">
      <w:pPr>
        <w:spacing w:line="240" w:lineRule="auto"/>
        <w:ind w:left="560" w:firstLine="560"/>
      </w:pPr>
      <w:r>
        <w:separator/>
      </w:r>
    </w:p>
  </w:footnote>
  <w:footnote w:type="continuationSeparator" w:id="0">
    <w:p w:rsidR="003077CD" w:rsidRDefault="003077CD" w:rsidP="009B732E">
      <w:pPr>
        <w:spacing w:line="240" w:lineRule="auto"/>
        <w:ind w:left="560" w:firstLine="560"/>
      </w:pPr>
      <w:r>
        <w:continuationSeparator/>
      </w:r>
    </w:p>
  </w:footnote>
  <w:footnote w:id="1">
    <w:p w:rsidR="000F16BD" w:rsidRDefault="000F16BD" w:rsidP="000F16BD">
      <w:pPr>
        <w:pStyle w:val="142"/>
        <w:ind w:leftChars="1" w:left="183" w:hangingChars="74" w:hanging="180"/>
        <w:rPr>
          <w:rFonts w:hint="eastAsia"/>
        </w:rPr>
      </w:pPr>
      <w:r>
        <w:rPr>
          <w:rStyle w:val="af6"/>
        </w:rPr>
        <w:footnoteRef/>
      </w:r>
      <w:r>
        <w:t xml:space="preserve"> </w:t>
      </w:r>
      <w:r w:rsidRPr="000F16BD">
        <w:rPr>
          <w:rFonts w:hint="eastAsia"/>
        </w:rPr>
        <w:t>據核安會說明略以，本計畫在總經費不變下，重新審視計畫重要性及優先度，依據實際經費核撥及執行情形，調整計畫期程延至119年度，修正計畫業於114年2月經行政院核定。</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38C" w:rsidRDefault="00AA738C">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38C" w:rsidRDefault="00AA738C">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38C" w:rsidRDefault="00AA738C">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A04DC"/>
    <w:multiLevelType w:val="hybridMultilevel"/>
    <w:tmpl w:val="E8FC9E64"/>
    <w:lvl w:ilvl="0" w:tplc="780CC77E">
      <w:start w:val="1"/>
      <w:numFmt w:val="decimal"/>
      <w:lvlText w:val="(%1)"/>
      <w:lvlJc w:val="left"/>
      <w:pPr>
        <w:ind w:left="1853" w:hanging="720"/>
      </w:pPr>
      <w:rPr>
        <w:rFonts w:hint="default"/>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1" w15:restartNumberingAfterBreak="0">
    <w:nsid w:val="09F7798C"/>
    <w:multiLevelType w:val="hybridMultilevel"/>
    <w:tmpl w:val="79FE9736"/>
    <w:lvl w:ilvl="0" w:tplc="BB98605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E8A0820"/>
    <w:multiLevelType w:val="hybridMultilevel"/>
    <w:tmpl w:val="A44471BC"/>
    <w:lvl w:ilvl="0" w:tplc="9252EF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1E407C3"/>
    <w:multiLevelType w:val="hybridMultilevel"/>
    <w:tmpl w:val="00AC0E5A"/>
    <w:lvl w:ilvl="0" w:tplc="77E88D9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C4A0128"/>
    <w:multiLevelType w:val="hybridMultilevel"/>
    <w:tmpl w:val="38B60CE2"/>
    <w:lvl w:ilvl="0" w:tplc="04090001">
      <w:start w:val="1"/>
      <w:numFmt w:val="bullet"/>
      <w:lvlText w:val=""/>
      <w:lvlJc w:val="left"/>
      <w:pPr>
        <w:ind w:left="1612" w:hanging="480"/>
      </w:pPr>
      <w:rPr>
        <w:rFonts w:ascii="Wingdings" w:hAnsi="Wingdings" w:hint="default"/>
      </w:rPr>
    </w:lvl>
    <w:lvl w:ilvl="1" w:tplc="04090003" w:tentative="1">
      <w:start w:val="1"/>
      <w:numFmt w:val="bullet"/>
      <w:lvlText w:val=""/>
      <w:lvlJc w:val="left"/>
      <w:pPr>
        <w:ind w:left="2092" w:hanging="480"/>
      </w:pPr>
      <w:rPr>
        <w:rFonts w:ascii="Wingdings" w:hAnsi="Wingdings" w:hint="default"/>
      </w:rPr>
    </w:lvl>
    <w:lvl w:ilvl="2" w:tplc="04090005" w:tentative="1">
      <w:start w:val="1"/>
      <w:numFmt w:val="bullet"/>
      <w:lvlText w:val=""/>
      <w:lvlJc w:val="left"/>
      <w:pPr>
        <w:ind w:left="2572" w:hanging="480"/>
      </w:pPr>
      <w:rPr>
        <w:rFonts w:ascii="Wingdings" w:hAnsi="Wingdings" w:hint="default"/>
      </w:rPr>
    </w:lvl>
    <w:lvl w:ilvl="3" w:tplc="04090001" w:tentative="1">
      <w:start w:val="1"/>
      <w:numFmt w:val="bullet"/>
      <w:lvlText w:val=""/>
      <w:lvlJc w:val="left"/>
      <w:pPr>
        <w:ind w:left="3052" w:hanging="480"/>
      </w:pPr>
      <w:rPr>
        <w:rFonts w:ascii="Wingdings" w:hAnsi="Wingdings" w:hint="default"/>
      </w:rPr>
    </w:lvl>
    <w:lvl w:ilvl="4" w:tplc="04090003" w:tentative="1">
      <w:start w:val="1"/>
      <w:numFmt w:val="bullet"/>
      <w:lvlText w:val=""/>
      <w:lvlJc w:val="left"/>
      <w:pPr>
        <w:ind w:left="3532" w:hanging="480"/>
      </w:pPr>
      <w:rPr>
        <w:rFonts w:ascii="Wingdings" w:hAnsi="Wingdings" w:hint="default"/>
      </w:rPr>
    </w:lvl>
    <w:lvl w:ilvl="5" w:tplc="04090005" w:tentative="1">
      <w:start w:val="1"/>
      <w:numFmt w:val="bullet"/>
      <w:lvlText w:val=""/>
      <w:lvlJc w:val="left"/>
      <w:pPr>
        <w:ind w:left="4012" w:hanging="480"/>
      </w:pPr>
      <w:rPr>
        <w:rFonts w:ascii="Wingdings" w:hAnsi="Wingdings" w:hint="default"/>
      </w:rPr>
    </w:lvl>
    <w:lvl w:ilvl="6" w:tplc="04090001" w:tentative="1">
      <w:start w:val="1"/>
      <w:numFmt w:val="bullet"/>
      <w:lvlText w:val=""/>
      <w:lvlJc w:val="left"/>
      <w:pPr>
        <w:ind w:left="4492" w:hanging="480"/>
      </w:pPr>
      <w:rPr>
        <w:rFonts w:ascii="Wingdings" w:hAnsi="Wingdings" w:hint="default"/>
      </w:rPr>
    </w:lvl>
    <w:lvl w:ilvl="7" w:tplc="04090003" w:tentative="1">
      <w:start w:val="1"/>
      <w:numFmt w:val="bullet"/>
      <w:lvlText w:val=""/>
      <w:lvlJc w:val="left"/>
      <w:pPr>
        <w:ind w:left="4972" w:hanging="480"/>
      </w:pPr>
      <w:rPr>
        <w:rFonts w:ascii="Wingdings" w:hAnsi="Wingdings" w:hint="default"/>
      </w:rPr>
    </w:lvl>
    <w:lvl w:ilvl="8" w:tplc="04090005" w:tentative="1">
      <w:start w:val="1"/>
      <w:numFmt w:val="bullet"/>
      <w:lvlText w:val=""/>
      <w:lvlJc w:val="left"/>
      <w:pPr>
        <w:ind w:left="5452" w:hanging="480"/>
      </w:pPr>
      <w:rPr>
        <w:rFonts w:ascii="Wingdings" w:hAnsi="Wingdings" w:hint="default"/>
      </w:rPr>
    </w:lvl>
  </w:abstractNum>
  <w:abstractNum w:abstractNumId="5" w15:restartNumberingAfterBreak="0">
    <w:nsid w:val="21265B14"/>
    <w:multiLevelType w:val="hybridMultilevel"/>
    <w:tmpl w:val="A9548FD0"/>
    <w:lvl w:ilvl="0" w:tplc="9F8ADA70">
      <w:start w:val="2"/>
      <w:numFmt w:val="decimal"/>
      <w:lvlText w:val="%1."/>
      <w:lvlJc w:val="left"/>
      <w:pPr>
        <w:ind w:left="766" w:hanging="480"/>
      </w:pPr>
      <w:rPr>
        <w:rFonts w:hint="eastAsia"/>
      </w:rPr>
    </w:lvl>
    <w:lvl w:ilvl="1" w:tplc="04090019" w:tentative="1">
      <w:start w:val="1"/>
      <w:numFmt w:val="ideographTraditional"/>
      <w:lvlText w:val="%2、"/>
      <w:lvlJc w:val="left"/>
      <w:pPr>
        <w:ind w:left="1246" w:hanging="480"/>
      </w:pPr>
    </w:lvl>
    <w:lvl w:ilvl="2" w:tplc="0409001B" w:tentative="1">
      <w:start w:val="1"/>
      <w:numFmt w:val="lowerRoman"/>
      <w:lvlText w:val="%3."/>
      <w:lvlJc w:val="right"/>
      <w:pPr>
        <w:ind w:left="1726" w:hanging="480"/>
      </w:pPr>
    </w:lvl>
    <w:lvl w:ilvl="3" w:tplc="0409000F" w:tentative="1">
      <w:start w:val="1"/>
      <w:numFmt w:val="decimal"/>
      <w:lvlText w:val="%4."/>
      <w:lvlJc w:val="left"/>
      <w:pPr>
        <w:ind w:left="2206" w:hanging="480"/>
      </w:pPr>
    </w:lvl>
    <w:lvl w:ilvl="4" w:tplc="04090019" w:tentative="1">
      <w:start w:val="1"/>
      <w:numFmt w:val="ideographTraditional"/>
      <w:lvlText w:val="%5、"/>
      <w:lvlJc w:val="left"/>
      <w:pPr>
        <w:ind w:left="2686" w:hanging="480"/>
      </w:pPr>
    </w:lvl>
    <w:lvl w:ilvl="5" w:tplc="0409001B" w:tentative="1">
      <w:start w:val="1"/>
      <w:numFmt w:val="lowerRoman"/>
      <w:lvlText w:val="%6."/>
      <w:lvlJc w:val="right"/>
      <w:pPr>
        <w:ind w:left="3166" w:hanging="480"/>
      </w:pPr>
    </w:lvl>
    <w:lvl w:ilvl="6" w:tplc="0409000F" w:tentative="1">
      <w:start w:val="1"/>
      <w:numFmt w:val="decimal"/>
      <w:lvlText w:val="%7."/>
      <w:lvlJc w:val="left"/>
      <w:pPr>
        <w:ind w:left="3646" w:hanging="480"/>
      </w:pPr>
    </w:lvl>
    <w:lvl w:ilvl="7" w:tplc="04090019" w:tentative="1">
      <w:start w:val="1"/>
      <w:numFmt w:val="ideographTraditional"/>
      <w:lvlText w:val="%8、"/>
      <w:lvlJc w:val="left"/>
      <w:pPr>
        <w:ind w:left="4126" w:hanging="480"/>
      </w:pPr>
    </w:lvl>
    <w:lvl w:ilvl="8" w:tplc="0409001B" w:tentative="1">
      <w:start w:val="1"/>
      <w:numFmt w:val="lowerRoman"/>
      <w:lvlText w:val="%9."/>
      <w:lvlJc w:val="right"/>
      <w:pPr>
        <w:ind w:left="4606" w:hanging="480"/>
      </w:pPr>
    </w:lvl>
  </w:abstractNum>
  <w:abstractNum w:abstractNumId="6" w15:restartNumberingAfterBreak="0">
    <w:nsid w:val="21F27468"/>
    <w:multiLevelType w:val="hybridMultilevel"/>
    <w:tmpl w:val="C6D0AEB8"/>
    <w:lvl w:ilvl="0" w:tplc="AC70D960">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7" w15:restartNumberingAfterBreak="0">
    <w:nsid w:val="2604280B"/>
    <w:multiLevelType w:val="hybridMultilevel"/>
    <w:tmpl w:val="C37262B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27D377BE"/>
    <w:multiLevelType w:val="hybridMultilevel"/>
    <w:tmpl w:val="83D4DB4E"/>
    <w:lvl w:ilvl="0" w:tplc="70BC4F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A3F719F"/>
    <w:multiLevelType w:val="hybridMultilevel"/>
    <w:tmpl w:val="4B963B0A"/>
    <w:lvl w:ilvl="0" w:tplc="E286E7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3B031E5A"/>
    <w:multiLevelType w:val="hybridMultilevel"/>
    <w:tmpl w:val="58AC2C8C"/>
    <w:lvl w:ilvl="0" w:tplc="51D85D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C513BE9"/>
    <w:multiLevelType w:val="hybridMultilevel"/>
    <w:tmpl w:val="77E8604A"/>
    <w:lvl w:ilvl="0" w:tplc="0409000F">
      <w:start w:val="1"/>
      <w:numFmt w:val="decimal"/>
      <w:lvlText w:val="%1."/>
      <w:lvlJc w:val="left"/>
      <w:pPr>
        <w:ind w:left="1752" w:hanging="480"/>
      </w:pPr>
    </w:lvl>
    <w:lvl w:ilvl="1" w:tplc="04090019" w:tentative="1">
      <w:start w:val="1"/>
      <w:numFmt w:val="ideographTraditional"/>
      <w:lvlText w:val="%2、"/>
      <w:lvlJc w:val="left"/>
      <w:pPr>
        <w:ind w:left="2232" w:hanging="480"/>
      </w:pPr>
    </w:lvl>
    <w:lvl w:ilvl="2" w:tplc="0409001B" w:tentative="1">
      <w:start w:val="1"/>
      <w:numFmt w:val="lowerRoman"/>
      <w:lvlText w:val="%3."/>
      <w:lvlJc w:val="right"/>
      <w:pPr>
        <w:ind w:left="2712" w:hanging="480"/>
      </w:pPr>
    </w:lvl>
    <w:lvl w:ilvl="3" w:tplc="0409000F" w:tentative="1">
      <w:start w:val="1"/>
      <w:numFmt w:val="decimal"/>
      <w:lvlText w:val="%4."/>
      <w:lvlJc w:val="left"/>
      <w:pPr>
        <w:ind w:left="3192" w:hanging="480"/>
      </w:pPr>
    </w:lvl>
    <w:lvl w:ilvl="4" w:tplc="04090019" w:tentative="1">
      <w:start w:val="1"/>
      <w:numFmt w:val="ideographTraditional"/>
      <w:lvlText w:val="%5、"/>
      <w:lvlJc w:val="left"/>
      <w:pPr>
        <w:ind w:left="3672" w:hanging="480"/>
      </w:pPr>
    </w:lvl>
    <w:lvl w:ilvl="5" w:tplc="0409001B" w:tentative="1">
      <w:start w:val="1"/>
      <w:numFmt w:val="lowerRoman"/>
      <w:lvlText w:val="%6."/>
      <w:lvlJc w:val="right"/>
      <w:pPr>
        <w:ind w:left="4152" w:hanging="480"/>
      </w:pPr>
    </w:lvl>
    <w:lvl w:ilvl="6" w:tplc="0409000F" w:tentative="1">
      <w:start w:val="1"/>
      <w:numFmt w:val="decimal"/>
      <w:lvlText w:val="%7."/>
      <w:lvlJc w:val="left"/>
      <w:pPr>
        <w:ind w:left="4632" w:hanging="480"/>
      </w:pPr>
    </w:lvl>
    <w:lvl w:ilvl="7" w:tplc="04090019" w:tentative="1">
      <w:start w:val="1"/>
      <w:numFmt w:val="ideographTraditional"/>
      <w:lvlText w:val="%8、"/>
      <w:lvlJc w:val="left"/>
      <w:pPr>
        <w:ind w:left="5112" w:hanging="480"/>
      </w:pPr>
    </w:lvl>
    <w:lvl w:ilvl="8" w:tplc="0409001B" w:tentative="1">
      <w:start w:val="1"/>
      <w:numFmt w:val="lowerRoman"/>
      <w:lvlText w:val="%9."/>
      <w:lvlJc w:val="right"/>
      <w:pPr>
        <w:ind w:left="5592" w:hanging="480"/>
      </w:pPr>
    </w:lvl>
  </w:abstractNum>
  <w:abstractNum w:abstractNumId="12" w15:restartNumberingAfterBreak="0">
    <w:nsid w:val="3EAB69B8"/>
    <w:multiLevelType w:val="hybridMultilevel"/>
    <w:tmpl w:val="00EA88D0"/>
    <w:lvl w:ilvl="0" w:tplc="D68E8D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A450F4"/>
    <w:multiLevelType w:val="hybridMultilevel"/>
    <w:tmpl w:val="C34CB1C4"/>
    <w:lvl w:ilvl="0" w:tplc="8820C46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E4565D3"/>
    <w:multiLevelType w:val="hybridMultilevel"/>
    <w:tmpl w:val="6ABACCB8"/>
    <w:lvl w:ilvl="0" w:tplc="27E0274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5427249C"/>
    <w:multiLevelType w:val="hybridMultilevel"/>
    <w:tmpl w:val="3A44B27A"/>
    <w:lvl w:ilvl="0" w:tplc="703AFCD2">
      <w:start w:val="1"/>
      <w:numFmt w:val="taiwaneseCountingThousand"/>
      <w:lvlText w:val="(%1)"/>
      <w:lvlJc w:val="left"/>
      <w:pPr>
        <w:ind w:left="830" w:hanging="480"/>
      </w:pPr>
      <w:rPr>
        <w:rFonts w:hint="eastAsia"/>
        <w:b/>
        <w:i w:val="0"/>
        <w:color w:val="000000"/>
        <w:lang w:val="en-US"/>
      </w:rPr>
    </w:lvl>
    <w:lvl w:ilvl="1" w:tplc="04090019" w:tentative="1">
      <w:start w:val="1"/>
      <w:numFmt w:val="ideographTraditional"/>
      <w:lvlText w:val="%2、"/>
      <w:lvlJc w:val="left"/>
      <w:pPr>
        <w:ind w:left="1310" w:hanging="480"/>
      </w:pPr>
    </w:lvl>
    <w:lvl w:ilvl="2" w:tplc="0409001B" w:tentative="1">
      <w:start w:val="1"/>
      <w:numFmt w:val="lowerRoman"/>
      <w:lvlText w:val="%3."/>
      <w:lvlJc w:val="right"/>
      <w:pPr>
        <w:ind w:left="1790" w:hanging="480"/>
      </w:pPr>
    </w:lvl>
    <w:lvl w:ilvl="3" w:tplc="0409000F" w:tentative="1">
      <w:start w:val="1"/>
      <w:numFmt w:val="decimal"/>
      <w:lvlText w:val="%4."/>
      <w:lvlJc w:val="left"/>
      <w:pPr>
        <w:ind w:left="2270" w:hanging="480"/>
      </w:pPr>
    </w:lvl>
    <w:lvl w:ilvl="4" w:tplc="04090019" w:tentative="1">
      <w:start w:val="1"/>
      <w:numFmt w:val="ideographTraditional"/>
      <w:lvlText w:val="%5、"/>
      <w:lvlJc w:val="left"/>
      <w:pPr>
        <w:ind w:left="2750" w:hanging="480"/>
      </w:pPr>
    </w:lvl>
    <w:lvl w:ilvl="5" w:tplc="0409001B" w:tentative="1">
      <w:start w:val="1"/>
      <w:numFmt w:val="lowerRoman"/>
      <w:lvlText w:val="%6."/>
      <w:lvlJc w:val="right"/>
      <w:pPr>
        <w:ind w:left="3230" w:hanging="480"/>
      </w:pPr>
    </w:lvl>
    <w:lvl w:ilvl="6" w:tplc="0409000F" w:tentative="1">
      <w:start w:val="1"/>
      <w:numFmt w:val="decimal"/>
      <w:lvlText w:val="%7."/>
      <w:lvlJc w:val="left"/>
      <w:pPr>
        <w:ind w:left="3710" w:hanging="480"/>
      </w:pPr>
    </w:lvl>
    <w:lvl w:ilvl="7" w:tplc="04090019" w:tentative="1">
      <w:start w:val="1"/>
      <w:numFmt w:val="ideographTraditional"/>
      <w:lvlText w:val="%8、"/>
      <w:lvlJc w:val="left"/>
      <w:pPr>
        <w:ind w:left="4190" w:hanging="480"/>
      </w:pPr>
    </w:lvl>
    <w:lvl w:ilvl="8" w:tplc="0409001B" w:tentative="1">
      <w:start w:val="1"/>
      <w:numFmt w:val="lowerRoman"/>
      <w:lvlText w:val="%9."/>
      <w:lvlJc w:val="right"/>
      <w:pPr>
        <w:ind w:left="4670" w:hanging="480"/>
      </w:pPr>
    </w:lvl>
  </w:abstractNum>
  <w:abstractNum w:abstractNumId="16" w15:restartNumberingAfterBreak="0">
    <w:nsid w:val="591255AF"/>
    <w:multiLevelType w:val="hybridMultilevel"/>
    <w:tmpl w:val="C07265DA"/>
    <w:lvl w:ilvl="0" w:tplc="93A4A1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91428AE"/>
    <w:multiLevelType w:val="hybridMultilevel"/>
    <w:tmpl w:val="B1B87EE4"/>
    <w:lvl w:ilvl="0" w:tplc="6B82D862">
      <w:start w:val="2"/>
      <w:numFmt w:val="bullet"/>
      <w:lvlText w:val="※"/>
      <w:lvlJc w:val="left"/>
      <w:pPr>
        <w:tabs>
          <w:tab w:val="num" w:pos="479"/>
        </w:tabs>
        <w:ind w:left="479" w:hanging="360"/>
      </w:pPr>
      <w:rPr>
        <w:rFonts w:ascii="標楷體" w:eastAsia="標楷體" w:hAnsi="標楷體" w:cs="Times New Roman" w:hint="eastAsia"/>
      </w:rPr>
    </w:lvl>
    <w:lvl w:ilvl="1" w:tplc="04090003" w:tentative="1">
      <w:start w:val="1"/>
      <w:numFmt w:val="bullet"/>
      <w:lvlText w:val=""/>
      <w:lvlJc w:val="left"/>
      <w:pPr>
        <w:tabs>
          <w:tab w:val="num" w:pos="1079"/>
        </w:tabs>
        <w:ind w:left="1079" w:hanging="480"/>
      </w:pPr>
      <w:rPr>
        <w:rFonts w:ascii="Wingdings" w:hAnsi="Wingdings" w:hint="default"/>
      </w:rPr>
    </w:lvl>
    <w:lvl w:ilvl="2" w:tplc="04090005" w:tentative="1">
      <w:start w:val="1"/>
      <w:numFmt w:val="bullet"/>
      <w:lvlText w:val=""/>
      <w:lvlJc w:val="left"/>
      <w:pPr>
        <w:tabs>
          <w:tab w:val="num" w:pos="1559"/>
        </w:tabs>
        <w:ind w:left="1559" w:hanging="480"/>
      </w:pPr>
      <w:rPr>
        <w:rFonts w:ascii="Wingdings" w:hAnsi="Wingdings" w:hint="default"/>
      </w:rPr>
    </w:lvl>
    <w:lvl w:ilvl="3" w:tplc="04090001" w:tentative="1">
      <w:start w:val="1"/>
      <w:numFmt w:val="bullet"/>
      <w:lvlText w:val=""/>
      <w:lvlJc w:val="left"/>
      <w:pPr>
        <w:tabs>
          <w:tab w:val="num" w:pos="2039"/>
        </w:tabs>
        <w:ind w:left="2039" w:hanging="480"/>
      </w:pPr>
      <w:rPr>
        <w:rFonts w:ascii="Wingdings" w:hAnsi="Wingdings" w:hint="default"/>
      </w:rPr>
    </w:lvl>
    <w:lvl w:ilvl="4" w:tplc="04090003" w:tentative="1">
      <w:start w:val="1"/>
      <w:numFmt w:val="bullet"/>
      <w:lvlText w:val=""/>
      <w:lvlJc w:val="left"/>
      <w:pPr>
        <w:tabs>
          <w:tab w:val="num" w:pos="2519"/>
        </w:tabs>
        <w:ind w:left="2519" w:hanging="480"/>
      </w:pPr>
      <w:rPr>
        <w:rFonts w:ascii="Wingdings" w:hAnsi="Wingdings" w:hint="default"/>
      </w:rPr>
    </w:lvl>
    <w:lvl w:ilvl="5" w:tplc="04090005" w:tentative="1">
      <w:start w:val="1"/>
      <w:numFmt w:val="bullet"/>
      <w:lvlText w:val=""/>
      <w:lvlJc w:val="left"/>
      <w:pPr>
        <w:tabs>
          <w:tab w:val="num" w:pos="2999"/>
        </w:tabs>
        <w:ind w:left="2999" w:hanging="480"/>
      </w:pPr>
      <w:rPr>
        <w:rFonts w:ascii="Wingdings" w:hAnsi="Wingdings" w:hint="default"/>
      </w:rPr>
    </w:lvl>
    <w:lvl w:ilvl="6" w:tplc="04090001" w:tentative="1">
      <w:start w:val="1"/>
      <w:numFmt w:val="bullet"/>
      <w:lvlText w:val=""/>
      <w:lvlJc w:val="left"/>
      <w:pPr>
        <w:tabs>
          <w:tab w:val="num" w:pos="3479"/>
        </w:tabs>
        <w:ind w:left="3479" w:hanging="480"/>
      </w:pPr>
      <w:rPr>
        <w:rFonts w:ascii="Wingdings" w:hAnsi="Wingdings" w:hint="default"/>
      </w:rPr>
    </w:lvl>
    <w:lvl w:ilvl="7" w:tplc="04090003" w:tentative="1">
      <w:start w:val="1"/>
      <w:numFmt w:val="bullet"/>
      <w:lvlText w:val=""/>
      <w:lvlJc w:val="left"/>
      <w:pPr>
        <w:tabs>
          <w:tab w:val="num" w:pos="3959"/>
        </w:tabs>
        <w:ind w:left="3959" w:hanging="480"/>
      </w:pPr>
      <w:rPr>
        <w:rFonts w:ascii="Wingdings" w:hAnsi="Wingdings" w:hint="default"/>
      </w:rPr>
    </w:lvl>
    <w:lvl w:ilvl="8" w:tplc="04090005" w:tentative="1">
      <w:start w:val="1"/>
      <w:numFmt w:val="bullet"/>
      <w:lvlText w:val=""/>
      <w:lvlJc w:val="left"/>
      <w:pPr>
        <w:tabs>
          <w:tab w:val="num" w:pos="4439"/>
        </w:tabs>
        <w:ind w:left="4439" w:hanging="480"/>
      </w:pPr>
      <w:rPr>
        <w:rFonts w:ascii="Wingdings" w:hAnsi="Wingdings" w:hint="default"/>
      </w:rPr>
    </w:lvl>
  </w:abstractNum>
  <w:abstractNum w:abstractNumId="18" w15:restartNumberingAfterBreak="0">
    <w:nsid w:val="5B6876E4"/>
    <w:multiLevelType w:val="hybridMultilevel"/>
    <w:tmpl w:val="DB0A9C9E"/>
    <w:lvl w:ilvl="0" w:tplc="8EDAC9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D6008C2"/>
    <w:multiLevelType w:val="hybridMultilevel"/>
    <w:tmpl w:val="381E4562"/>
    <w:lvl w:ilvl="0" w:tplc="C2582EA2">
      <w:start w:val="1"/>
      <w:numFmt w:val="decimal"/>
      <w:lvlText w:val="(%1)"/>
      <w:lvlJc w:val="left"/>
      <w:pPr>
        <w:tabs>
          <w:tab w:val="num" w:pos="1440"/>
        </w:tabs>
        <w:ind w:left="1440" w:hanging="480"/>
      </w:pPr>
      <w:rPr>
        <w:rFonts w:ascii="Times New Roman" w:eastAsia="標楷體" w:hAnsi="Times New Roman" w:hint="default"/>
        <w:b w:val="0"/>
        <w:i w:val="0"/>
        <w:sz w:val="28"/>
      </w:rPr>
    </w:lvl>
    <w:lvl w:ilvl="1" w:tplc="3202CB2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3F33859"/>
    <w:multiLevelType w:val="hybridMultilevel"/>
    <w:tmpl w:val="33360578"/>
    <w:lvl w:ilvl="0" w:tplc="D49059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66327E9"/>
    <w:multiLevelType w:val="hybridMultilevel"/>
    <w:tmpl w:val="C37262B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677A01D0"/>
    <w:multiLevelType w:val="hybridMultilevel"/>
    <w:tmpl w:val="955A2F18"/>
    <w:lvl w:ilvl="0" w:tplc="D3A031AA">
      <w:start w:val="1"/>
      <w:numFmt w:val="decimal"/>
      <w:lvlText w:val="%1."/>
      <w:lvlJc w:val="left"/>
      <w:pPr>
        <w:ind w:left="758" w:hanging="360"/>
      </w:pPr>
      <w:rPr>
        <w:rFonts w:hint="default"/>
      </w:rPr>
    </w:lvl>
    <w:lvl w:ilvl="1" w:tplc="04090019" w:tentative="1">
      <w:start w:val="1"/>
      <w:numFmt w:val="ideographTraditional"/>
      <w:lvlText w:val="%2、"/>
      <w:lvlJc w:val="left"/>
      <w:pPr>
        <w:ind w:left="1358" w:hanging="480"/>
      </w:pPr>
    </w:lvl>
    <w:lvl w:ilvl="2" w:tplc="0409001B" w:tentative="1">
      <w:start w:val="1"/>
      <w:numFmt w:val="lowerRoman"/>
      <w:lvlText w:val="%3."/>
      <w:lvlJc w:val="right"/>
      <w:pPr>
        <w:ind w:left="1838" w:hanging="480"/>
      </w:pPr>
    </w:lvl>
    <w:lvl w:ilvl="3" w:tplc="0409000F" w:tentative="1">
      <w:start w:val="1"/>
      <w:numFmt w:val="decimal"/>
      <w:lvlText w:val="%4."/>
      <w:lvlJc w:val="left"/>
      <w:pPr>
        <w:ind w:left="2318" w:hanging="480"/>
      </w:pPr>
    </w:lvl>
    <w:lvl w:ilvl="4" w:tplc="04090019" w:tentative="1">
      <w:start w:val="1"/>
      <w:numFmt w:val="ideographTraditional"/>
      <w:lvlText w:val="%5、"/>
      <w:lvlJc w:val="left"/>
      <w:pPr>
        <w:ind w:left="2798" w:hanging="480"/>
      </w:pPr>
    </w:lvl>
    <w:lvl w:ilvl="5" w:tplc="0409001B" w:tentative="1">
      <w:start w:val="1"/>
      <w:numFmt w:val="lowerRoman"/>
      <w:lvlText w:val="%6."/>
      <w:lvlJc w:val="right"/>
      <w:pPr>
        <w:ind w:left="3278" w:hanging="480"/>
      </w:pPr>
    </w:lvl>
    <w:lvl w:ilvl="6" w:tplc="0409000F" w:tentative="1">
      <w:start w:val="1"/>
      <w:numFmt w:val="decimal"/>
      <w:lvlText w:val="%7."/>
      <w:lvlJc w:val="left"/>
      <w:pPr>
        <w:ind w:left="3758" w:hanging="480"/>
      </w:pPr>
    </w:lvl>
    <w:lvl w:ilvl="7" w:tplc="04090019" w:tentative="1">
      <w:start w:val="1"/>
      <w:numFmt w:val="ideographTraditional"/>
      <w:lvlText w:val="%8、"/>
      <w:lvlJc w:val="left"/>
      <w:pPr>
        <w:ind w:left="4238" w:hanging="480"/>
      </w:pPr>
    </w:lvl>
    <w:lvl w:ilvl="8" w:tplc="0409001B" w:tentative="1">
      <w:start w:val="1"/>
      <w:numFmt w:val="lowerRoman"/>
      <w:lvlText w:val="%9."/>
      <w:lvlJc w:val="right"/>
      <w:pPr>
        <w:ind w:left="4718" w:hanging="480"/>
      </w:pPr>
    </w:lvl>
  </w:abstractNum>
  <w:abstractNum w:abstractNumId="23" w15:restartNumberingAfterBreak="0">
    <w:nsid w:val="683741C2"/>
    <w:multiLevelType w:val="hybridMultilevel"/>
    <w:tmpl w:val="39166D7C"/>
    <w:lvl w:ilvl="0" w:tplc="4F10693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69C85E6C"/>
    <w:multiLevelType w:val="hybridMultilevel"/>
    <w:tmpl w:val="4A540878"/>
    <w:lvl w:ilvl="0" w:tplc="AE688058">
      <w:start w:val="3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25" w15:restartNumberingAfterBreak="0">
    <w:nsid w:val="6E50328C"/>
    <w:multiLevelType w:val="hybridMultilevel"/>
    <w:tmpl w:val="4B00CE78"/>
    <w:lvl w:ilvl="0" w:tplc="924CF04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7E3A3EBF"/>
    <w:multiLevelType w:val="hybridMultilevel"/>
    <w:tmpl w:val="3EE670D8"/>
    <w:lvl w:ilvl="0" w:tplc="84345D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7"/>
  </w:num>
  <w:num w:numId="2">
    <w:abstractNumId w:val="24"/>
  </w:num>
  <w:num w:numId="3">
    <w:abstractNumId w:val="9"/>
  </w:num>
  <w:num w:numId="4">
    <w:abstractNumId w:val="26"/>
  </w:num>
  <w:num w:numId="5">
    <w:abstractNumId w:val="19"/>
  </w:num>
  <w:num w:numId="6">
    <w:abstractNumId w:val="25"/>
  </w:num>
  <w:num w:numId="7">
    <w:abstractNumId w:val="5"/>
  </w:num>
  <w:num w:numId="8">
    <w:abstractNumId w:val="8"/>
  </w:num>
  <w:num w:numId="9">
    <w:abstractNumId w:val="10"/>
  </w:num>
  <w:num w:numId="10">
    <w:abstractNumId w:val="12"/>
  </w:num>
  <w:num w:numId="11">
    <w:abstractNumId w:val="16"/>
  </w:num>
  <w:num w:numId="12">
    <w:abstractNumId w:val="18"/>
  </w:num>
  <w:num w:numId="13">
    <w:abstractNumId w:val="2"/>
  </w:num>
  <w:num w:numId="14">
    <w:abstractNumId w:val="15"/>
  </w:num>
  <w:num w:numId="15">
    <w:abstractNumId w:val="20"/>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13"/>
  </w:num>
  <w:num w:numId="23">
    <w:abstractNumId w:val="4"/>
  </w:num>
  <w:num w:numId="24">
    <w:abstractNumId w:val="11"/>
  </w:num>
  <w:num w:numId="25">
    <w:abstractNumId w:val="14"/>
  </w:num>
  <w:num w:numId="26">
    <w:abstractNumId w:val="3"/>
  </w:num>
  <w:num w:numId="27">
    <w:abstractNumId w:val="23"/>
  </w:num>
  <w:num w:numId="28">
    <w:abstractNumId w:val="1"/>
  </w:num>
  <w:num w:numId="29">
    <w:abstractNumId w:val="22"/>
  </w:num>
  <w:num w:numId="30">
    <w:abstractNumId w:val="0"/>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E49"/>
    <w:rsid w:val="00003E3F"/>
    <w:rsid w:val="00004813"/>
    <w:rsid w:val="000059D1"/>
    <w:rsid w:val="00006164"/>
    <w:rsid w:val="000076C0"/>
    <w:rsid w:val="00012E0C"/>
    <w:rsid w:val="00016F45"/>
    <w:rsid w:val="00022E0C"/>
    <w:rsid w:val="00022E85"/>
    <w:rsid w:val="00024914"/>
    <w:rsid w:val="000266CD"/>
    <w:rsid w:val="00026F1D"/>
    <w:rsid w:val="0003082B"/>
    <w:rsid w:val="00036667"/>
    <w:rsid w:val="000377BA"/>
    <w:rsid w:val="000427A0"/>
    <w:rsid w:val="0004375B"/>
    <w:rsid w:val="00051D45"/>
    <w:rsid w:val="00060216"/>
    <w:rsid w:val="00062C87"/>
    <w:rsid w:val="000634A3"/>
    <w:rsid w:val="00065E05"/>
    <w:rsid w:val="00075F77"/>
    <w:rsid w:val="0007640A"/>
    <w:rsid w:val="000808DB"/>
    <w:rsid w:val="0008447C"/>
    <w:rsid w:val="000859E5"/>
    <w:rsid w:val="00086313"/>
    <w:rsid w:val="00087139"/>
    <w:rsid w:val="000915DA"/>
    <w:rsid w:val="000A1A01"/>
    <w:rsid w:val="000A6344"/>
    <w:rsid w:val="000A7205"/>
    <w:rsid w:val="000B048D"/>
    <w:rsid w:val="000B1407"/>
    <w:rsid w:val="000B4AD1"/>
    <w:rsid w:val="000B4B14"/>
    <w:rsid w:val="000B56FF"/>
    <w:rsid w:val="000B6435"/>
    <w:rsid w:val="000B6596"/>
    <w:rsid w:val="000C1FE4"/>
    <w:rsid w:val="000C4970"/>
    <w:rsid w:val="000C74D4"/>
    <w:rsid w:val="000C7715"/>
    <w:rsid w:val="000D3AAB"/>
    <w:rsid w:val="000D4B51"/>
    <w:rsid w:val="000D4D1A"/>
    <w:rsid w:val="000D4E73"/>
    <w:rsid w:val="000E01C3"/>
    <w:rsid w:val="000E1B78"/>
    <w:rsid w:val="000F0FA8"/>
    <w:rsid w:val="000F112E"/>
    <w:rsid w:val="000F16BD"/>
    <w:rsid w:val="000F1E97"/>
    <w:rsid w:val="000F387E"/>
    <w:rsid w:val="000F45C6"/>
    <w:rsid w:val="000F5C08"/>
    <w:rsid w:val="000F5C80"/>
    <w:rsid w:val="00103677"/>
    <w:rsid w:val="00105721"/>
    <w:rsid w:val="00105B0A"/>
    <w:rsid w:val="0011124E"/>
    <w:rsid w:val="00111B22"/>
    <w:rsid w:val="00113129"/>
    <w:rsid w:val="00116ECA"/>
    <w:rsid w:val="001176CF"/>
    <w:rsid w:val="0011789F"/>
    <w:rsid w:val="0012227E"/>
    <w:rsid w:val="00131276"/>
    <w:rsid w:val="00131620"/>
    <w:rsid w:val="0013294D"/>
    <w:rsid w:val="00133514"/>
    <w:rsid w:val="00140709"/>
    <w:rsid w:val="00142501"/>
    <w:rsid w:val="00143CC6"/>
    <w:rsid w:val="00147EE9"/>
    <w:rsid w:val="00152EC0"/>
    <w:rsid w:val="001550DE"/>
    <w:rsid w:val="001708DF"/>
    <w:rsid w:val="0017271B"/>
    <w:rsid w:val="0017412B"/>
    <w:rsid w:val="0017698D"/>
    <w:rsid w:val="00177D71"/>
    <w:rsid w:val="00181E32"/>
    <w:rsid w:val="00183773"/>
    <w:rsid w:val="00183A2E"/>
    <w:rsid w:val="00183A7A"/>
    <w:rsid w:val="00183BBD"/>
    <w:rsid w:val="001856A1"/>
    <w:rsid w:val="00186582"/>
    <w:rsid w:val="00186E38"/>
    <w:rsid w:val="001901C4"/>
    <w:rsid w:val="0019260E"/>
    <w:rsid w:val="001931F5"/>
    <w:rsid w:val="001952F4"/>
    <w:rsid w:val="001973EC"/>
    <w:rsid w:val="001A2344"/>
    <w:rsid w:val="001A3D02"/>
    <w:rsid w:val="001A3ECF"/>
    <w:rsid w:val="001A435F"/>
    <w:rsid w:val="001A4BB4"/>
    <w:rsid w:val="001B0073"/>
    <w:rsid w:val="001B05EB"/>
    <w:rsid w:val="001B4E61"/>
    <w:rsid w:val="001B6C08"/>
    <w:rsid w:val="001C5038"/>
    <w:rsid w:val="001D4636"/>
    <w:rsid w:val="001D6CC5"/>
    <w:rsid w:val="001F0DA2"/>
    <w:rsid w:val="001F219B"/>
    <w:rsid w:val="001F220A"/>
    <w:rsid w:val="001F267C"/>
    <w:rsid w:val="001F27FD"/>
    <w:rsid w:val="001F365F"/>
    <w:rsid w:val="00210BA6"/>
    <w:rsid w:val="002136FB"/>
    <w:rsid w:val="00213A69"/>
    <w:rsid w:val="0021569F"/>
    <w:rsid w:val="00220A0D"/>
    <w:rsid w:val="002244B8"/>
    <w:rsid w:val="002272B3"/>
    <w:rsid w:val="00230325"/>
    <w:rsid w:val="0023372C"/>
    <w:rsid w:val="00234A34"/>
    <w:rsid w:val="00241033"/>
    <w:rsid w:val="0024123A"/>
    <w:rsid w:val="002427EA"/>
    <w:rsid w:val="00242AC9"/>
    <w:rsid w:val="00242C97"/>
    <w:rsid w:val="00244202"/>
    <w:rsid w:val="00251018"/>
    <w:rsid w:val="00262705"/>
    <w:rsid w:val="00263013"/>
    <w:rsid w:val="00264EAF"/>
    <w:rsid w:val="00265379"/>
    <w:rsid w:val="00265C5D"/>
    <w:rsid w:val="002700BD"/>
    <w:rsid w:val="00270BB5"/>
    <w:rsid w:val="00280E91"/>
    <w:rsid w:val="00283323"/>
    <w:rsid w:val="00284AE9"/>
    <w:rsid w:val="0029384E"/>
    <w:rsid w:val="002A0632"/>
    <w:rsid w:val="002A5BB9"/>
    <w:rsid w:val="002A6F72"/>
    <w:rsid w:val="002A78E6"/>
    <w:rsid w:val="002B3043"/>
    <w:rsid w:val="002B3A67"/>
    <w:rsid w:val="002B4BA0"/>
    <w:rsid w:val="002B69CC"/>
    <w:rsid w:val="002B6DC0"/>
    <w:rsid w:val="002C533A"/>
    <w:rsid w:val="002D426B"/>
    <w:rsid w:val="002E2AE5"/>
    <w:rsid w:val="002E69BE"/>
    <w:rsid w:val="002E6B38"/>
    <w:rsid w:val="002E70CF"/>
    <w:rsid w:val="002E7964"/>
    <w:rsid w:val="002F4289"/>
    <w:rsid w:val="002F5926"/>
    <w:rsid w:val="002F5BBA"/>
    <w:rsid w:val="002F6F29"/>
    <w:rsid w:val="002F7726"/>
    <w:rsid w:val="002F7D8C"/>
    <w:rsid w:val="003010F5"/>
    <w:rsid w:val="003021A9"/>
    <w:rsid w:val="003027E1"/>
    <w:rsid w:val="003052C3"/>
    <w:rsid w:val="00306A6B"/>
    <w:rsid w:val="003077CD"/>
    <w:rsid w:val="00314715"/>
    <w:rsid w:val="00314EED"/>
    <w:rsid w:val="003152E0"/>
    <w:rsid w:val="003209A0"/>
    <w:rsid w:val="0032244D"/>
    <w:rsid w:val="00330713"/>
    <w:rsid w:val="003307DC"/>
    <w:rsid w:val="003314AA"/>
    <w:rsid w:val="00332887"/>
    <w:rsid w:val="00333BDF"/>
    <w:rsid w:val="00335716"/>
    <w:rsid w:val="003362BC"/>
    <w:rsid w:val="003372CD"/>
    <w:rsid w:val="003413AA"/>
    <w:rsid w:val="00341D9A"/>
    <w:rsid w:val="00341F9C"/>
    <w:rsid w:val="00343BDD"/>
    <w:rsid w:val="00344E85"/>
    <w:rsid w:val="0034679F"/>
    <w:rsid w:val="00346CE6"/>
    <w:rsid w:val="003511F5"/>
    <w:rsid w:val="003536B3"/>
    <w:rsid w:val="00354DE2"/>
    <w:rsid w:val="00361A79"/>
    <w:rsid w:val="00366A96"/>
    <w:rsid w:val="00366D7F"/>
    <w:rsid w:val="0037217A"/>
    <w:rsid w:val="00380445"/>
    <w:rsid w:val="0038138A"/>
    <w:rsid w:val="003834E7"/>
    <w:rsid w:val="0039176E"/>
    <w:rsid w:val="0039191E"/>
    <w:rsid w:val="003A098D"/>
    <w:rsid w:val="003A1E11"/>
    <w:rsid w:val="003A4924"/>
    <w:rsid w:val="003A5178"/>
    <w:rsid w:val="003A6386"/>
    <w:rsid w:val="003B0813"/>
    <w:rsid w:val="003C0CD1"/>
    <w:rsid w:val="003D1D6F"/>
    <w:rsid w:val="003D50F1"/>
    <w:rsid w:val="003D7750"/>
    <w:rsid w:val="003E3EB0"/>
    <w:rsid w:val="003F436E"/>
    <w:rsid w:val="0040207C"/>
    <w:rsid w:val="004029E3"/>
    <w:rsid w:val="00404C1A"/>
    <w:rsid w:val="00406B69"/>
    <w:rsid w:val="00413BA3"/>
    <w:rsid w:val="0041484F"/>
    <w:rsid w:val="00416DC9"/>
    <w:rsid w:val="00417663"/>
    <w:rsid w:val="004305AB"/>
    <w:rsid w:val="00430F79"/>
    <w:rsid w:val="00435174"/>
    <w:rsid w:val="00437427"/>
    <w:rsid w:val="00440DE9"/>
    <w:rsid w:val="00443F3A"/>
    <w:rsid w:val="004451F7"/>
    <w:rsid w:val="00453300"/>
    <w:rsid w:val="00453921"/>
    <w:rsid w:val="0046168C"/>
    <w:rsid w:val="0046459B"/>
    <w:rsid w:val="00466BF3"/>
    <w:rsid w:val="004673CE"/>
    <w:rsid w:val="00472E58"/>
    <w:rsid w:val="004740F4"/>
    <w:rsid w:val="004751BF"/>
    <w:rsid w:val="0048008B"/>
    <w:rsid w:val="00482572"/>
    <w:rsid w:val="00485112"/>
    <w:rsid w:val="0049094F"/>
    <w:rsid w:val="00492805"/>
    <w:rsid w:val="0049288D"/>
    <w:rsid w:val="00492894"/>
    <w:rsid w:val="00493E57"/>
    <w:rsid w:val="004A0F77"/>
    <w:rsid w:val="004A1D33"/>
    <w:rsid w:val="004A2B22"/>
    <w:rsid w:val="004A3609"/>
    <w:rsid w:val="004A3793"/>
    <w:rsid w:val="004B2275"/>
    <w:rsid w:val="004B53E9"/>
    <w:rsid w:val="004C1E30"/>
    <w:rsid w:val="004C2F3A"/>
    <w:rsid w:val="004C32A5"/>
    <w:rsid w:val="004C7E5A"/>
    <w:rsid w:val="004D015E"/>
    <w:rsid w:val="004D0437"/>
    <w:rsid w:val="004D182B"/>
    <w:rsid w:val="004D28CC"/>
    <w:rsid w:val="004D3133"/>
    <w:rsid w:val="004D31A0"/>
    <w:rsid w:val="004D3C81"/>
    <w:rsid w:val="004E2250"/>
    <w:rsid w:val="004E57C8"/>
    <w:rsid w:val="004E64BD"/>
    <w:rsid w:val="004F0585"/>
    <w:rsid w:val="004F0709"/>
    <w:rsid w:val="004F2961"/>
    <w:rsid w:val="004F3729"/>
    <w:rsid w:val="004F5CE3"/>
    <w:rsid w:val="004F7EE5"/>
    <w:rsid w:val="005001CC"/>
    <w:rsid w:val="00500E29"/>
    <w:rsid w:val="00504567"/>
    <w:rsid w:val="00504E67"/>
    <w:rsid w:val="00506392"/>
    <w:rsid w:val="00511D08"/>
    <w:rsid w:val="00512FF7"/>
    <w:rsid w:val="00517383"/>
    <w:rsid w:val="005213D3"/>
    <w:rsid w:val="00522ED4"/>
    <w:rsid w:val="00524BC5"/>
    <w:rsid w:val="00532918"/>
    <w:rsid w:val="005360C9"/>
    <w:rsid w:val="0054329A"/>
    <w:rsid w:val="00550EFD"/>
    <w:rsid w:val="00553512"/>
    <w:rsid w:val="0055720D"/>
    <w:rsid w:val="005607A8"/>
    <w:rsid w:val="00560D40"/>
    <w:rsid w:val="005618A3"/>
    <w:rsid w:val="005643C6"/>
    <w:rsid w:val="00565171"/>
    <w:rsid w:val="005661F9"/>
    <w:rsid w:val="00567CC0"/>
    <w:rsid w:val="00571660"/>
    <w:rsid w:val="00572A58"/>
    <w:rsid w:val="00572CA0"/>
    <w:rsid w:val="00574627"/>
    <w:rsid w:val="0057545B"/>
    <w:rsid w:val="005775E8"/>
    <w:rsid w:val="0058427E"/>
    <w:rsid w:val="005871C7"/>
    <w:rsid w:val="00587531"/>
    <w:rsid w:val="00592742"/>
    <w:rsid w:val="005A0EFC"/>
    <w:rsid w:val="005A55F9"/>
    <w:rsid w:val="005B2B1D"/>
    <w:rsid w:val="005B4E04"/>
    <w:rsid w:val="005B5534"/>
    <w:rsid w:val="005C047B"/>
    <w:rsid w:val="005C33E5"/>
    <w:rsid w:val="005C3637"/>
    <w:rsid w:val="005C5E75"/>
    <w:rsid w:val="005C749B"/>
    <w:rsid w:val="005D137A"/>
    <w:rsid w:val="005D1F5D"/>
    <w:rsid w:val="005D5A91"/>
    <w:rsid w:val="005D5E38"/>
    <w:rsid w:val="005E039E"/>
    <w:rsid w:val="005E2FD6"/>
    <w:rsid w:val="005E40F5"/>
    <w:rsid w:val="005F5FAF"/>
    <w:rsid w:val="00600F14"/>
    <w:rsid w:val="00601F16"/>
    <w:rsid w:val="00603DCF"/>
    <w:rsid w:val="006040F6"/>
    <w:rsid w:val="006061EC"/>
    <w:rsid w:val="00613581"/>
    <w:rsid w:val="006135A1"/>
    <w:rsid w:val="00613CCC"/>
    <w:rsid w:val="0061490D"/>
    <w:rsid w:val="0061747B"/>
    <w:rsid w:val="00617D9B"/>
    <w:rsid w:val="00617E84"/>
    <w:rsid w:val="006223DA"/>
    <w:rsid w:val="00624AEE"/>
    <w:rsid w:val="00627927"/>
    <w:rsid w:val="00630D65"/>
    <w:rsid w:val="00635442"/>
    <w:rsid w:val="006365EF"/>
    <w:rsid w:val="00644A7E"/>
    <w:rsid w:val="00647E69"/>
    <w:rsid w:val="00651784"/>
    <w:rsid w:val="00652455"/>
    <w:rsid w:val="00652B30"/>
    <w:rsid w:val="00653024"/>
    <w:rsid w:val="00655476"/>
    <w:rsid w:val="006557FE"/>
    <w:rsid w:val="00657A26"/>
    <w:rsid w:val="006679DA"/>
    <w:rsid w:val="00670179"/>
    <w:rsid w:val="00670A6E"/>
    <w:rsid w:val="006747C2"/>
    <w:rsid w:val="00674E2A"/>
    <w:rsid w:val="00676114"/>
    <w:rsid w:val="00680072"/>
    <w:rsid w:val="00680821"/>
    <w:rsid w:val="0068135C"/>
    <w:rsid w:val="006853B6"/>
    <w:rsid w:val="00687D86"/>
    <w:rsid w:val="00692C4B"/>
    <w:rsid w:val="00697F46"/>
    <w:rsid w:val="00697FED"/>
    <w:rsid w:val="006A4752"/>
    <w:rsid w:val="006A4BAB"/>
    <w:rsid w:val="006A5420"/>
    <w:rsid w:val="006A546B"/>
    <w:rsid w:val="006B6F06"/>
    <w:rsid w:val="006C2DBA"/>
    <w:rsid w:val="006C33D4"/>
    <w:rsid w:val="006C4AE5"/>
    <w:rsid w:val="006C523E"/>
    <w:rsid w:val="006D4873"/>
    <w:rsid w:val="006E50F3"/>
    <w:rsid w:val="006F00F3"/>
    <w:rsid w:val="006F0622"/>
    <w:rsid w:val="006F1456"/>
    <w:rsid w:val="006F59C4"/>
    <w:rsid w:val="006F6C22"/>
    <w:rsid w:val="007015A1"/>
    <w:rsid w:val="00703623"/>
    <w:rsid w:val="00703C43"/>
    <w:rsid w:val="00705B12"/>
    <w:rsid w:val="00712B5A"/>
    <w:rsid w:val="00716411"/>
    <w:rsid w:val="00716AC5"/>
    <w:rsid w:val="00731B61"/>
    <w:rsid w:val="007321D6"/>
    <w:rsid w:val="0073363F"/>
    <w:rsid w:val="00736E44"/>
    <w:rsid w:val="007421AA"/>
    <w:rsid w:val="00744408"/>
    <w:rsid w:val="00755E85"/>
    <w:rsid w:val="007563C6"/>
    <w:rsid w:val="00766BDF"/>
    <w:rsid w:val="00770CA8"/>
    <w:rsid w:val="00771505"/>
    <w:rsid w:val="00776C37"/>
    <w:rsid w:val="007775F7"/>
    <w:rsid w:val="007809E5"/>
    <w:rsid w:val="00781A1B"/>
    <w:rsid w:val="00782827"/>
    <w:rsid w:val="0078627A"/>
    <w:rsid w:val="00787634"/>
    <w:rsid w:val="00791D76"/>
    <w:rsid w:val="007923F7"/>
    <w:rsid w:val="00793FEF"/>
    <w:rsid w:val="007A76D4"/>
    <w:rsid w:val="007B0F9D"/>
    <w:rsid w:val="007B3745"/>
    <w:rsid w:val="007B3B14"/>
    <w:rsid w:val="007C1713"/>
    <w:rsid w:val="007C7343"/>
    <w:rsid w:val="007D0508"/>
    <w:rsid w:val="007E1C01"/>
    <w:rsid w:val="007E2AF4"/>
    <w:rsid w:val="007F21C1"/>
    <w:rsid w:val="007F2238"/>
    <w:rsid w:val="00801B5C"/>
    <w:rsid w:val="00802BD0"/>
    <w:rsid w:val="00802CB3"/>
    <w:rsid w:val="008057E6"/>
    <w:rsid w:val="008104F2"/>
    <w:rsid w:val="00813594"/>
    <w:rsid w:val="008148FE"/>
    <w:rsid w:val="008316C2"/>
    <w:rsid w:val="00831E14"/>
    <w:rsid w:val="00833347"/>
    <w:rsid w:val="00834A25"/>
    <w:rsid w:val="00836733"/>
    <w:rsid w:val="008378BB"/>
    <w:rsid w:val="00841DD6"/>
    <w:rsid w:val="008426DC"/>
    <w:rsid w:val="0084673B"/>
    <w:rsid w:val="00851A20"/>
    <w:rsid w:val="00854A0F"/>
    <w:rsid w:val="00870BDF"/>
    <w:rsid w:val="008714DD"/>
    <w:rsid w:val="00871EB7"/>
    <w:rsid w:val="00872F46"/>
    <w:rsid w:val="008759F6"/>
    <w:rsid w:val="00880B16"/>
    <w:rsid w:val="0089380F"/>
    <w:rsid w:val="00893855"/>
    <w:rsid w:val="008A1DB7"/>
    <w:rsid w:val="008A28F1"/>
    <w:rsid w:val="008A295B"/>
    <w:rsid w:val="008A6B66"/>
    <w:rsid w:val="008B4C24"/>
    <w:rsid w:val="008B5B74"/>
    <w:rsid w:val="008C4F92"/>
    <w:rsid w:val="008D09D3"/>
    <w:rsid w:val="008D1991"/>
    <w:rsid w:val="008D2389"/>
    <w:rsid w:val="008D2A1B"/>
    <w:rsid w:val="008D5BD0"/>
    <w:rsid w:val="008E109E"/>
    <w:rsid w:val="008E142F"/>
    <w:rsid w:val="008E2456"/>
    <w:rsid w:val="008E6CF7"/>
    <w:rsid w:val="008E7B0B"/>
    <w:rsid w:val="008F4559"/>
    <w:rsid w:val="008F6525"/>
    <w:rsid w:val="008F674F"/>
    <w:rsid w:val="008F6869"/>
    <w:rsid w:val="00904899"/>
    <w:rsid w:val="00904DFB"/>
    <w:rsid w:val="009052AD"/>
    <w:rsid w:val="009070CD"/>
    <w:rsid w:val="00907793"/>
    <w:rsid w:val="009129F9"/>
    <w:rsid w:val="009158A8"/>
    <w:rsid w:val="00930FF8"/>
    <w:rsid w:val="009332D9"/>
    <w:rsid w:val="00934A09"/>
    <w:rsid w:val="009353B9"/>
    <w:rsid w:val="00936584"/>
    <w:rsid w:val="00941B3E"/>
    <w:rsid w:val="00944488"/>
    <w:rsid w:val="00947D44"/>
    <w:rsid w:val="00947FD5"/>
    <w:rsid w:val="00953259"/>
    <w:rsid w:val="00953F96"/>
    <w:rsid w:val="009541DF"/>
    <w:rsid w:val="0095536E"/>
    <w:rsid w:val="009568B1"/>
    <w:rsid w:val="00956C24"/>
    <w:rsid w:val="009578ED"/>
    <w:rsid w:val="009621A8"/>
    <w:rsid w:val="0096478A"/>
    <w:rsid w:val="00966517"/>
    <w:rsid w:val="00972A1D"/>
    <w:rsid w:val="00973A2F"/>
    <w:rsid w:val="00974862"/>
    <w:rsid w:val="009807FD"/>
    <w:rsid w:val="00983A77"/>
    <w:rsid w:val="00984F9D"/>
    <w:rsid w:val="009877A8"/>
    <w:rsid w:val="0099091C"/>
    <w:rsid w:val="00990BBC"/>
    <w:rsid w:val="009916AE"/>
    <w:rsid w:val="00994046"/>
    <w:rsid w:val="00997E29"/>
    <w:rsid w:val="009A1735"/>
    <w:rsid w:val="009A4908"/>
    <w:rsid w:val="009B34CF"/>
    <w:rsid w:val="009B732E"/>
    <w:rsid w:val="009B7C41"/>
    <w:rsid w:val="009C2757"/>
    <w:rsid w:val="009C3EE3"/>
    <w:rsid w:val="009C6434"/>
    <w:rsid w:val="009D4A15"/>
    <w:rsid w:val="009D4E64"/>
    <w:rsid w:val="009D6D3C"/>
    <w:rsid w:val="009D778A"/>
    <w:rsid w:val="009E0534"/>
    <w:rsid w:val="009E1BB1"/>
    <w:rsid w:val="009E315B"/>
    <w:rsid w:val="009E3832"/>
    <w:rsid w:val="009E41BF"/>
    <w:rsid w:val="009E7794"/>
    <w:rsid w:val="009F10D1"/>
    <w:rsid w:val="00A01091"/>
    <w:rsid w:val="00A038D4"/>
    <w:rsid w:val="00A04DBE"/>
    <w:rsid w:val="00A13007"/>
    <w:rsid w:val="00A13285"/>
    <w:rsid w:val="00A16A81"/>
    <w:rsid w:val="00A3062E"/>
    <w:rsid w:val="00A30FD6"/>
    <w:rsid w:val="00A32DF2"/>
    <w:rsid w:val="00A3667A"/>
    <w:rsid w:val="00A43D29"/>
    <w:rsid w:val="00A50D27"/>
    <w:rsid w:val="00A52583"/>
    <w:rsid w:val="00A52E77"/>
    <w:rsid w:val="00A5355A"/>
    <w:rsid w:val="00A53A10"/>
    <w:rsid w:val="00A6401F"/>
    <w:rsid w:val="00A6581E"/>
    <w:rsid w:val="00A675F9"/>
    <w:rsid w:val="00A716D5"/>
    <w:rsid w:val="00A766DE"/>
    <w:rsid w:val="00A76A3B"/>
    <w:rsid w:val="00A7736A"/>
    <w:rsid w:val="00A83587"/>
    <w:rsid w:val="00A83AAA"/>
    <w:rsid w:val="00A85580"/>
    <w:rsid w:val="00A86EF4"/>
    <w:rsid w:val="00A87C9E"/>
    <w:rsid w:val="00A90E87"/>
    <w:rsid w:val="00A918F0"/>
    <w:rsid w:val="00A92182"/>
    <w:rsid w:val="00A921CC"/>
    <w:rsid w:val="00A92A41"/>
    <w:rsid w:val="00A94770"/>
    <w:rsid w:val="00A9580E"/>
    <w:rsid w:val="00A9731F"/>
    <w:rsid w:val="00AA2D47"/>
    <w:rsid w:val="00AA517C"/>
    <w:rsid w:val="00AA738C"/>
    <w:rsid w:val="00AB0469"/>
    <w:rsid w:val="00AB64D6"/>
    <w:rsid w:val="00AC1166"/>
    <w:rsid w:val="00AC4F7E"/>
    <w:rsid w:val="00AC650A"/>
    <w:rsid w:val="00AC7E17"/>
    <w:rsid w:val="00AD1268"/>
    <w:rsid w:val="00AD25B7"/>
    <w:rsid w:val="00AD4EF5"/>
    <w:rsid w:val="00AD5CEC"/>
    <w:rsid w:val="00AF0ED3"/>
    <w:rsid w:val="00AF118E"/>
    <w:rsid w:val="00AF1D6D"/>
    <w:rsid w:val="00AF1F67"/>
    <w:rsid w:val="00AF2CA1"/>
    <w:rsid w:val="00B04C0D"/>
    <w:rsid w:val="00B057EE"/>
    <w:rsid w:val="00B12A4B"/>
    <w:rsid w:val="00B140B6"/>
    <w:rsid w:val="00B14A69"/>
    <w:rsid w:val="00B17193"/>
    <w:rsid w:val="00B17764"/>
    <w:rsid w:val="00B21C19"/>
    <w:rsid w:val="00B21F71"/>
    <w:rsid w:val="00B248FC"/>
    <w:rsid w:val="00B249DF"/>
    <w:rsid w:val="00B25FFD"/>
    <w:rsid w:val="00B27942"/>
    <w:rsid w:val="00B30FB2"/>
    <w:rsid w:val="00B3158E"/>
    <w:rsid w:val="00B32582"/>
    <w:rsid w:val="00B33791"/>
    <w:rsid w:val="00B3608F"/>
    <w:rsid w:val="00B43B6E"/>
    <w:rsid w:val="00B445F5"/>
    <w:rsid w:val="00B4504C"/>
    <w:rsid w:val="00B46B7D"/>
    <w:rsid w:val="00B46D64"/>
    <w:rsid w:val="00B505DF"/>
    <w:rsid w:val="00B511A3"/>
    <w:rsid w:val="00B51373"/>
    <w:rsid w:val="00B52319"/>
    <w:rsid w:val="00B529B4"/>
    <w:rsid w:val="00B56AA5"/>
    <w:rsid w:val="00B57A0B"/>
    <w:rsid w:val="00B62003"/>
    <w:rsid w:val="00B6303F"/>
    <w:rsid w:val="00B63AC4"/>
    <w:rsid w:val="00B70E35"/>
    <w:rsid w:val="00B7124D"/>
    <w:rsid w:val="00B73549"/>
    <w:rsid w:val="00B739DE"/>
    <w:rsid w:val="00B819F9"/>
    <w:rsid w:val="00B81C80"/>
    <w:rsid w:val="00B859B3"/>
    <w:rsid w:val="00B85BFF"/>
    <w:rsid w:val="00B8617E"/>
    <w:rsid w:val="00B87B85"/>
    <w:rsid w:val="00B90045"/>
    <w:rsid w:val="00B96FA9"/>
    <w:rsid w:val="00BA2B0E"/>
    <w:rsid w:val="00BA2F2C"/>
    <w:rsid w:val="00BA4297"/>
    <w:rsid w:val="00BB1F0C"/>
    <w:rsid w:val="00BB38E6"/>
    <w:rsid w:val="00BB3970"/>
    <w:rsid w:val="00BB5644"/>
    <w:rsid w:val="00BB60B5"/>
    <w:rsid w:val="00BB7E3B"/>
    <w:rsid w:val="00BC0F21"/>
    <w:rsid w:val="00BC41D2"/>
    <w:rsid w:val="00BC4F62"/>
    <w:rsid w:val="00BE023C"/>
    <w:rsid w:val="00BE0673"/>
    <w:rsid w:val="00BE06D4"/>
    <w:rsid w:val="00BE4738"/>
    <w:rsid w:val="00BF223B"/>
    <w:rsid w:val="00BF2D88"/>
    <w:rsid w:val="00BF2F11"/>
    <w:rsid w:val="00C04AB5"/>
    <w:rsid w:val="00C05531"/>
    <w:rsid w:val="00C13AFF"/>
    <w:rsid w:val="00C165C5"/>
    <w:rsid w:val="00C17ABC"/>
    <w:rsid w:val="00C21389"/>
    <w:rsid w:val="00C22D23"/>
    <w:rsid w:val="00C237D9"/>
    <w:rsid w:val="00C247EB"/>
    <w:rsid w:val="00C24AF6"/>
    <w:rsid w:val="00C25672"/>
    <w:rsid w:val="00C27F0C"/>
    <w:rsid w:val="00C3169D"/>
    <w:rsid w:val="00C34BF8"/>
    <w:rsid w:val="00C40C7A"/>
    <w:rsid w:val="00C43522"/>
    <w:rsid w:val="00C442AF"/>
    <w:rsid w:val="00C44C37"/>
    <w:rsid w:val="00C54E20"/>
    <w:rsid w:val="00C55B6D"/>
    <w:rsid w:val="00C57D33"/>
    <w:rsid w:val="00C60F4B"/>
    <w:rsid w:val="00C61464"/>
    <w:rsid w:val="00C62F4C"/>
    <w:rsid w:val="00C64406"/>
    <w:rsid w:val="00C648DD"/>
    <w:rsid w:val="00C65B32"/>
    <w:rsid w:val="00C727C8"/>
    <w:rsid w:val="00C7525B"/>
    <w:rsid w:val="00C75529"/>
    <w:rsid w:val="00C76C04"/>
    <w:rsid w:val="00C7726C"/>
    <w:rsid w:val="00C83C5C"/>
    <w:rsid w:val="00C84235"/>
    <w:rsid w:val="00C87A1D"/>
    <w:rsid w:val="00C9074E"/>
    <w:rsid w:val="00C94B13"/>
    <w:rsid w:val="00C959EE"/>
    <w:rsid w:val="00C96C9C"/>
    <w:rsid w:val="00CA0A9A"/>
    <w:rsid w:val="00CA3D40"/>
    <w:rsid w:val="00CA59AA"/>
    <w:rsid w:val="00CB195B"/>
    <w:rsid w:val="00CB3AC5"/>
    <w:rsid w:val="00CB3F63"/>
    <w:rsid w:val="00CB6BDD"/>
    <w:rsid w:val="00CC1DCB"/>
    <w:rsid w:val="00CC29AD"/>
    <w:rsid w:val="00CC30B1"/>
    <w:rsid w:val="00CD09C3"/>
    <w:rsid w:val="00CD0D26"/>
    <w:rsid w:val="00CD224A"/>
    <w:rsid w:val="00CD243E"/>
    <w:rsid w:val="00CD43BA"/>
    <w:rsid w:val="00CD4A28"/>
    <w:rsid w:val="00CD794F"/>
    <w:rsid w:val="00CD7A8A"/>
    <w:rsid w:val="00CE0B80"/>
    <w:rsid w:val="00CE0C86"/>
    <w:rsid w:val="00CE2F59"/>
    <w:rsid w:val="00CE752F"/>
    <w:rsid w:val="00CF130C"/>
    <w:rsid w:val="00CF2210"/>
    <w:rsid w:val="00CF3779"/>
    <w:rsid w:val="00CF50B7"/>
    <w:rsid w:val="00CF6ACF"/>
    <w:rsid w:val="00D00AB4"/>
    <w:rsid w:val="00D03D82"/>
    <w:rsid w:val="00D21A55"/>
    <w:rsid w:val="00D24689"/>
    <w:rsid w:val="00D24C39"/>
    <w:rsid w:val="00D262A7"/>
    <w:rsid w:val="00D450B4"/>
    <w:rsid w:val="00D45E71"/>
    <w:rsid w:val="00D47382"/>
    <w:rsid w:val="00D5395F"/>
    <w:rsid w:val="00D540CD"/>
    <w:rsid w:val="00D5507C"/>
    <w:rsid w:val="00D63074"/>
    <w:rsid w:val="00D631C8"/>
    <w:rsid w:val="00D636DD"/>
    <w:rsid w:val="00D66A67"/>
    <w:rsid w:val="00D71BF6"/>
    <w:rsid w:val="00D73F2E"/>
    <w:rsid w:val="00D7531E"/>
    <w:rsid w:val="00D755BB"/>
    <w:rsid w:val="00D841AA"/>
    <w:rsid w:val="00D871DC"/>
    <w:rsid w:val="00D91B6F"/>
    <w:rsid w:val="00D91C87"/>
    <w:rsid w:val="00D92480"/>
    <w:rsid w:val="00D932B0"/>
    <w:rsid w:val="00D97B11"/>
    <w:rsid w:val="00DA4976"/>
    <w:rsid w:val="00DA7F49"/>
    <w:rsid w:val="00DB42E8"/>
    <w:rsid w:val="00DB5AD8"/>
    <w:rsid w:val="00DB6A3B"/>
    <w:rsid w:val="00DC119C"/>
    <w:rsid w:val="00DC2A80"/>
    <w:rsid w:val="00DC7F08"/>
    <w:rsid w:val="00DD39D5"/>
    <w:rsid w:val="00DE6313"/>
    <w:rsid w:val="00DF0102"/>
    <w:rsid w:val="00DF40A5"/>
    <w:rsid w:val="00DF5C87"/>
    <w:rsid w:val="00E0174A"/>
    <w:rsid w:val="00E07765"/>
    <w:rsid w:val="00E12CB3"/>
    <w:rsid w:val="00E12F3D"/>
    <w:rsid w:val="00E14542"/>
    <w:rsid w:val="00E16947"/>
    <w:rsid w:val="00E16E90"/>
    <w:rsid w:val="00E21486"/>
    <w:rsid w:val="00E242B6"/>
    <w:rsid w:val="00E2580A"/>
    <w:rsid w:val="00E2767C"/>
    <w:rsid w:val="00E3113E"/>
    <w:rsid w:val="00E325C9"/>
    <w:rsid w:val="00E331DD"/>
    <w:rsid w:val="00E34EAD"/>
    <w:rsid w:val="00E41D96"/>
    <w:rsid w:val="00E42237"/>
    <w:rsid w:val="00E448EE"/>
    <w:rsid w:val="00E454EA"/>
    <w:rsid w:val="00E50083"/>
    <w:rsid w:val="00E50F9B"/>
    <w:rsid w:val="00E5369A"/>
    <w:rsid w:val="00E53DD1"/>
    <w:rsid w:val="00E54455"/>
    <w:rsid w:val="00E56B46"/>
    <w:rsid w:val="00E56CFC"/>
    <w:rsid w:val="00E60377"/>
    <w:rsid w:val="00E61562"/>
    <w:rsid w:val="00E61E71"/>
    <w:rsid w:val="00E6257F"/>
    <w:rsid w:val="00E812BC"/>
    <w:rsid w:val="00E85517"/>
    <w:rsid w:val="00E9020A"/>
    <w:rsid w:val="00E94E6F"/>
    <w:rsid w:val="00E97501"/>
    <w:rsid w:val="00EA0D1B"/>
    <w:rsid w:val="00EA11C4"/>
    <w:rsid w:val="00EA2435"/>
    <w:rsid w:val="00EA33D0"/>
    <w:rsid w:val="00EA63D4"/>
    <w:rsid w:val="00EA6E26"/>
    <w:rsid w:val="00EA7041"/>
    <w:rsid w:val="00EB5757"/>
    <w:rsid w:val="00EB59F9"/>
    <w:rsid w:val="00EC1CD3"/>
    <w:rsid w:val="00ED02B9"/>
    <w:rsid w:val="00ED3DA7"/>
    <w:rsid w:val="00ED6A23"/>
    <w:rsid w:val="00EE1A89"/>
    <w:rsid w:val="00EE4330"/>
    <w:rsid w:val="00EE48A8"/>
    <w:rsid w:val="00EF328E"/>
    <w:rsid w:val="00EF3DC2"/>
    <w:rsid w:val="00EF54BB"/>
    <w:rsid w:val="00EF76C3"/>
    <w:rsid w:val="00F01471"/>
    <w:rsid w:val="00F0175B"/>
    <w:rsid w:val="00F03B56"/>
    <w:rsid w:val="00F05D0D"/>
    <w:rsid w:val="00F13095"/>
    <w:rsid w:val="00F169E5"/>
    <w:rsid w:val="00F17D63"/>
    <w:rsid w:val="00F30C49"/>
    <w:rsid w:val="00F338E1"/>
    <w:rsid w:val="00F347F4"/>
    <w:rsid w:val="00F349D7"/>
    <w:rsid w:val="00F3568E"/>
    <w:rsid w:val="00F37BFD"/>
    <w:rsid w:val="00F402D3"/>
    <w:rsid w:val="00F420B5"/>
    <w:rsid w:val="00F5344B"/>
    <w:rsid w:val="00F54A07"/>
    <w:rsid w:val="00F5576C"/>
    <w:rsid w:val="00F569EE"/>
    <w:rsid w:val="00F56DA5"/>
    <w:rsid w:val="00F60CBF"/>
    <w:rsid w:val="00F62A95"/>
    <w:rsid w:val="00F66B38"/>
    <w:rsid w:val="00F66B9A"/>
    <w:rsid w:val="00F701B9"/>
    <w:rsid w:val="00F7483F"/>
    <w:rsid w:val="00F8488C"/>
    <w:rsid w:val="00F912CE"/>
    <w:rsid w:val="00F91AC7"/>
    <w:rsid w:val="00F92841"/>
    <w:rsid w:val="00F94ECD"/>
    <w:rsid w:val="00F97D64"/>
    <w:rsid w:val="00FA035F"/>
    <w:rsid w:val="00FA107B"/>
    <w:rsid w:val="00FA56E7"/>
    <w:rsid w:val="00FC1AF5"/>
    <w:rsid w:val="00FC3083"/>
    <w:rsid w:val="00FC350F"/>
    <w:rsid w:val="00FC4460"/>
    <w:rsid w:val="00FC6083"/>
    <w:rsid w:val="00FC7FA1"/>
    <w:rsid w:val="00FD20B0"/>
    <w:rsid w:val="00FD3F9C"/>
    <w:rsid w:val="00FD4D83"/>
    <w:rsid w:val="00FD5122"/>
    <w:rsid w:val="00FD5677"/>
    <w:rsid w:val="00FD57A0"/>
    <w:rsid w:val="00FE0261"/>
    <w:rsid w:val="00FE0A2B"/>
    <w:rsid w:val="00FE40ED"/>
    <w:rsid w:val="00FE498C"/>
    <w:rsid w:val="00FE5677"/>
    <w:rsid w:val="00FE5FB1"/>
    <w:rsid w:val="00FE6E4A"/>
    <w:rsid w:val="00FF0380"/>
    <w:rsid w:val="00FF0551"/>
    <w:rsid w:val="00FF330C"/>
    <w:rsid w:val="00FF3437"/>
    <w:rsid w:val="00FF3B13"/>
    <w:rsid w:val="00FF6D42"/>
    <w:rsid w:val="00FF7D8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773E4D9-D0C5-4F79-AED6-35681E4D2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8753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450B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unhideWhenUsed/>
    <w:qFormat/>
    <w:rsid w:val="00D450B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unhideWhenUsed/>
    <w:qFormat/>
    <w:rsid w:val="00D450B4"/>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2C533A"/>
    <w:pPr>
      <w:ind w:left="300" w:hangingChars="100" w:hanging="100"/>
    </w:pPr>
    <w:rPr>
      <w:b/>
    </w:rPr>
  </w:style>
  <w:style w:type="paragraph" w:customStyle="1" w:styleId="a5">
    <w:name w:val="(一)下內文"/>
    <w:basedOn w:val="a4"/>
    <w:link w:val="a6"/>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7">
    <w:name w:val="結論"/>
    <w:basedOn w:val="a5"/>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9">
    <w:name w:val="table of figures"/>
    <w:basedOn w:val="a"/>
    <w:next w:val="a"/>
    <w:link w:val="ad"/>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BA2F2C"/>
    <w:pPr>
      <w:tabs>
        <w:tab w:val="right" w:leader="hyphen" w:pos="8505"/>
      </w:tabs>
      <w:ind w:leftChars="0" w:left="486" w:rightChars="99" w:right="280" w:hangingChars="200" w:hanging="486"/>
    </w:pPr>
    <w:rPr>
      <w:sz w:val="24"/>
    </w:rPr>
  </w:style>
  <w:style w:type="paragraph" w:styleId="23">
    <w:name w:val="toc 2"/>
    <w:basedOn w:val="a"/>
    <w:next w:val="a"/>
    <w:autoRedefine/>
    <w:uiPriority w:val="39"/>
    <w:rsid w:val="00D450B4"/>
    <w:pPr>
      <w:tabs>
        <w:tab w:val="right" w:leader="hyphen" w:pos="8490"/>
      </w:tabs>
      <w:ind w:leftChars="0" w:left="566" w:hangingChars="200" w:hanging="566"/>
    </w:pPr>
    <w:rPr>
      <w:sz w:val="24"/>
    </w:rPr>
  </w:style>
  <w:style w:type="paragraph" w:styleId="ae">
    <w:name w:val="header"/>
    <w:basedOn w:val="a"/>
    <w:link w:val="af"/>
    <w:uiPriority w:val="99"/>
    <w:unhideWhenUsed/>
    <w:rsid w:val="004F2961"/>
    <w:pPr>
      <w:tabs>
        <w:tab w:val="center" w:pos="4153"/>
        <w:tab w:val="right" w:pos="8306"/>
      </w:tabs>
      <w:snapToGrid w:val="0"/>
    </w:pPr>
    <w:rPr>
      <w:sz w:val="20"/>
      <w:szCs w:val="20"/>
    </w:rPr>
  </w:style>
  <w:style w:type="character" w:customStyle="1" w:styleId="af">
    <w:name w:val="頁首 字元"/>
    <w:link w:val="ae"/>
    <w:uiPriority w:val="99"/>
    <w:rsid w:val="004F2961"/>
    <w:rPr>
      <w:rFonts w:ascii="標楷體" w:eastAsia="標楷體"/>
      <w:snapToGrid w:val="0"/>
      <w:kern w:val="2"/>
    </w:rPr>
  </w:style>
  <w:style w:type="paragraph" w:styleId="af0">
    <w:name w:val="footer"/>
    <w:basedOn w:val="a"/>
    <w:link w:val="af1"/>
    <w:uiPriority w:val="99"/>
    <w:unhideWhenUsed/>
    <w:rsid w:val="004F2961"/>
    <w:pPr>
      <w:tabs>
        <w:tab w:val="center" w:pos="4153"/>
        <w:tab w:val="right" w:pos="8306"/>
      </w:tabs>
      <w:snapToGrid w:val="0"/>
    </w:pPr>
    <w:rPr>
      <w:sz w:val="20"/>
      <w:szCs w:val="20"/>
    </w:rPr>
  </w:style>
  <w:style w:type="character" w:customStyle="1" w:styleId="af1">
    <w:name w:val="頁尾 字元"/>
    <w:link w:val="af0"/>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2">
    <w:name w:val="Balloon Text"/>
    <w:basedOn w:val="a"/>
    <w:link w:val="af3"/>
    <w:uiPriority w:val="99"/>
    <w:semiHidden/>
    <w:unhideWhenUsed/>
    <w:rsid w:val="00B859B3"/>
    <w:pPr>
      <w:spacing w:line="240" w:lineRule="auto"/>
    </w:pPr>
    <w:rPr>
      <w:rFonts w:ascii="Cambria" w:eastAsia="新細明體" w:hAnsi="Cambria"/>
      <w:sz w:val="18"/>
      <w:szCs w:val="18"/>
    </w:rPr>
  </w:style>
  <w:style w:type="character" w:customStyle="1" w:styleId="af3">
    <w:name w:val="註解方塊文字 字元"/>
    <w:link w:val="af2"/>
    <w:uiPriority w:val="99"/>
    <w:semiHidden/>
    <w:rsid w:val="00B859B3"/>
    <w:rPr>
      <w:rFonts w:ascii="Cambria" w:eastAsia="新細明體" w:hAnsi="Cambria" w:cs="Times New Roman"/>
      <w:snapToGrid w:val="0"/>
      <w:kern w:val="2"/>
      <w:sz w:val="18"/>
      <w:szCs w:val="18"/>
    </w:rPr>
  </w:style>
  <w:style w:type="character" w:customStyle="1" w:styleId="11">
    <w:name w:val="(一)(二)(三) 字元1"/>
    <w:link w:val="a4"/>
    <w:rsid w:val="002C533A"/>
    <w:rPr>
      <w:rFonts w:ascii="標楷體" w:eastAsia="標楷體"/>
      <w:b/>
      <w:snapToGrid w:val="0"/>
      <w:kern w:val="2"/>
      <w:sz w:val="28"/>
      <w:szCs w:val="28"/>
    </w:rPr>
  </w:style>
  <w:style w:type="character" w:customStyle="1" w:styleId="141">
    <w:name w:val="第二層(14號字) 字元1"/>
    <w:link w:val="14"/>
    <w:rsid w:val="00024914"/>
    <w:rPr>
      <w:rFonts w:ascii="標楷體" w:eastAsia="標楷體"/>
      <w:b/>
      <w:snapToGrid w:val="0"/>
      <w:kern w:val="2"/>
      <w:sz w:val="28"/>
    </w:rPr>
  </w:style>
  <w:style w:type="character" w:customStyle="1" w:styleId="143">
    <w:name w:val="表格內文(14行高) 字元"/>
    <w:link w:val="142"/>
    <w:qFormat/>
    <w:rsid w:val="00024914"/>
    <w:rPr>
      <w:rFonts w:ascii="標楷體" w:eastAsia="標楷體"/>
      <w:snapToGrid w:val="0"/>
      <w:kern w:val="2"/>
      <w:sz w:val="24"/>
      <w:szCs w:val="28"/>
    </w:rPr>
  </w:style>
  <w:style w:type="paragraph" w:styleId="af4">
    <w:name w:val="footnote text"/>
    <w:basedOn w:val="a"/>
    <w:link w:val="af5"/>
    <w:uiPriority w:val="99"/>
    <w:unhideWhenUsed/>
    <w:rsid w:val="00D450B4"/>
    <w:pPr>
      <w:snapToGrid w:val="0"/>
      <w:jc w:val="left"/>
    </w:pPr>
    <w:rPr>
      <w:sz w:val="20"/>
      <w:szCs w:val="20"/>
    </w:rPr>
  </w:style>
  <w:style w:type="character" w:customStyle="1" w:styleId="af5">
    <w:name w:val="註腳文字 字元"/>
    <w:link w:val="af4"/>
    <w:uiPriority w:val="99"/>
    <w:rsid w:val="00D450B4"/>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
    <w:uiPriority w:val="99"/>
    <w:qFormat/>
    <w:rsid w:val="00D450B4"/>
    <w:rPr>
      <w:vertAlign w:val="superscript"/>
    </w:rPr>
  </w:style>
  <w:style w:type="table" w:styleId="af7">
    <w:name w:val="Table Grid"/>
    <w:basedOn w:val="a1"/>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7"/>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D450B4"/>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D450B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D450B4"/>
    <w:rPr>
      <w:rFonts w:ascii="Cambria" w:eastAsia="新細明體" w:hAnsi="Cambria" w:cs="Times New Roman"/>
      <w:b/>
      <w:bCs/>
      <w:snapToGrid w:val="0"/>
      <w:kern w:val="2"/>
      <w:sz w:val="36"/>
      <w:szCs w:val="36"/>
    </w:rPr>
  </w:style>
  <w:style w:type="character" w:customStyle="1" w:styleId="160">
    <w:name w:val="第一層(16號字) 字元"/>
    <w:link w:val="16"/>
    <w:rsid w:val="002B69CC"/>
    <w:rPr>
      <w:rFonts w:ascii="標楷體" w:eastAsia="標楷體"/>
      <w:b/>
      <w:snapToGrid w:val="0"/>
      <w:kern w:val="2"/>
      <w:sz w:val="32"/>
    </w:rPr>
  </w:style>
  <w:style w:type="character" w:customStyle="1" w:styleId="af8">
    <w:name w:val="(一)(二)(三) 字元"/>
    <w:rsid w:val="002B69CC"/>
    <w:rPr>
      <w:rFonts w:ascii="華康楷書體W5外字集" w:eastAsia="標楷體"/>
      <w:b/>
      <w:snapToGrid w:val="0"/>
      <w:kern w:val="2"/>
      <w:sz w:val="28"/>
      <w:szCs w:val="28"/>
      <w:lang w:val="x-none" w:eastAsia="x-none"/>
    </w:rPr>
  </w:style>
  <w:style w:type="character" w:customStyle="1" w:styleId="145">
    <w:name w:val="第一層(14號字) 字元"/>
    <w:link w:val="144"/>
    <w:rsid w:val="002B69CC"/>
    <w:rPr>
      <w:rFonts w:ascii="標楷體" w:eastAsia="標楷體"/>
      <w:b/>
      <w:snapToGrid w:val="0"/>
      <w:kern w:val="2"/>
      <w:sz w:val="28"/>
    </w:rPr>
  </w:style>
  <w:style w:type="character" w:customStyle="1" w:styleId="201">
    <w:name w:val="表格內文(20行高) 字元"/>
    <w:link w:val="200"/>
    <w:rsid w:val="002B69CC"/>
    <w:rPr>
      <w:rFonts w:ascii="標楷體" w:eastAsia="標楷體"/>
      <w:snapToGrid w:val="0"/>
      <w:kern w:val="2"/>
      <w:sz w:val="24"/>
      <w:szCs w:val="28"/>
    </w:rPr>
  </w:style>
  <w:style w:type="paragraph" w:customStyle="1" w:styleId="15">
    <w:name w:val="字元 字元1 字元 字元 字元 字元 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4">
    <w:name w:val="表格格線2"/>
    <w:basedOn w:val="a1"/>
    <w:next w:val="af7"/>
    <w:uiPriority w:val="59"/>
    <w:rsid w:val="002B69C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page number"/>
    <w:rsid w:val="002B69CC"/>
  </w:style>
  <w:style w:type="paragraph" w:customStyle="1" w:styleId="afa">
    <w:name w:val="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TOC Heading"/>
    <w:basedOn w:val="1"/>
    <w:next w:val="a"/>
    <w:uiPriority w:val="39"/>
    <w:qFormat/>
    <w:rsid w:val="002B69CC"/>
    <w:pPr>
      <w:keepLines/>
      <w:widowControl/>
      <w:spacing w:before="480" w:after="0" w:line="276" w:lineRule="auto"/>
      <w:ind w:leftChars="0" w:left="0" w:firstLineChars="0" w:firstLine="0"/>
      <w:jc w:val="left"/>
      <w:outlineLvl w:val="9"/>
    </w:pPr>
    <w:rPr>
      <w:snapToGrid/>
      <w:color w:val="365F91"/>
      <w:kern w:val="0"/>
      <w:sz w:val="28"/>
      <w:szCs w:val="28"/>
      <w:lang w:val="x-none" w:eastAsia="x-none"/>
    </w:rPr>
  </w:style>
  <w:style w:type="character" w:styleId="afc">
    <w:name w:val="Hyperlink"/>
    <w:uiPriority w:val="99"/>
    <w:unhideWhenUsed/>
    <w:rsid w:val="002B69CC"/>
    <w:rPr>
      <w:color w:val="0000FF"/>
      <w:u w:val="single"/>
    </w:rPr>
  </w:style>
  <w:style w:type="paragraph" w:customStyle="1" w:styleId="25">
    <w:name w:val="字元 字元2 字元 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Bottom of Form"/>
    <w:basedOn w:val="a"/>
    <w:next w:val="a"/>
    <w:link w:val="z-0"/>
    <w:hidden/>
    <w:uiPriority w:val="99"/>
    <w:semiHidden/>
    <w:unhideWhenUsed/>
    <w:rsid w:val="002B69CC"/>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底部 字元"/>
    <w:link w:val="z-"/>
    <w:uiPriority w:val="99"/>
    <w:semiHidden/>
    <w:rsid w:val="002B69CC"/>
    <w:rPr>
      <w:rFonts w:ascii="Arial" w:hAnsi="Arial"/>
      <w:vanish/>
      <w:sz w:val="16"/>
      <w:szCs w:val="16"/>
      <w:lang w:val="x-none" w:eastAsia="x-none"/>
    </w:rPr>
  </w:style>
  <w:style w:type="character" w:customStyle="1" w:styleId="146">
    <w:name w:val="第二層(14號字) 字元"/>
    <w:rsid w:val="00006164"/>
    <w:rPr>
      <w:rFonts w:ascii="標楷體" w:eastAsia="標楷體"/>
      <w:b/>
      <w:snapToGrid w:val="0"/>
      <w:kern w:val="2"/>
      <w:sz w:val="28"/>
      <w:lang w:val="en-US" w:eastAsia="zh-TW" w:bidi="ar-SA"/>
    </w:rPr>
  </w:style>
  <w:style w:type="paragraph" w:styleId="afd">
    <w:name w:val="endnote text"/>
    <w:basedOn w:val="a"/>
    <w:link w:val="afe"/>
    <w:uiPriority w:val="99"/>
    <w:semiHidden/>
    <w:unhideWhenUsed/>
    <w:rsid w:val="002B69CC"/>
    <w:pPr>
      <w:snapToGrid w:val="0"/>
      <w:jc w:val="left"/>
    </w:pPr>
    <w:rPr>
      <w:lang w:val="x-none" w:eastAsia="x-none"/>
    </w:rPr>
  </w:style>
  <w:style w:type="character" w:customStyle="1" w:styleId="afe">
    <w:name w:val="章節附註文字 字元"/>
    <w:link w:val="afd"/>
    <w:uiPriority w:val="99"/>
    <w:semiHidden/>
    <w:rsid w:val="002B69CC"/>
    <w:rPr>
      <w:rFonts w:ascii="標楷體" w:eastAsia="標楷體"/>
      <w:snapToGrid w:val="0"/>
      <w:kern w:val="2"/>
      <w:sz w:val="28"/>
      <w:szCs w:val="28"/>
      <w:lang w:val="x-none" w:eastAsia="x-none"/>
    </w:rPr>
  </w:style>
  <w:style w:type="character" w:styleId="aff">
    <w:name w:val="endnote reference"/>
    <w:uiPriority w:val="99"/>
    <w:semiHidden/>
    <w:unhideWhenUsed/>
    <w:rsid w:val="002B69CC"/>
    <w:rPr>
      <w:vertAlign w:val="superscript"/>
    </w:rPr>
  </w:style>
  <w:style w:type="paragraph" w:styleId="aff0">
    <w:name w:val="Body Text"/>
    <w:basedOn w:val="a"/>
    <w:link w:val="aff1"/>
    <w:unhideWhenUsed/>
    <w:rsid w:val="002B69CC"/>
    <w:pPr>
      <w:spacing w:after="120"/>
    </w:pPr>
    <w:rPr>
      <w:lang w:val="x-none" w:eastAsia="x-none"/>
    </w:rPr>
  </w:style>
  <w:style w:type="character" w:customStyle="1" w:styleId="aff1">
    <w:name w:val="本文 字元"/>
    <w:link w:val="aff0"/>
    <w:rsid w:val="002B69CC"/>
    <w:rPr>
      <w:rFonts w:ascii="標楷體" w:eastAsia="標楷體"/>
      <w:snapToGrid w:val="0"/>
      <w:kern w:val="2"/>
      <w:sz w:val="28"/>
      <w:szCs w:val="28"/>
      <w:lang w:val="x-none" w:eastAsia="x-none"/>
    </w:rPr>
  </w:style>
  <w:style w:type="paragraph" w:styleId="aff2">
    <w:name w:val="Plain Text"/>
    <w:basedOn w:val="a"/>
    <w:link w:val="aff3"/>
    <w:uiPriority w:val="99"/>
    <w:rsid w:val="002B69CC"/>
    <w:pPr>
      <w:spacing w:line="240" w:lineRule="auto"/>
      <w:ind w:leftChars="0" w:left="0" w:firstLineChars="0" w:firstLine="0"/>
      <w:jc w:val="left"/>
    </w:pPr>
    <w:rPr>
      <w:rFonts w:ascii="細明體" w:eastAsia="細明體" w:hAnsi="Courier New"/>
      <w:snapToGrid/>
      <w:sz w:val="24"/>
      <w:szCs w:val="24"/>
      <w:lang w:val="x-none" w:eastAsia="x-none"/>
    </w:rPr>
  </w:style>
  <w:style w:type="character" w:customStyle="1" w:styleId="aff3">
    <w:name w:val="純文字 字元"/>
    <w:link w:val="aff2"/>
    <w:uiPriority w:val="99"/>
    <w:rsid w:val="002B69CC"/>
    <w:rPr>
      <w:rFonts w:ascii="細明體" w:eastAsia="細明體" w:hAnsi="Courier New"/>
      <w:kern w:val="2"/>
      <w:sz w:val="24"/>
      <w:szCs w:val="24"/>
      <w:lang w:val="x-none" w:eastAsia="x-none"/>
    </w:rPr>
  </w:style>
  <w:style w:type="paragraph" w:customStyle="1" w:styleId="26">
    <w:name w:val="字元2 字元 字元 字元 字元 字元 字元 字元 字元 字元 字元 字元 字元 字元 字元 字元 字元 字元 字元 字元 字元 字元 字元 字元 字元 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HTML">
    <w:name w:val="HTML Preformatted"/>
    <w:basedOn w:val="a"/>
    <w:link w:val="HTML0"/>
    <w:uiPriority w:val="99"/>
    <w:unhideWhenUsed/>
    <w:rsid w:val="002B69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2B69CC"/>
    <w:rPr>
      <w:rFonts w:ascii="細明體" w:eastAsia="細明體" w:hAnsi="細明體" w:cs="細明體"/>
      <w:sz w:val="24"/>
      <w:szCs w:val="24"/>
    </w:rPr>
  </w:style>
  <w:style w:type="character" w:customStyle="1" w:styleId="22">
    <w:name w:val="(一)下內文縮2 字元"/>
    <w:link w:val="21"/>
    <w:qFormat/>
    <w:rsid w:val="002B69CC"/>
    <w:rPr>
      <w:rFonts w:ascii="標楷體" w:eastAsia="標楷體"/>
      <w:snapToGrid w:val="0"/>
      <w:kern w:val="2"/>
      <w:sz w:val="28"/>
      <w:szCs w:val="28"/>
    </w:rPr>
  </w:style>
  <w:style w:type="paragraph" w:styleId="aff4">
    <w:name w:val="List Paragraph"/>
    <w:basedOn w:val="a"/>
    <w:uiPriority w:val="34"/>
    <w:qFormat/>
    <w:rsid w:val="002B69CC"/>
    <w:pPr>
      <w:widowControl/>
      <w:spacing w:line="240" w:lineRule="auto"/>
      <w:ind w:left="480" w:firstLineChars="0" w:firstLine="0"/>
      <w:jc w:val="left"/>
    </w:pPr>
    <w:rPr>
      <w:rFonts w:ascii="Times New Roman" w:eastAsia="新細明體"/>
      <w:snapToGrid/>
      <w:spacing w:val="-5"/>
      <w:kern w:val="0"/>
      <w:sz w:val="18"/>
      <w:szCs w:val="20"/>
    </w:rPr>
  </w:style>
  <w:style w:type="paragraph" w:customStyle="1" w:styleId="17">
    <w:name w:val="字元 字元1 字元 字元 字元"/>
    <w:basedOn w:val="a"/>
    <w:rsid w:val="002B69CC"/>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5">
    <w:name w:val="(一 )"/>
    <w:basedOn w:val="a"/>
    <w:rsid w:val="002B69CC"/>
    <w:pPr>
      <w:kinsoku w:val="0"/>
      <w:adjustRightInd w:val="0"/>
      <w:spacing w:line="360" w:lineRule="auto"/>
      <w:ind w:leftChars="0" w:left="544" w:firstLineChars="0" w:firstLine="0"/>
      <w:textAlignment w:val="baseline"/>
    </w:pPr>
    <w:rPr>
      <w:snapToGrid/>
      <w:spacing w:val="20"/>
      <w:kern w:val="0"/>
      <w:sz w:val="24"/>
      <w:szCs w:val="20"/>
    </w:rPr>
  </w:style>
  <w:style w:type="character" w:customStyle="1" w:styleId="a6">
    <w:name w:val="(一)下內文 字元"/>
    <w:link w:val="a5"/>
    <w:rsid w:val="002B69CC"/>
    <w:rPr>
      <w:rFonts w:ascii="標楷體" w:eastAsia="標楷體"/>
      <w:snapToGrid w:val="0"/>
      <w:kern w:val="2"/>
      <w:sz w:val="28"/>
      <w:szCs w:val="28"/>
    </w:rPr>
  </w:style>
  <w:style w:type="character" w:customStyle="1" w:styleId="ad">
    <w:name w:val="圖表目錄 字元"/>
    <w:link w:val="a9"/>
    <w:semiHidden/>
    <w:rsid w:val="00006164"/>
    <w:rPr>
      <w:rFonts w:ascii="標楷體" w:eastAsia="標楷體"/>
      <w:snapToGrid w:val="0"/>
      <w:kern w:val="2"/>
      <w:sz w:val="28"/>
      <w:szCs w:val="28"/>
    </w:rPr>
  </w:style>
  <w:style w:type="paragraph" w:customStyle="1" w:styleId="ReturnAddress">
    <w:name w:val="Return Address"/>
    <w:basedOn w:val="a"/>
    <w:rsid w:val="002B69CC"/>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character" w:styleId="aff6">
    <w:name w:val="Placeholder Text"/>
    <w:uiPriority w:val="99"/>
    <w:semiHidden/>
    <w:rsid w:val="002B69CC"/>
    <w:rPr>
      <w:color w:val="808080"/>
    </w:rPr>
  </w:style>
  <w:style w:type="character" w:customStyle="1" w:styleId="normaltextrun">
    <w:name w:val="normaltextrun"/>
    <w:rsid w:val="00F349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056955">
      <w:bodyDiv w:val="1"/>
      <w:marLeft w:val="0"/>
      <w:marRight w:val="0"/>
      <w:marTop w:val="0"/>
      <w:marBottom w:val="0"/>
      <w:divBdr>
        <w:top w:val="none" w:sz="0" w:space="0" w:color="auto"/>
        <w:left w:val="none" w:sz="0" w:space="0" w:color="auto"/>
        <w:bottom w:val="none" w:sz="0" w:space="0" w:color="auto"/>
        <w:right w:val="none" w:sz="0" w:space="0" w:color="auto"/>
      </w:divBdr>
    </w:div>
    <w:div w:id="479350308">
      <w:bodyDiv w:val="1"/>
      <w:marLeft w:val="0"/>
      <w:marRight w:val="0"/>
      <w:marTop w:val="0"/>
      <w:marBottom w:val="0"/>
      <w:divBdr>
        <w:top w:val="none" w:sz="0" w:space="0" w:color="auto"/>
        <w:left w:val="none" w:sz="0" w:space="0" w:color="auto"/>
        <w:bottom w:val="none" w:sz="0" w:space="0" w:color="auto"/>
        <w:right w:val="none" w:sz="0" w:space="0" w:color="auto"/>
      </w:divBdr>
    </w:div>
    <w:div w:id="517430345">
      <w:bodyDiv w:val="1"/>
      <w:marLeft w:val="0"/>
      <w:marRight w:val="0"/>
      <w:marTop w:val="0"/>
      <w:marBottom w:val="0"/>
      <w:divBdr>
        <w:top w:val="none" w:sz="0" w:space="0" w:color="auto"/>
        <w:left w:val="none" w:sz="0" w:space="0" w:color="auto"/>
        <w:bottom w:val="none" w:sz="0" w:space="0" w:color="auto"/>
        <w:right w:val="none" w:sz="0" w:space="0" w:color="auto"/>
      </w:divBdr>
    </w:div>
    <w:div w:id="735083676">
      <w:bodyDiv w:val="1"/>
      <w:marLeft w:val="0"/>
      <w:marRight w:val="0"/>
      <w:marTop w:val="0"/>
      <w:marBottom w:val="0"/>
      <w:divBdr>
        <w:top w:val="none" w:sz="0" w:space="0" w:color="auto"/>
        <w:left w:val="none" w:sz="0" w:space="0" w:color="auto"/>
        <w:bottom w:val="none" w:sz="0" w:space="0" w:color="auto"/>
        <w:right w:val="none" w:sz="0" w:space="0" w:color="auto"/>
      </w:divBdr>
    </w:div>
    <w:div w:id="976185215">
      <w:bodyDiv w:val="1"/>
      <w:marLeft w:val="0"/>
      <w:marRight w:val="0"/>
      <w:marTop w:val="0"/>
      <w:marBottom w:val="0"/>
      <w:divBdr>
        <w:top w:val="none" w:sz="0" w:space="0" w:color="auto"/>
        <w:left w:val="none" w:sz="0" w:space="0" w:color="auto"/>
        <w:bottom w:val="none" w:sz="0" w:space="0" w:color="auto"/>
        <w:right w:val="none" w:sz="0" w:space="0" w:color="auto"/>
      </w:divBdr>
    </w:div>
    <w:div w:id="1010571823">
      <w:bodyDiv w:val="1"/>
      <w:marLeft w:val="0"/>
      <w:marRight w:val="0"/>
      <w:marTop w:val="0"/>
      <w:marBottom w:val="0"/>
      <w:divBdr>
        <w:top w:val="none" w:sz="0" w:space="0" w:color="auto"/>
        <w:left w:val="none" w:sz="0" w:space="0" w:color="auto"/>
        <w:bottom w:val="none" w:sz="0" w:space="0" w:color="auto"/>
        <w:right w:val="none" w:sz="0" w:space="0" w:color="auto"/>
      </w:divBdr>
    </w:div>
    <w:div w:id="1068923760">
      <w:bodyDiv w:val="1"/>
      <w:marLeft w:val="0"/>
      <w:marRight w:val="0"/>
      <w:marTop w:val="0"/>
      <w:marBottom w:val="0"/>
      <w:divBdr>
        <w:top w:val="none" w:sz="0" w:space="0" w:color="auto"/>
        <w:left w:val="none" w:sz="0" w:space="0" w:color="auto"/>
        <w:bottom w:val="none" w:sz="0" w:space="0" w:color="auto"/>
        <w:right w:val="none" w:sz="0" w:space="0" w:color="auto"/>
      </w:divBdr>
    </w:div>
    <w:div w:id="1421677539">
      <w:bodyDiv w:val="1"/>
      <w:marLeft w:val="0"/>
      <w:marRight w:val="0"/>
      <w:marTop w:val="0"/>
      <w:marBottom w:val="0"/>
      <w:divBdr>
        <w:top w:val="none" w:sz="0" w:space="0" w:color="auto"/>
        <w:left w:val="none" w:sz="0" w:space="0" w:color="auto"/>
        <w:bottom w:val="none" w:sz="0" w:space="0" w:color="auto"/>
        <w:right w:val="none" w:sz="0" w:space="0" w:color="auto"/>
      </w:divBdr>
    </w:div>
    <w:div w:id="1514606456">
      <w:bodyDiv w:val="1"/>
      <w:marLeft w:val="0"/>
      <w:marRight w:val="0"/>
      <w:marTop w:val="0"/>
      <w:marBottom w:val="0"/>
      <w:divBdr>
        <w:top w:val="none" w:sz="0" w:space="0" w:color="auto"/>
        <w:left w:val="none" w:sz="0" w:space="0" w:color="auto"/>
        <w:bottom w:val="none" w:sz="0" w:space="0" w:color="auto"/>
        <w:right w:val="none" w:sz="0" w:space="0" w:color="auto"/>
      </w:divBdr>
    </w:div>
    <w:div w:id="1832745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3291F1-7CF8-49F1-97C1-846EAC4F6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3</Pages>
  <Words>794</Words>
  <Characters>4531</Characters>
  <Application>Microsoft Office Word</Application>
  <DocSecurity>0</DocSecurity>
  <Lines>37</Lines>
  <Paragraphs>10</Paragraphs>
  <ScaleCrop>false</ScaleCrop>
  <Company/>
  <LinksUpToDate>false</LinksUpToDate>
  <CharactersWithSpaces>5315</CharactersWithSpaces>
  <SharedDoc>false</SharedDoc>
  <HLinks>
    <vt:vector size="30" baseType="variant">
      <vt:variant>
        <vt:i4>1114160</vt:i4>
      </vt:variant>
      <vt:variant>
        <vt:i4>26</vt:i4>
      </vt:variant>
      <vt:variant>
        <vt:i4>0</vt:i4>
      </vt:variant>
      <vt:variant>
        <vt:i4>5</vt:i4>
      </vt:variant>
      <vt:variant>
        <vt:lpwstr/>
      </vt:variant>
      <vt:variant>
        <vt:lpwstr>_Toc218085228</vt:lpwstr>
      </vt:variant>
      <vt:variant>
        <vt:i4>1114160</vt:i4>
      </vt:variant>
      <vt:variant>
        <vt:i4>20</vt:i4>
      </vt:variant>
      <vt:variant>
        <vt:i4>0</vt:i4>
      </vt:variant>
      <vt:variant>
        <vt:i4>5</vt:i4>
      </vt:variant>
      <vt:variant>
        <vt:lpwstr/>
      </vt:variant>
      <vt:variant>
        <vt:lpwstr>_Toc218085227</vt:lpwstr>
      </vt:variant>
      <vt:variant>
        <vt:i4>1114160</vt:i4>
      </vt:variant>
      <vt:variant>
        <vt:i4>14</vt:i4>
      </vt:variant>
      <vt:variant>
        <vt:i4>0</vt:i4>
      </vt:variant>
      <vt:variant>
        <vt:i4>5</vt:i4>
      </vt:variant>
      <vt:variant>
        <vt:lpwstr/>
      </vt:variant>
      <vt:variant>
        <vt:lpwstr>_Toc218085226</vt:lpwstr>
      </vt:variant>
      <vt:variant>
        <vt:i4>1114160</vt:i4>
      </vt:variant>
      <vt:variant>
        <vt:i4>8</vt:i4>
      </vt:variant>
      <vt:variant>
        <vt:i4>0</vt:i4>
      </vt:variant>
      <vt:variant>
        <vt:i4>5</vt:i4>
      </vt:variant>
      <vt:variant>
        <vt:lpwstr/>
      </vt:variant>
      <vt:variant>
        <vt:lpwstr>_Toc218085225</vt:lpwstr>
      </vt:variant>
      <vt:variant>
        <vt:i4>1114160</vt:i4>
      </vt:variant>
      <vt:variant>
        <vt:i4>2</vt:i4>
      </vt:variant>
      <vt:variant>
        <vt:i4>0</vt:i4>
      </vt:variant>
      <vt:variant>
        <vt:i4>5</vt:i4>
      </vt:variant>
      <vt:variant>
        <vt:lpwstr/>
      </vt:variant>
      <vt:variant>
        <vt:lpwstr>_Toc218085224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2025-11-24T09:34:00Z</cp:lastPrinted>
  <dcterms:created xsi:type="dcterms:W3CDTF">2025-12-31T07:02:00Z</dcterms:created>
  <dcterms:modified xsi:type="dcterms:W3CDTF">2025-12-31T07:02:00Z</dcterms:modified>
</cp:coreProperties>
</file>