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5B" w:rsidRDefault="00FB113D" w:rsidP="00037C5B">
      <w:pPr>
        <w:pStyle w:val="ab"/>
      </w:pPr>
      <w:bookmarkStart w:id="0" w:name="_Toc477265286"/>
      <w:bookmarkStart w:id="1" w:name="_Toc495221729"/>
      <w:bookmarkStart w:id="2" w:name="_Toc496878062"/>
      <w:bookmarkStart w:id="3" w:name="_GoBack"/>
      <w:bookmarkEnd w:id="3"/>
      <w:r w:rsidRPr="008A5015">
        <w:rPr>
          <w:rFonts w:hint="eastAsia"/>
        </w:rPr>
        <w:t>經濟部</w:t>
      </w:r>
      <w:r w:rsidR="00037C5B">
        <w:rPr>
          <w:rFonts w:hint="eastAsia"/>
        </w:rPr>
        <w:t>主管非營業基金</w:t>
      </w:r>
      <w:r w:rsidR="002E0C6B" w:rsidRPr="008A5015">
        <w:t>11</w:t>
      </w:r>
      <w:r w:rsidR="00300335">
        <w:rPr>
          <w:rFonts w:hint="eastAsia"/>
        </w:rPr>
        <w:t>3</w:t>
      </w:r>
      <w:r w:rsidRPr="008A5015">
        <w:rPr>
          <w:rFonts w:hint="eastAsia"/>
        </w:rPr>
        <w:t>年度決算評估報告</w:t>
      </w:r>
      <w:bookmarkEnd w:id="0"/>
      <w:bookmarkEnd w:id="1"/>
      <w:bookmarkEnd w:id="2"/>
    </w:p>
    <w:p w:rsidR="00037C5B" w:rsidRPr="00597796" w:rsidRDefault="00037C5B" w:rsidP="00037C5B">
      <w:pPr>
        <w:pStyle w:val="a8"/>
        <w:ind w:firstLine="566"/>
        <w:rPr>
          <w:rFonts w:hAnsi="標楷體"/>
        </w:rPr>
      </w:pPr>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3</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37C5B" w:rsidRPr="00597796" w:rsidRDefault="00037C5B" w:rsidP="00037C5B">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rFonts w:hint="eastAsia"/>
          <w:b/>
          <w:color w:val="000000"/>
        </w:rPr>
        <w:t>3</w:t>
      </w:r>
      <w:r w:rsidRPr="00597796">
        <w:rPr>
          <w:rFonts w:hint="eastAsia"/>
          <w:b/>
          <w:color w:val="000000"/>
        </w:rPr>
        <w:t>年度預算執行情形概況表</w:t>
      </w:r>
    </w:p>
    <w:p w:rsidR="00037C5B" w:rsidRPr="00597796" w:rsidRDefault="00037C5B" w:rsidP="00037C5B">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37C5B" w:rsidRPr="00597796" w:rsidTr="00F16E20">
        <w:trPr>
          <w:trHeight w:val="351"/>
          <w:tblHeader/>
        </w:trPr>
        <w:tc>
          <w:tcPr>
            <w:tcW w:w="2156" w:type="dxa"/>
            <w:vMerge w:val="restart"/>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37C5B" w:rsidRPr="00597796" w:rsidTr="00F16E20">
        <w:trPr>
          <w:trHeight w:val="340"/>
        </w:trPr>
        <w:tc>
          <w:tcPr>
            <w:tcW w:w="2156" w:type="dxa"/>
            <w:vMerge/>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37C5B" w:rsidRPr="00597796" w:rsidRDefault="00037C5B" w:rsidP="00F16E20">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143.27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76.59</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85.34</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6.68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57.93</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51.25</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91.34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88.27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110.03</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110.82</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-18.69</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-22.55</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-3.86</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254.34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252.64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225.24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225.46</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29.1</w:t>
            </w:r>
            <w:r>
              <w:rPr>
                <w:rFonts w:hint="eastAsia"/>
                <w:color w:val="000000"/>
                <w:spacing w:val="-20"/>
                <w:sz w:val="24"/>
                <w:szCs w:val="24"/>
              </w:rPr>
              <w:t>0</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27.18</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-1.92</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267.72</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277.34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64.34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51.</w:t>
            </w:r>
            <w:r>
              <w:rPr>
                <w:color w:val="000000"/>
                <w:spacing w:val="-20"/>
                <w:sz w:val="24"/>
                <w:szCs w:val="24"/>
              </w:rPr>
              <w:t>05</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203.38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color w:val="000000"/>
                <w:spacing w:val="-20"/>
                <w:sz w:val="24"/>
                <w:szCs w:val="24"/>
              </w:rPr>
              <w:t>6.29</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rFonts w:hint="eastAsia"/>
                <w:color w:val="000000"/>
                <w:spacing w:val="-20"/>
                <w:sz w:val="24"/>
                <w:szCs w:val="24"/>
              </w:rPr>
              <w:t>9</w:t>
            </w:r>
            <w:r w:rsidRPr="00311554">
              <w:rPr>
                <w:color w:val="000000"/>
                <w:spacing w:val="-20"/>
                <w:sz w:val="24"/>
                <w:szCs w:val="24"/>
              </w:rPr>
              <w:t>1</w:t>
            </w:r>
          </w:p>
        </w:tc>
      </w:tr>
    </w:tbl>
    <w:p w:rsidR="00037C5B" w:rsidRDefault="00037C5B" w:rsidP="00037C5B">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rFonts w:hint="eastAsia"/>
          <w:color w:val="000000"/>
          <w:sz w:val="24"/>
        </w:rPr>
        <w:t>3</w:t>
      </w:r>
      <w:r w:rsidRPr="00597796">
        <w:rPr>
          <w:rFonts w:hint="eastAsia"/>
          <w:color w:val="000000"/>
          <w:sz w:val="24"/>
        </w:rPr>
        <w:t>年度中央政府總決算暨附屬單位決算及綜計表審核報告(附冊-非營業部分)。</w:t>
      </w:r>
    </w:p>
    <w:p w:rsidR="00DD4717" w:rsidRPr="00DD4717" w:rsidRDefault="00DD4717" w:rsidP="00DD4717">
      <w:pPr>
        <w:pStyle w:val="14"/>
        <w:ind w:left="566" w:hanging="566"/>
        <w:rPr>
          <w:rFonts w:hint="eastAsia"/>
          <w:color w:val="000000"/>
        </w:rPr>
      </w:pPr>
      <w:bookmarkStart w:id="4" w:name="_Toc161322215"/>
      <w:bookmarkStart w:id="5" w:name="_Toc133238568"/>
      <w:bookmarkStart w:id="6" w:name="_Toc338255476"/>
      <w:bookmarkStart w:id="7" w:name="_Toc340429906"/>
      <w:bookmarkStart w:id="8" w:name="_Toc530642334"/>
      <w:bookmarkStart w:id="9" w:name="_Toc66090982"/>
      <w:bookmarkStart w:id="10" w:name="_Toc89957702"/>
      <w:bookmarkStart w:id="11" w:name="_Toc89963793"/>
      <w:bookmarkStart w:id="12" w:name="_Toc148549211"/>
      <w:bookmarkStart w:id="13" w:name="_Toc182322670"/>
      <w:bookmarkStart w:id="14" w:name="_Toc182322672"/>
      <w:bookmarkStart w:id="15" w:name="_Toc132963604"/>
      <w:bookmarkStart w:id="16" w:name="_Toc57635111"/>
      <w:bookmarkStart w:id="17" w:name="_Toc90701910"/>
      <w:bookmarkStart w:id="18" w:name="_Toc90979095"/>
      <w:bookmarkStart w:id="19" w:name="_Toc57635102"/>
      <w:bookmarkStart w:id="20" w:name="_Toc90701906"/>
      <w:bookmarkStart w:id="21" w:name="_Toc90979090"/>
      <w:bookmarkStart w:id="22" w:name="_Toc227507448"/>
      <w:bookmarkStart w:id="23" w:name="_Toc380565813"/>
      <w:bookmarkStart w:id="24" w:name="_Toc215134655"/>
      <w:bookmarkStart w:id="25" w:name="_Toc341685352"/>
      <w:bookmarkStart w:id="26" w:name="_Toc429059431"/>
      <w:bookmarkStart w:id="27" w:name="_Toc466474692"/>
      <w:bookmarkStart w:id="28" w:name="_Toc498586083"/>
      <w:bookmarkStart w:id="29" w:name="_Toc514138034"/>
      <w:bookmarkStart w:id="30" w:name="_Toc498097457"/>
      <w:bookmarkStart w:id="31" w:name="_Toc23520497"/>
      <w:bookmarkStart w:id="32" w:name="_Toc19808171"/>
      <w:bookmarkStart w:id="33" w:name="_Toc21077024"/>
      <w:bookmarkStart w:id="34" w:name="_Toc54940224"/>
      <w:bookmarkStart w:id="35" w:name="_Toc224208362"/>
      <w:bookmarkStart w:id="36" w:name="_Toc224220048"/>
      <w:r>
        <w:rPr>
          <w:rFonts w:hint="eastAsia"/>
          <w:b w:val="0"/>
          <w:color w:val="000000"/>
          <w:lang w:eastAsia="zh-HK"/>
        </w:rPr>
        <w:t>三</w:t>
      </w:r>
      <w:r w:rsidRPr="00DD4717">
        <w:rPr>
          <w:rFonts w:hint="eastAsia"/>
          <w:color w:val="000000"/>
        </w:rPr>
        <w:t>、</w:t>
      </w:r>
      <w:bookmarkEnd w:id="34"/>
      <w:r w:rsidRPr="00DD4717">
        <w:rPr>
          <w:rFonts w:hint="eastAsia"/>
          <w:color w:val="000000"/>
        </w:rPr>
        <w:t>鑑於近年社會經濟發展迅速，又氣候變遷加劇致澇旱不均，允宜衡酌各區域水資源供需情形，因地制宜規劃重大水資源管理策略，俾提升供水穩定及韌性</w:t>
      </w:r>
      <w:bookmarkEnd w:id="35"/>
      <w:bookmarkEnd w:id="36"/>
    </w:p>
    <w:p w:rsidR="00DD4717" w:rsidRPr="00DD4717" w:rsidRDefault="00DD4717" w:rsidP="00DD4717">
      <w:pPr>
        <w:ind w:left="566" w:firstLine="566"/>
        <w:rPr>
          <w:color w:val="000000"/>
        </w:rPr>
      </w:pPr>
      <w:r w:rsidRPr="00DD4717">
        <w:rPr>
          <w:rFonts w:hint="eastAsia"/>
          <w:color w:val="000000"/>
        </w:rPr>
        <w:t>水資源作業基金為辦理「重大水資源規劃作業計畫」，113年度編列1億2,655萬5千元(包含給水銷貨成本1億1,455萬5千元、管理及總務費用1,200萬元)，經執行後決算數為1億2,984萬6千元，超支併決算329萬1千元。經查：</w:t>
      </w:r>
    </w:p>
    <w:p w:rsidR="00DD4717" w:rsidRPr="00DD4717" w:rsidRDefault="00DD4717" w:rsidP="00DD4717">
      <w:pPr>
        <w:ind w:left="849" w:hangingChars="100" w:hanging="283"/>
        <w:rPr>
          <w:rFonts w:hint="eastAsia"/>
          <w:b/>
          <w:color w:val="000000"/>
        </w:rPr>
      </w:pPr>
      <w:r w:rsidRPr="00DD4717">
        <w:rPr>
          <w:rFonts w:hint="eastAsia"/>
          <w:b/>
          <w:color w:val="000000"/>
        </w:rPr>
        <w:t>(一)迄113年底「重大水資源規劃作業計畫」推動概況</w:t>
      </w:r>
    </w:p>
    <w:p w:rsidR="00DD4717" w:rsidRPr="00DD4717" w:rsidRDefault="00DD4717" w:rsidP="00DD4717">
      <w:pPr>
        <w:adjustRightInd w:val="0"/>
        <w:ind w:leftChars="300" w:left="850" w:firstLine="566"/>
        <w:rPr>
          <w:rFonts w:hAnsi="標楷體"/>
          <w:color w:val="000000"/>
        </w:rPr>
      </w:pPr>
      <w:r w:rsidRPr="00DD4717">
        <w:rPr>
          <w:rFonts w:hAnsi="標楷體" w:hint="eastAsia"/>
          <w:color w:val="000000"/>
        </w:rPr>
        <w:t>水資源作業基金自109年起辦理「重大水資源規劃作業計畫」，計畫總經費為14億9,850萬元，執行期間為109至114年度，以「開源節流」、「調度備援」、「精進管理」及「旗艦擘劃」等4大面向，以120年度為目標年，進行水資源供需平衡規劃，並針對長期(130年度)水資源經理策略預為準備。</w:t>
      </w:r>
    </w:p>
    <w:p w:rsidR="00DD4717" w:rsidRPr="00DD4717" w:rsidRDefault="00DD4717" w:rsidP="00DD4717">
      <w:pPr>
        <w:adjustRightInd w:val="0"/>
        <w:ind w:leftChars="300" w:left="850" w:firstLine="566"/>
        <w:rPr>
          <w:rFonts w:hAnsi="標楷體"/>
          <w:color w:val="000000"/>
        </w:rPr>
      </w:pPr>
      <w:r w:rsidRPr="00DD4717">
        <w:rPr>
          <w:rFonts w:hAnsi="標楷體" w:hint="eastAsia"/>
          <w:color w:val="000000"/>
        </w:rPr>
        <w:t>經彙整水資源作業基金109至113年度辦理「重大水資源規劃作業計畫」情形(詳表1)，累計編列預算數為7億9,266</w:t>
      </w:r>
      <w:r w:rsidRPr="00DD4717">
        <w:rPr>
          <w:rFonts w:hAnsi="標楷體" w:hint="eastAsia"/>
          <w:color w:val="000000"/>
        </w:rPr>
        <w:lastRenderedPageBreak/>
        <w:t>萬5千元，迄113年底累計執行數為5億2,698萬9千元，累計預算執行率為66.48%</w:t>
      </w:r>
      <w:r w:rsidRPr="00DD4717">
        <w:rPr>
          <w:rFonts w:hAnsi="標楷體"/>
          <w:color w:val="000000"/>
          <w:vertAlign w:val="superscript"/>
        </w:rPr>
        <w:footnoteReference w:id="1"/>
      </w:r>
      <w:r w:rsidRPr="00DD4717">
        <w:rPr>
          <w:rFonts w:hAnsi="標楷體" w:hint="eastAsia"/>
          <w:color w:val="000000"/>
        </w:rPr>
        <w:t>，重要完成成果包含新竹地區再生水開發可行性評估、民間參與新竹及臺南海水淡化廠可行性評估及先期規劃、屏東平原伏流水與地下水永續利用開發規劃、臺中海線地區地下水資源綜合評估、推動再生水發展計畫、辦理水利建造物規劃小水力發電技術參考手冊及推動案例等。</w:t>
      </w:r>
    </w:p>
    <w:p w:rsidR="00DD4717" w:rsidRPr="00DD4717" w:rsidRDefault="00DD4717" w:rsidP="00DD4717">
      <w:pPr>
        <w:ind w:leftChars="0" w:left="751" w:hangingChars="265" w:hanging="751"/>
        <w:rPr>
          <w:b/>
          <w:bCs/>
          <w:szCs w:val="32"/>
        </w:rPr>
      </w:pPr>
      <w:r w:rsidRPr="00DD4717">
        <w:rPr>
          <w:rFonts w:hint="eastAsia"/>
          <w:b/>
          <w:bCs/>
          <w:szCs w:val="32"/>
        </w:rPr>
        <w:t>表1  109至113年度「重大水資源規劃作業計畫」推動概況表</w:t>
      </w:r>
    </w:p>
    <w:p w:rsidR="00DD4717" w:rsidRPr="00DD4717" w:rsidRDefault="00DD4717" w:rsidP="00DD4717">
      <w:pPr>
        <w:spacing w:line="400" w:lineRule="exact"/>
        <w:ind w:leftChars="0" w:left="0" w:firstLineChars="0" w:firstLine="0"/>
        <w:jc w:val="right"/>
        <w:rPr>
          <w:sz w:val="24"/>
        </w:rPr>
      </w:pPr>
      <w:r w:rsidRPr="00DD4717">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709"/>
        <w:gridCol w:w="1417"/>
        <w:gridCol w:w="709"/>
        <w:gridCol w:w="1701"/>
        <w:gridCol w:w="1559"/>
        <w:gridCol w:w="1701"/>
      </w:tblGrid>
      <w:tr w:rsidR="00DD4717" w:rsidRPr="00DD4717" w:rsidTr="00FC1F55">
        <w:trPr>
          <w:tblHeader/>
        </w:trPr>
        <w:tc>
          <w:tcPr>
            <w:tcW w:w="1418" w:type="dxa"/>
            <w:gridSpan w:val="2"/>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項目</w:t>
            </w:r>
          </w:p>
        </w:tc>
        <w:tc>
          <w:tcPr>
            <w:tcW w:w="1417" w:type="dxa"/>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計畫總經費</w:t>
            </w: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計畫期程</w:t>
            </w:r>
          </w:p>
        </w:tc>
        <w:tc>
          <w:tcPr>
            <w:tcW w:w="1701" w:type="dxa"/>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累計至113年度已編列預算數</w:t>
            </w:r>
          </w:p>
        </w:tc>
        <w:tc>
          <w:tcPr>
            <w:tcW w:w="1559" w:type="dxa"/>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迄113年底</w:t>
            </w:r>
          </w:p>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累計執行數</w:t>
            </w:r>
          </w:p>
        </w:tc>
        <w:tc>
          <w:tcPr>
            <w:tcW w:w="1701" w:type="dxa"/>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累計預算執行率</w:t>
            </w:r>
          </w:p>
        </w:tc>
      </w:tr>
      <w:tr w:rsidR="00DD4717" w:rsidRPr="00DD4717" w:rsidTr="00FC1F55">
        <w:tc>
          <w:tcPr>
            <w:tcW w:w="1418" w:type="dxa"/>
            <w:gridSpan w:val="2"/>
            <w:shd w:val="clear" w:color="auto" w:fill="auto"/>
            <w:vAlign w:val="center"/>
          </w:tcPr>
          <w:p w:rsidR="00DD4717" w:rsidRPr="00DD4717" w:rsidRDefault="00DD4717" w:rsidP="00DD4717">
            <w:pPr>
              <w:spacing w:line="240" w:lineRule="exact"/>
              <w:ind w:leftChars="0" w:left="0" w:firstLineChars="0" w:firstLine="0"/>
              <w:jc w:val="center"/>
              <w:rPr>
                <w:spacing w:val="-20"/>
                <w:sz w:val="24"/>
              </w:rPr>
            </w:pPr>
            <w:r w:rsidRPr="00DD4717">
              <w:rPr>
                <w:rFonts w:hint="eastAsia"/>
                <w:spacing w:val="-20"/>
                <w:sz w:val="24"/>
              </w:rPr>
              <w:t>重大水資源規劃作業計畫</w:t>
            </w:r>
          </w:p>
        </w:tc>
        <w:tc>
          <w:tcPr>
            <w:tcW w:w="1417" w:type="dxa"/>
            <w:shd w:val="clear" w:color="auto" w:fill="auto"/>
            <w:vAlign w:val="center"/>
          </w:tcPr>
          <w:p w:rsidR="00DD4717" w:rsidRPr="00DD4717" w:rsidRDefault="00DD4717" w:rsidP="00DD4717">
            <w:pPr>
              <w:spacing w:line="240" w:lineRule="exact"/>
              <w:ind w:leftChars="0" w:left="0" w:firstLineChars="0" w:firstLine="0"/>
              <w:jc w:val="right"/>
              <w:rPr>
                <w:spacing w:val="-20"/>
                <w:sz w:val="24"/>
              </w:rPr>
            </w:pPr>
            <w:r w:rsidRPr="00DD4717">
              <w:rPr>
                <w:rFonts w:hint="eastAsia"/>
                <w:spacing w:val="-20"/>
                <w:sz w:val="24"/>
              </w:rPr>
              <w:t>1</w:t>
            </w:r>
            <w:r w:rsidRPr="00DD4717">
              <w:rPr>
                <w:spacing w:val="-20"/>
                <w:sz w:val="24"/>
              </w:rPr>
              <w:t>,</w:t>
            </w:r>
            <w:r w:rsidRPr="00DD4717">
              <w:rPr>
                <w:rFonts w:hint="eastAsia"/>
                <w:spacing w:val="-20"/>
                <w:sz w:val="24"/>
              </w:rPr>
              <w:t>498</w:t>
            </w:r>
            <w:r w:rsidRPr="00DD4717">
              <w:rPr>
                <w:spacing w:val="-20"/>
                <w:sz w:val="24"/>
              </w:rPr>
              <w:t>,</w:t>
            </w:r>
            <w:r w:rsidRPr="00DD4717">
              <w:rPr>
                <w:rFonts w:hint="eastAsia"/>
                <w:spacing w:val="-20"/>
                <w:sz w:val="24"/>
              </w:rPr>
              <w:t>500</w:t>
            </w: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spacing w:val="-20"/>
                <w:sz w:val="24"/>
              </w:rPr>
            </w:pPr>
            <w:r w:rsidRPr="00DD4717">
              <w:rPr>
                <w:rFonts w:hint="eastAsia"/>
                <w:spacing w:val="-20"/>
                <w:sz w:val="24"/>
              </w:rPr>
              <w:t>109-</w:t>
            </w:r>
          </w:p>
          <w:p w:rsidR="00DD4717" w:rsidRPr="00DD4717" w:rsidRDefault="00DD4717" w:rsidP="00DD4717">
            <w:pPr>
              <w:spacing w:line="240" w:lineRule="exact"/>
              <w:ind w:leftChars="0" w:left="0" w:firstLineChars="0" w:firstLine="0"/>
              <w:jc w:val="center"/>
              <w:rPr>
                <w:spacing w:val="-20"/>
                <w:sz w:val="24"/>
              </w:rPr>
            </w:pPr>
            <w:r w:rsidRPr="00DD4717">
              <w:rPr>
                <w:rFonts w:hint="eastAsia"/>
                <w:spacing w:val="-20"/>
                <w:sz w:val="24"/>
              </w:rPr>
              <w:t>114</w:t>
            </w:r>
          </w:p>
        </w:tc>
        <w:tc>
          <w:tcPr>
            <w:tcW w:w="1701" w:type="dxa"/>
            <w:shd w:val="clear" w:color="auto" w:fill="auto"/>
            <w:vAlign w:val="center"/>
          </w:tcPr>
          <w:p w:rsidR="00DD4717" w:rsidRPr="00DD4717" w:rsidRDefault="00DD4717" w:rsidP="00DD4717">
            <w:pPr>
              <w:spacing w:line="240" w:lineRule="exact"/>
              <w:ind w:leftChars="0" w:left="0" w:firstLineChars="0" w:firstLine="0"/>
              <w:jc w:val="right"/>
              <w:rPr>
                <w:rFonts w:hint="eastAsia"/>
                <w:spacing w:val="-20"/>
                <w:sz w:val="24"/>
              </w:rPr>
            </w:pPr>
            <w:r w:rsidRPr="00DD4717">
              <w:rPr>
                <w:rFonts w:hint="eastAsia"/>
                <w:spacing w:val="-20"/>
                <w:sz w:val="24"/>
              </w:rPr>
              <w:t>792,665</w:t>
            </w:r>
          </w:p>
        </w:tc>
        <w:tc>
          <w:tcPr>
            <w:tcW w:w="1559" w:type="dxa"/>
            <w:shd w:val="clear" w:color="auto" w:fill="auto"/>
            <w:vAlign w:val="center"/>
          </w:tcPr>
          <w:p w:rsidR="00DD4717" w:rsidRPr="00DD4717" w:rsidRDefault="00DD4717" w:rsidP="00DD4717">
            <w:pPr>
              <w:spacing w:line="240" w:lineRule="exact"/>
              <w:ind w:leftChars="0" w:left="0" w:firstLineChars="0" w:firstLine="0"/>
              <w:jc w:val="right"/>
              <w:rPr>
                <w:rFonts w:hint="eastAsia"/>
                <w:spacing w:val="-20"/>
                <w:sz w:val="24"/>
              </w:rPr>
            </w:pPr>
            <w:r w:rsidRPr="00DD4717">
              <w:rPr>
                <w:rFonts w:hint="eastAsia"/>
                <w:spacing w:val="-20"/>
                <w:sz w:val="24"/>
              </w:rPr>
              <w:t>526,989</w:t>
            </w:r>
          </w:p>
        </w:tc>
        <w:tc>
          <w:tcPr>
            <w:tcW w:w="1701" w:type="dxa"/>
            <w:shd w:val="clear" w:color="auto" w:fill="auto"/>
            <w:vAlign w:val="center"/>
          </w:tcPr>
          <w:p w:rsidR="00DD4717" w:rsidRPr="00DD4717" w:rsidRDefault="00DD4717" w:rsidP="00DD4717">
            <w:pPr>
              <w:spacing w:line="240" w:lineRule="exact"/>
              <w:ind w:leftChars="0" w:left="0" w:firstLineChars="0" w:firstLine="0"/>
              <w:jc w:val="right"/>
              <w:rPr>
                <w:spacing w:val="-20"/>
                <w:sz w:val="24"/>
              </w:rPr>
            </w:pPr>
            <w:r w:rsidRPr="00DD4717">
              <w:rPr>
                <w:rFonts w:hint="eastAsia"/>
                <w:spacing w:val="-20"/>
                <w:sz w:val="24"/>
              </w:rPr>
              <w:t>66.48</w:t>
            </w:r>
          </w:p>
        </w:tc>
      </w:tr>
      <w:tr w:rsidR="00DD4717" w:rsidRPr="00DD4717" w:rsidTr="00FC1F55">
        <w:tc>
          <w:tcPr>
            <w:tcW w:w="709" w:type="dxa"/>
            <w:vMerge w:val="restart"/>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r w:rsidRPr="00DD4717">
              <w:rPr>
                <w:rFonts w:hint="eastAsia"/>
                <w:spacing w:val="-20"/>
                <w:sz w:val="24"/>
              </w:rPr>
              <w:t>迄113年底主要辦理成果</w:t>
            </w: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r w:rsidRPr="00DD4717">
              <w:rPr>
                <w:rFonts w:hint="eastAsia"/>
                <w:spacing w:val="-20"/>
                <w:sz w:val="24"/>
              </w:rPr>
              <w:t>開源節流</w:t>
            </w:r>
          </w:p>
        </w:tc>
        <w:tc>
          <w:tcPr>
            <w:tcW w:w="7087" w:type="dxa"/>
            <w:gridSpan w:val="5"/>
            <w:shd w:val="clear" w:color="auto" w:fill="auto"/>
          </w:tcPr>
          <w:p w:rsidR="00DD4717" w:rsidRPr="00DD4717" w:rsidRDefault="00DD4717" w:rsidP="00DD4717">
            <w:pPr>
              <w:spacing w:line="240" w:lineRule="exact"/>
              <w:ind w:leftChars="0" w:left="211" w:hangingChars="100" w:hanging="211"/>
              <w:rPr>
                <w:spacing w:val="-16"/>
                <w:sz w:val="24"/>
              </w:rPr>
            </w:pPr>
            <w:r w:rsidRPr="00DD4717">
              <w:rPr>
                <w:rFonts w:hint="eastAsia"/>
                <w:spacing w:val="-16"/>
                <w:sz w:val="24"/>
              </w:rPr>
              <w:t>1.傳統水源開發：辦理隘寮溪多功能人工湖調查規劃、大甲溪多元取水初步調查、南勢溪引水至石門水庫工程第二階段環境影響評估、屏東平原伏流水與地下水永續利用開發規劃等</w:t>
            </w:r>
            <w:r w:rsidRPr="00DD4717">
              <w:rPr>
                <w:rFonts w:hAnsi="標楷體" w:hint="eastAsia"/>
                <w:spacing w:val="-16"/>
                <w:sz w:val="24"/>
              </w:rPr>
              <w:t>。</w:t>
            </w:r>
          </w:p>
          <w:p w:rsidR="00DD4717" w:rsidRPr="00DD4717" w:rsidRDefault="00DD4717" w:rsidP="00DD4717">
            <w:pPr>
              <w:spacing w:line="240" w:lineRule="exact"/>
              <w:ind w:leftChars="0" w:left="211" w:hangingChars="100" w:hanging="211"/>
              <w:rPr>
                <w:rFonts w:hint="eastAsia"/>
                <w:spacing w:val="-16"/>
                <w:sz w:val="24"/>
              </w:rPr>
            </w:pPr>
            <w:r w:rsidRPr="00DD4717">
              <w:rPr>
                <w:rFonts w:hint="eastAsia"/>
                <w:spacing w:val="-16"/>
                <w:sz w:val="24"/>
              </w:rPr>
              <w:t>2.新興水源開發：辦理新竹地區再生水開發可行性評估、民間參與新竹及臺南海水淡化廠可行性評估及先期規劃、</w:t>
            </w:r>
            <w:r w:rsidRPr="00DD4717">
              <w:rPr>
                <w:rFonts w:hint="eastAsia"/>
                <w:color w:val="000000"/>
                <w:spacing w:val="-16"/>
                <w:sz w:val="22"/>
                <w:szCs w:val="22"/>
              </w:rPr>
              <w:t>高雄海水淡化廠工程可行性規劃、臺中海水淡化廠工程可行性評估等。</w:t>
            </w:r>
          </w:p>
        </w:tc>
      </w:tr>
      <w:tr w:rsidR="00DD4717" w:rsidRPr="00DD4717" w:rsidTr="00FC1F55">
        <w:tc>
          <w:tcPr>
            <w:tcW w:w="709" w:type="dxa"/>
            <w:vMerge/>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r w:rsidRPr="00DD4717">
              <w:rPr>
                <w:rFonts w:hint="eastAsia"/>
                <w:spacing w:val="-20"/>
                <w:sz w:val="24"/>
              </w:rPr>
              <w:t>調度備援</w:t>
            </w:r>
          </w:p>
        </w:tc>
        <w:tc>
          <w:tcPr>
            <w:tcW w:w="7087" w:type="dxa"/>
            <w:gridSpan w:val="5"/>
            <w:shd w:val="clear" w:color="auto" w:fill="auto"/>
          </w:tcPr>
          <w:p w:rsidR="00DD4717" w:rsidRPr="00DD4717" w:rsidRDefault="00DD4717" w:rsidP="00DD4717">
            <w:pPr>
              <w:spacing w:line="240" w:lineRule="exact"/>
              <w:ind w:leftChars="0" w:left="211" w:hangingChars="100" w:hanging="211"/>
              <w:rPr>
                <w:spacing w:val="-16"/>
                <w:sz w:val="24"/>
              </w:rPr>
            </w:pPr>
            <w:r w:rsidRPr="00DD4717">
              <w:rPr>
                <w:rFonts w:hint="eastAsia"/>
                <w:spacing w:val="-16"/>
                <w:sz w:val="24"/>
              </w:rPr>
              <w:t>1.備援水源開發：辦理臺中海線地區地下水資源綜合評估、高屏溪流域水資源監測評析暨荖濃與隘寮溪匯流口伏流水工程初步規劃等。</w:t>
            </w:r>
          </w:p>
          <w:p w:rsidR="00DD4717" w:rsidRPr="00DD4717" w:rsidRDefault="00DD4717" w:rsidP="00DD4717">
            <w:pPr>
              <w:spacing w:line="240" w:lineRule="exact"/>
              <w:ind w:leftChars="0" w:left="211" w:hangingChars="100" w:hanging="211"/>
              <w:rPr>
                <w:rFonts w:hint="eastAsia"/>
                <w:spacing w:val="-16"/>
                <w:sz w:val="24"/>
              </w:rPr>
            </w:pPr>
            <w:r w:rsidRPr="00DD4717">
              <w:rPr>
                <w:rFonts w:hint="eastAsia"/>
                <w:spacing w:val="-16"/>
                <w:sz w:val="24"/>
              </w:rPr>
              <w:t>2.調度備援系統提升：辦理大甲溪下游回歸水源調配管理、彰化地區滯洪池兼作水資源運用之評估規劃設計等。</w:t>
            </w:r>
          </w:p>
        </w:tc>
      </w:tr>
      <w:tr w:rsidR="00DD4717" w:rsidRPr="00DD4717" w:rsidTr="00FC1F55">
        <w:tc>
          <w:tcPr>
            <w:tcW w:w="709" w:type="dxa"/>
            <w:vMerge/>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r w:rsidRPr="00DD4717">
              <w:rPr>
                <w:rFonts w:hint="eastAsia"/>
                <w:spacing w:val="-20"/>
                <w:sz w:val="24"/>
              </w:rPr>
              <w:t>精進管理</w:t>
            </w:r>
          </w:p>
        </w:tc>
        <w:tc>
          <w:tcPr>
            <w:tcW w:w="7087" w:type="dxa"/>
            <w:gridSpan w:val="5"/>
            <w:shd w:val="clear" w:color="auto" w:fill="auto"/>
          </w:tcPr>
          <w:p w:rsidR="00DD4717" w:rsidRPr="00DD4717" w:rsidRDefault="00DD4717" w:rsidP="00DD4717">
            <w:pPr>
              <w:spacing w:line="240" w:lineRule="exact"/>
              <w:ind w:leftChars="0" w:left="211" w:hangingChars="100" w:hanging="211"/>
              <w:jc w:val="left"/>
              <w:rPr>
                <w:spacing w:val="-16"/>
                <w:sz w:val="24"/>
              </w:rPr>
            </w:pPr>
            <w:r w:rsidRPr="00DD4717">
              <w:rPr>
                <w:rFonts w:hint="eastAsia"/>
                <w:spacing w:val="-16"/>
                <w:sz w:val="24"/>
              </w:rPr>
              <w:t>1.智慧管理：辦理地面水可用水量系統資料更新、大用水戶用水查認作業計畫及水資源管理作業系統平台開發與建置等。</w:t>
            </w:r>
          </w:p>
          <w:p w:rsidR="00DD4717" w:rsidRPr="00DD4717" w:rsidRDefault="00DD4717" w:rsidP="00DD4717">
            <w:pPr>
              <w:spacing w:line="240" w:lineRule="exact"/>
              <w:ind w:leftChars="0" w:left="211" w:hangingChars="100" w:hanging="211"/>
              <w:jc w:val="left"/>
              <w:rPr>
                <w:rFonts w:hint="eastAsia"/>
                <w:spacing w:val="-16"/>
                <w:sz w:val="24"/>
              </w:rPr>
            </w:pPr>
            <w:r w:rsidRPr="00DD4717">
              <w:rPr>
                <w:rFonts w:hint="eastAsia"/>
                <w:spacing w:val="-16"/>
                <w:sz w:val="24"/>
              </w:rPr>
              <w:t>2.設施更新改善：辦理阿公店水庫空庫防淤期清淤策略暨提升水源利用方案規劃檢討</w:t>
            </w:r>
            <w:r w:rsidRPr="00DD4717">
              <w:rPr>
                <w:rFonts w:hAnsi="標楷體" w:hint="eastAsia"/>
                <w:spacing w:val="-16"/>
                <w:sz w:val="24"/>
              </w:rPr>
              <w:t>、</w:t>
            </w:r>
            <w:r w:rsidRPr="00DD4717">
              <w:rPr>
                <w:rFonts w:hint="eastAsia"/>
                <w:spacing w:val="-16"/>
                <w:sz w:val="24"/>
              </w:rPr>
              <w:t>牡丹水庫加高工程可行性規劃等。</w:t>
            </w:r>
          </w:p>
        </w:tc>
      </w:tr>
      <w:tr w:rsidR="00DD4717" w:rsidRPr="00DD4717" w:rsidTr="00FC1F55">
        <w:tc>
          <w:tcPr>
            <w:tcW w:w="709" w:type="dxa"/>
            <w:vMerge/>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r w:rsidRPr="00DD4717">
              <w:rPr>
                <w:rFonts w:hint="eastAsia"/>
                <w:spacing w:val="-20"/>
                <w:sz w:val="24"/>
              </w:rPr>
              <w:t>旗艦擘劃</w:t>
            </w:r>
          </w:p>
        </w:tc>
        <w:tc>
          <w:tcPr>
            <w:tcW w:w="7087" w:type="dxa"/>
            <w:gridSpan w:val="5"/>
            <w:shd w:val="clear" w:color="auto" w:fill="auto"/>
          </w:tcPr>
          <w:p w:rsidR="00DD4717" w:rsidRPr="00DD4717" w:rsidRDefault="00DD4717" w:rsidP="00DD4717">
            <w:pPr>
              <w:spacing w:line="240" w:lineRule="exact"/>
              <w:ind w:leftChars="0" w:left="211" w:hangingChars="100" w:hanging="211"/>
              <w:jc w:val="left"/>
              <w:rPr>
                <w:spacing w:val="-16"/>
                <w:sz w:val="24"/>
              </w:rPr>
            </w:pPr>
            <w:r w:rsidRPr="00DD4717">
              <w:rPr>
                <w:rFonts w:hint="eastAsia"/>
                <w:spacing w:val="-16"/>
                <w:sz w:val="24"/>
              </w:rPr>
              <w:t>1.知識管理：辦理水資源投資分析與年報彙編、全臺水資源管理作業系統及推動再生水發展計畫、推動再生水發展計畫等。</w:t>
            </w:r>
          </w:p>
          <w:p w:rsidR="00DD4717" w:rsidRPr="00DD4717" w:rsidRDefault="00DD4717" w:rsidP="00DD4717">
            <w:pPr>
              <w:spacing w:line="240" w:lineRule="exact"/>
              <w:ind w:leftChars="0" w:left="211" w:hangingChars="100" w:hanging="211"/>
              <w:jc w:val="left"/>
              <w:rPr>
                <w:spacing w:val="-16"/>
                <w:sz w:val="24"/>
              </w:rPr>
            </w:pPr>
            <w:r w:rsidRPr="00DD4717">
              <w:rPr>
                <w:rFonts w:hint="eastAsia"/>
                <w:spacing w:val="-16"/>
                <w:sz w:val="24"/>
              </w:rPr>
              <w:t>2.水利人才培育及水利產業推動：辦理水利國際論壇及交流推動計畫、用水計畫查核及行政作業支援等。</w:t>
            </w:r>
          </w:p>
          <w:p w:rsidR="00DD4717" w:rsidRPr="00DD4717" w:rsidRDefault="00DD4717" w:rsidP="00DD4717">
            <w:pPr>
              <w:spacing w:line="240" w:lineRule="exact"/>
              <w:ind w:leftChars="0" w:left="211" w:hangingChars="100" w:hanging="211"/>
              <w:jc w:val="left"/>
              <w:rPr>
                <w:spacing w:val="-16"/>
                <w:sz w:val="24"/>
              </w:rPr>
            </w:pPr>
            <w:r w:rsidRPr="00DD4717">
              <w:rPr>
                <w:rFonts w:hint="eastAsia"/>
                <w:spacing w:val="-16"/>
                <w:sz w:val="24"/>
              </w:rPr>
              <w:t>3.政策分析及宣導：辦理水利產業發展推動與政策方向研析、中部地區多元化水資源開發推動策略規劃等。</w:t>
            </w:r>
          </w:p>
          <w:p w:rsidR="00DD4717" w:rsidRPr="00DD4717" w:rsidRDefault="00DD4717" w:rsidP="00DD4717">
            <w:pPr>
              <w:spacing w:line="240" w:lineRule="exact"/>
              <w:ind w:leftChars="0" w:left="211" w:hangingChars="100" w:hanging="211"/>
              <w:jc w:val="left"/>
              <w:rPr>
                <w:rFonts w:hint="eastAsia"/>
                <w:spacing w:val="-16"/>
                <w:sz w:val="24"/>
              </w:rPr>
            </w:pPr>
            <w:r w:rsidRPr="00DD4717">
              <w:rPr>
                <w:rFonts w:hint="eastAsia"/>
                <w:spacing w:val="-16"/>
                <w:sz w:val="24"/>
              </w:rPr>
              <w:t>4.環境友善：辦理水利建造物規劃小水力發電技術參考手冊及推動案例等。</w:t>
            </w:r>
          </w:p>
        </w:tc>
      </w:tr>
    </w:tbl>
    <w:p w:rsidR="00DD4717" w:rsidRDefault="00DD4717" w:rsidP="00DD4717">
      <w:pPr>
        <w:spacing w:line="280" w:lineRule="exact"/>
        <w:ind w:leftChars="0" w:left="0" w:firstLineChars="0" w:firstLine="0"/>
        <w:jc w:val="left"/>
        <w:rPr>
          <w:sz w:val="24"/>
        </w:rPr>
      </w:pPr>
      <w:r w:rsidRPr="00DD4717">
        <w:rPr>
          <w:rFonts w:hint="eastAsia"/>
          <w:sz w:val="24"/>
        </w:rPr>
        <w:t>資料來源：水利署提供。</w:t>
      </w:r>
    </w:p>
    <w:p w:rsidR="00DD4717" w:rsidRPr="00DD4717" w:rsidRDefault="00DD4717" w:rsidP="00DD4717">
      <w:pPr>
        <w:spacing w:line="280" w:lineRule="exact"/>
        <w:ind w:leftChars="0" w:left="0" w:firstLineChars="0" w:firstLine="0"/>
        <w:jc w:val="left"/>
        <w:rPr>
          <w:rFonts w:hint="eastAsia"/>
          <w:sz w:val="24"/>
        </w:rPr>
      </w:pPr>
    </w:p>
    <w:p w:rsidR="00DD4717" w:rsidRPr="00DD4717" w:rsidRDefault="00DD4717" w:rsidP="00DD4717">
      <w:pPr>
        <w:ind w:left="849" w:hangingChars="100" w:hanging="283"/>
        <w:rPr>
          <w:rFonts w:hint="eastAsia"/>
          <w:b/>
          <w:color w:val="000000"/>
        </w:rPr>
      </w:pPr>
      <w:r w:rsidRPr="00DD4717">
        <w:rPr>
          <w:rFonts w:hint="eastAsia"/>
          <w:b/>
          <w:color w:val="000000"/>
        </w:rPr>
        <w:t>(二)為利供水穩定及強化供水韌性，允宜衡酌各區域水資源供需情形，妥為規劃水資源開發及管理作業，並滾動檢討成效</w:t>
      </w:r>
    </w:p>
    <w:p w:rsidR="00DD4717" w:rsidRPr="00DD4717" w:rsidRDefault="00DD4717" w:rsidP="00DD4717">
      <w:pPr>
        <w:adjustRightInd w:val="0"/>
        <w:ind w:leftChars="300" w:left="850" w:firstLine="566"/>
      </w:pPr>
      <w:r w:rsidRPr="00DD4717">
        <w:rPr>
          <w:rFonts w:hint="eastAsia"/>
        </w:rPr>
        <w:lastRenderedPageBreak/>
        <w:t>檢視近5年度(109至113年度)全國水資源供需概況(詳表2)，並說明如下：</w:t>
      </w:r>
    </w:p>
    <w:p w:rsidR="00DD4717" w:rsidRPr="00DD4717" w:rsidRDefault="00DD4717" w:rsidP="00DD4717">
      <w:pPr>
        <w:ind w:leftChars="300" w:left="1133" w:hangingChars="100" w:hanging="283"/>
        <w:rPr>
          <w:snapToGrid/>
        </w:rPr>
      </w:pPr>
      <w:r w:rsidRPr="00DD4717">
        <w:rPr>
          <w:rFonts w:hint="eastAsia"/>
          <w:b/>
          <w:bCs/>
          <w:snapToGrid/>
        </w:rPr>
        <w:t>1.河川引水及地下水供水量占整體供水量比高逾七成：</w:t>
      </w:r>
      <w:r w:rsidRPr="00DD4717">
        <w:rPr>
          <w:rFonts w:hint="eastAsia"/>
          <w:snapToGrid/>
        </w:rPr>
        <w:t>除110及112年度因乾旱事件年總供水量分別降至143.46及144.26億立方公尺外，其餘3年度均逾150億立方公尺，113年度總供水量達155.96億立方公尺，並仍以河川引水為主，其次為地下水，近5年度河川引水及地下水供水量占比均高逾七成。</w:t>
      </w:r>
    </w:p>
    <w:p w:rsidR="00DD4717" w:rsidRPr="00DD4717" w:rsidRDefault="00DD4717" w:rsidP="00DD4717">
      <w:pPr>
        <w:ind w:leftChars="300" w:left="1133" w:hangingChars="100" w:hanging="283"/>
        <w:rPr>
          <w:snapToGrid/>
        </w:rPr>
      </w:pPr>
      <w:r w:rsidRPr="00DD4717">
        <w:rPr>
          <w:rFonts w:hint="eastAsia"/>
          <w:b/>
          <w:bCs/>
          <w:snapToGrid/>
        </w:rPr>
        <w:t>2.再生水供水量占工業用水量比仍低，亟待改善：</w:t>
      </w:r>
      <w:r w:rsidRPr="00DD4717">
        <w:rPr>
          <w:rFonts w:hint="eastAsia"/>
          <w:snapToGrid/>
        </w:rPr>
        <w:t>113年度起供水來源新增再生水，供水量達0.52億立方公尺，主要用於工業用水，惟其供水量僅占工業用水量(15.67億立方公尺)比率為3.32%，容有改善空間。</w:t>
      </w:r>
    </w:p>
    <w:p w:rsidR="00DD4717" w:rsidRPr="00DD4717" w:rsidRDefault="00DD4717" w:rsidP="00DD4717">
      <w:pPr>
        <w:ind w:leftChars="300" w:left="1133" w:hangingChars="100" w:hanging="283"/>
        <w:rPr>
          <w:snapToGrid/>
        </w:rPr>
      </w:pPr>
      <w:r w:rsidRPr="00DD4717">
        <w:rPr>
          <w:rFonts w:hint="eastAsia"/>
          <w:b/>
          <w:bCs/>
          <w:snapToGrid/>
        </w:rPr>
        <w:t>3.農業用水占比約七成：</w:t>
      </w:r>
      <w:r w:rsidRPr="00DD4717">
        <w:rPr>
          <w:rFonts w:hint="eastAsia"/>
          <w:snapToGrid/>
        </w:rPr>
        <w:t>比較近5年度各標的用水情形，農業用水占比為最高，除110及112年度外其餘年度均逾100億立方公尺，占年總用水量比約七成，至工業用水占比約一成，生活用水則自110年起占比均高逾二成。</w:t>
      </w:r>
    </w:p>
    <w:p w:rsidR="00DD4717" w:rsidRPr="00DD4717" w:rsidRDefault="00DD4717" w:rsidP="00DD4717">
      <w:pPr>
        <w:adjustRightInd w:val="0"/>
        <w:ind w:leftChars="300" w:left="850" w:firstLine="566"/>
        <w:rPr>
          <w:snapToGrid/>
        </w:rPr>
      </w:pPr>
      <w:r w:rsidRPr="00DD4717">
        <w:rPr>
          <w:rFonts w:hint="eastAsia"/>
          <w:snapToGrid/>
        </w:rPr>
        <w:t>鑑於國內產業持續發展及人口趨於集中都會區等，工業及生活用水需求短期恐難下降，且依據</w:t>
      </w:r>
      <w:r w:rsidRPr="00DD4717">
        <w:rPr>
          <w:rFonts w:hint="eastAsia"/>
        </w:rPr>
        <w:t>行政院110年8月核定之「臺灣各區水資源經理基本計畫」，推估各區域125年用水需求與108年供水能力相比，整體供水缺口達每日67.59萬噸，除東部區域及離島尚無供需缺口，其餘北、中及南部區域均有缺水之虞，又近年氣候變遷加劇，降雨不均致澇旱頻仍，水資源規劃及分配更顯重要，</w:t>
      </w:r>
      <w:r w:rsidRPr="00DD4717">
        <w:rPr>
          <w:rFonts w:hint="eastAsia"/>
          <w:snapToGrid/>
        </w:rPr>
        <w:t>為穩定各項需求之供水，允宜滾動檢討各地區水資源供需情形，並因地制宜規劃研謀各項水資源管理策略</w:t>
      </w:r>
      <w:r w:rsidRPr="00DD4717">
        <w:rPr>
          <w:rFonts w:hint="eastAsia"/>
        </w:rPr>
        <w:t>，俾利供水穩定及韌性</w:t>
      </w:r>
      <w:r w:rsidRPr="00DD4717">
        <w:rPr>
          <w:rFonts w:hint="eastAsia"/>
          <w:snapToGrid/>
        </w:rPr>
        <w:t>。</w:t>
      </w:r>
    </w:p>
    <w:p w:rsidR="00DD4717" w:rsidRPr="00DD4717" w:rsidRDefault="00DD4717" w:rsidP="00DD4717">
      <w:pPr>
        <w:spacing w:line="400" w:lineRule="exact"/>
        <w:ind w:leftChars="0" w:left="0" w:firstLineChars="0" w:firstLine="0"/>
        <w:rPr>
          <w:sz w:val="24"/>
        </w:rPr>
      </w:pPr>
      <w:r w:rsidRPr="00DD4717">
        <w:rPr>
          <w:rFonts w:hint="eastAsia"/>
          <w:b/>
          <w:bCs/>
          <w:szCs w:val="32"/>
        </w:rPr>
        <w:t xml:space="preserve">表2  109至113年度全國水資源供需概況表      </w:t>
      </w:r>
      <w:r w:rsidRPr="00DD4717">
        <w:rPr>
          <w:rFonts w:hint="eastAsia"/>
          <w:sz w:val="24"/>
        </w:rPr>
        <w:t>單位：億立方公尺；%</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903"/>
        <w:gridCol w:w="701"/>
        <w:gridCol w:w="701"/>
        <w:gridCol w:w="701"/>
        <w:gridCol w:w="702"/>
        <w:gridCol w:w="701"/>
        <w:gridCol w:w="701"/>
        <w:gridCol w:w="702"/>
        <w:gridCol w:w="701"/>
        <w:gridCol w:w="701"/>
        <w:gridCol w:w="702"/>
      </w:tblGrid>
      <w:tr w:rsidR="00DD4717" w:rsidRPr="00DD4717" w:rsidTr="00FC1F55">
        <w:trPr>
          <w:trHeight w:val="20"/>
          <w:tblHeader/>
        </w:trPr>
        <w:tc>
          <w:tcPr>
            <w:tcW w:w="1470" w:type="dxa"/>
            <w:gridSpan w:val="2"/>
            <w:vMerge w:val="restart"/>
            <w:shd w:val="clear" w:color="auto" w:fill="auto"/>
            <w:vAlign w:val="center"/>
            <w:hideMark/>
          </w:tcPr>
          <w:p w:rsidR="00DD4717" w:rsidRPr="00DD4717" w:rsidRDefault="00DD4717" w:rsidP="00DD4717">
            <w:pPr>
              <w:spacing w:line="280" w:lineRule="exact"/>
              <w:ind w:leftChars="0" w:left="0" w:firstLineChars="0" w:firstLine="0"/>
              <w:jc w:val="center"/>
              <w:rPr>
                <w:b/>
                <w:spacing w:val="-16"/>
                <w:sz w:val="24"/>
              </w:rPr>
            </w:pPr>
            <w:r w:rsidRPr="00DD4717">
              <w:rPr>
                <w:rFonts w:hint="eastAsia"/>
                <w:b/>
                <w:spacing w:val="-16"/>
                <w:sz w:val="24"/>
              </w:rPr>
              <w:t>年度</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109</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110</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111</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112</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113</w:t>
            </w:r>
          </w:p>
        </w:tc>
      </w:tr>
      <w:tr w:rsidR="00DD4717" w:rsidRPr="00DD4717" w:rsidTr="00FC1F55">
        <w:trPr>
          <w:trHeight w:val="20"/>
          <w:tblHeader/>
        </w:trPr>
        <w:tc>
          <w:tcPr>
            <w:tcW w:w="1470" w:type="dxa"/>
            <w:gridSpan w:val="2"/>
            <w:vMerge/>
            <w:vAlign w:val="center"/>
            <w:hideMark/>
          </w:tcPr>
          <w:p w:rsidR="00DD4717" w:rsidRPr="00DD4717" w:rsidRDefault="00DD4717" w:rsidP="00DD4717">
            <w:pPr>
              <w:spacing w:line="280" w:lineRule="exact"/>
              <w:ind w:leftChars="0" w:left="0" w:firstLineChars="0" w:firstLine="0"/>
              <w:jc w:val="center"/>
              <w:rPr>
                <w:b/>
                <w:spacing w:val="-16"/>
                <w:sz w:val="24"/>
              </w:rPr>
            </w:pP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數量</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占比</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數量</w:t>
            </w:r>
          </w:p>
        </w:tc>
        <w:tc>
          <w:tcPr>
            <w:tcW w:w="702"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占比</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數量</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占比</w:t>
            </w:r>
          </w:p>
        </w:tc>
        <w:tc>
          <w:tcPr>
            <w:tcW w:w="702"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數量</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占比</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數量</w:t>
            </w:r>
          </w:p>
        </w:tc>
        <w:tc>
          <w:tcPr>
            <w:tcW w:w="702"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占比</w:t>
            </w:r>
          </w:p>
        </w:tc>
      </w:tr>
      <w:tr w:rsidR="00DD4717" w:rsidRPr="00DD4717" w:rsidTr="00FC1F55">
        <w:trPr>
          <w:trHeight w:val="20"/>
        </w:trPr>
        <w:tc>
          <w:tcPr>
            <w:tcW w:w="567" w:type="dxa"/>
            <w:vMerge w:val="restart"/>
            <w:shd w:val="clear" w:color="auto" w:fill="auto"/>
            <w:vAlign w:val="center"/>
            <w:hideMark/>
          </w:tcPr>
          <w:p w:rsidR="00DD4717" w:rsidRPr="00DD4717" w:rsidRDefault="00DD4717" w:rsidP="00DD4717">
            <w:pPr>
              <w:spacing w:line="280" w:lineRule="exact"/>
              <w:ind w:leftChars="0" w:left="0" w:firstLineChars="0" w:firstLine="0"/>
              <w:jc w:val="center"/>
              <w:rPr>
                <w:rFonts w:hint="eastAsia"/>
                <w:spacing w:val="-16"/>
                <w:sz w:val="24"/>
              </w:rPr>
            </w:pPr>
            <w:r w:rsidRPr="00DD4717">
              <w:rPr>
                <w:rFonts w:hint="eastAsia"/>
                <w:spacing w:val="-16"/>
                <w:sz w:val="24"/>
              </w:rPr>
              <w:t>年總供水量</w:t>
            </w: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地面水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113.06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67.80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92.76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64.66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111.59</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70.30</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95.25</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66.03</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108.27</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69.42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243" w:hangingChars="100" w:hanging="243"/>
              <w:jc w:val="left"/>
              <w:rPr>
                <w:rFonts w:hint="eastAsia"/>
                <w:sz w:val="24"/>
              </w:rPr>
            </w:pPr>
            <w:r w:rsidRPr="00DD4717">
              <w:rPr>
                <w:rFonts w:hint="eastAsia"/>
                <w:sz w:val="24"/>
              </w:rPr>
              <w:t>1.河川引水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71.87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43.10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56.08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39.09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71.72</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45.18</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58.49</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40.55</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66.36</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42.55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243" w:hangingChars="100" w:hanging="243"/>
              <w:jc w:val="left"/>
              <w:rPr>
                <w:rFonts w:hint="eastAsia"/>
                <w:sz w:val="24"/>
              </w:rPr>
            </w:pPr>
            <w:r w:rsidRPr="00DD4717">
              <w:rPr>
                <w:rFonts w:hint="eastAsia"/>
                <w:sz w:val="24"/>
              </w:rPr>
              <w:t>2.水庫供水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41.19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24.70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36.68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25.57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39.87</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25.12</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36.76</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25.48</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41.91</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26.87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地下水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53.55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32.11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50.53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35.22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46.97</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29.59</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48.85</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33.86</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46.99</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30.13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其他</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0.15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0.09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0.17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0.12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0.17</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0.11</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0.16</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0.11</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0.18</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0.</w:t>
            </w:r>
            <w:r w:rsidRPr="00DD4717">
              <w:rPr>
                <w:rFonts w:hint="eastAsia"/>
                <w:sz w:val="24"/>
              </w:rPr>
              <w:t>12</w:t>
            </w:r>
            <w:r w:rsidRPr="00DD4717">
              <w:rPr>
                <w:sz w:val="24"/>
              </w:rPr>
              <w:t xml:space="preserve"> </w:t>
            </w:r>
          </w:p>
        </w:tc>
      </w:tr>
      <w:tr w:rsidR="00DD4717" w:rsidRPr="00DD4717" w:rsidTr="00FC1F55">
        <w:trPr>
          <w:trHeight w:val="20"/>
        </w:trPr>
        <w:tc>
          <w:tcPr>
            <w:tcW w:w="567" w:type="dxa"/>
            <w:vMerge/>
            <w:vAlign w:val="center"/>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再生水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0.52</w:t>
            </w:r>
          </w:p>
        </w:tc>
        <w:tc>
          <w:tcPr>
            <w:tcW w:w="702"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rFonts w:hint="eastAsia"/>
                <w:sz w:val="24"/>
              </w:rPr>
              <w:t>0.33</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合計</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166.76</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 xml:space="preserve">143.46 </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158.73</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144.26</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155.96</w:t>
            </w:r>
          </w:p>
        </w:tc>
      </w:tr>
      <w:tr w:rsidR="00DD4717" w:rsidRPr="00DD4717" w:rsidTr="00FC1F55">
        <w:trPr>
          <w:trHeight w:val="20"/>
        </w:trPr>
        <w:tc>
          <w:tcPr>
            <w:tcW w:w="567" w:type="dxa"/>
            <w:vMerge w:val="restart"/>
            <w:shd w:val="clear" w:color="auto" w:fill="auto"/>
            <w:vAlign w:val="center"/>
            <w:hideMark/>
          </w:tcPr>
          <w:p w:rsidR="00DD4717" w:rsidRPr="00DD4717" w:rsidRDefault="00DD4717" w:rsidP="00DD4717">
            <w:pPr>
              <w:spacing w:line="280" w:lineRule="exact"/>
              <w:ind w:leftChars="0" w:left="0" w:firstLineChars="0" w:firstLine="0"/>
              <w:jc w:val="center"/>
              <w:rPr>
                <w:rFonts w:hint="eastAsia"/>
                <w:spacing w:val="-16"/>
                <w:sz w:val="24"/>
              </w:rPr>
            </w:pPr>
            <w:r w:rsidRPr="00DD4717">
              <w:rPr>
                <w:rFonts w:hint="eastAsia"/>
                <w:spacing w:val="-16"/>
                <w:sz w:val="24"/>
              </w:rPr>
              <w:t>年總用水量</w:t>
            </w: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農業用水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115.93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69.52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97.57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68.01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110.19</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69.42</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98.46</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68.25</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108.51</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69.5</w:t>
            </w:r>
            <w:r w:rsidRPr="00DD4717">
              <w:rPr>
                <w:rFonts w:hint="eastAsia"/>
                <w:sz w:val="24"/>
              </w:rPr>
              <w:t>7</w:t>
            </w:r>
            <w:r w:rsidRPr="00DD4717">
              <w:rPr>
                <w:sz w:val="24"/>
              </w:rPr>
              <w:t xml:space="preserve">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left"/>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生活用水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32.80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19.67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31.63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22.05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31.97</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20.14</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31.30</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21.70</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31.78</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20.38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left"/>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工業用水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18.03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10.81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14.26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9.94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16.57</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10.44</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14.50</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10.05</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15.67</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10.05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left"/>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合計</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 xml:space="preserve">166.76 </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 xml:space="preserve">143.46 </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158.73</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144.26</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155.96</w:t>
            </w:r>
          </w:p>
        </w:tc>
      </w:tr>
    </w:tbl>
    <w:p w:rsidR="00DD4717" w:rsidRPr="00DD4717" w:rsidRDefault="00DD4717" w:rsidP="00DD4717">
      <w:pPr>
        <w:spacing w:line="280" w:lineRule="exact"/>
        <w:ind w:leftChars="0" w:left="1216" w:hangingChars="500" w:hanging="1216"/>
        <w:rPr>
          <w:color w:val="000000"/>
          <w:sz w:val="24"/>
        </w:rPr>
      </w:pPr>
      <w:r w:rsidRPr="00DD4717">
        <w:rPr>
          <w:rFonts w:hint="eastAsia"/>
          <w:color w:val="000000"/>
          <w:sz w:val="24"/>
        </w:rPr>
        <w:t>說    明</w:t>
      </w:r>
      <w:r w:rsidRPr="00DD4717">
        <w:rPr>
          <w:rFonts w:hAnsi="標楷體" w:hint="eastAsia"/>
          <w:color w:val="000000"/>
          <w:sz w:val="24"/>
        </w:rPr>
        <w:t>：「年總供水量-其他」含海淡水及境外引水；另「年總供水量-再生水」自113年度首次納入供水來源；各標的之用水量除需水量外並含輸水損失，另除地下水用水量外均不含非灌區農業用水。</w:t>
      </w:r>
    </w:p>
    <w:p w:rsidR="00DD4717" w:rsidRPr="00DD4717" w:rsidRDefault="00DD4717" w:rsidP="00DD4717">
      <w:pPr>
        <w:spacing w:line="280" w:lineRule="exact"/>
        <w:ind w:leftChars="0" w:left="1180" w:hangingChars="485" w:hanging="1180"/>
        <w:rPr>
          <w:rFonts w:hint="eastAsia"/>
          <w:sz w:val="24"/>
        </w:rPr>
      </w:pPr>
      <w:r w:rsidRPr="00DD4717">
        <w:rPr>
          <w:rFonts w:hint="eastAsia"/>
          <w:sz w:val="24"/>
        </w:rPr>
        <w:t>資料來源：水利署網站/公務統計報表109至113年度水資源供需統計表。</w:t>
      </w:r>
    </w:p>
    <w:p w:rsidR="00DD4717" w:rsidRPr="00DD4717" w:rsidRDefault="00DD4717" w:rsidP="00DD4717">
      <w:pPr>
        <w:ind w:left="566" w:firstLine="566"/>
        <w:rPr>
          <w:rFonts w:hAnsi="標楷體"/>
          <w:color w:val="000000"/>
        </w:rPr>
      </w:pPr>
      <w:r w:rsidRPr="00DD4717">
        <w:rPr>
          <w:rFonts w:hint="eastAsia"/>
          <w:color w:val="000000"/>
        </w:rPr>
        <w:t>綜上，水資源作業基金自109年起辦理「重大水資源規劃作業計畫」，109至113年度累計編列預算數為7億9,266萬5千元，迄113年底累計執行數為5億2,698萬9千元，累計預算執行率僅達66.48%，雖已陸續推動再生水及伏流水等相關水資源開發及管理計畫，惟近年氣候變遷加劇，澇旱頻仍，又社會經濟發展迅速致生活用水及工業用水未明顯下降，且按水利署推估125年度北、中及南部地區用水供需仍恐有缺口，允宜衡酌各地區水資源供需情形，因地制宜滾動檢討水資源規劃作業，俾維供水穩定及韌性</w:t>
      </w:r>
      <w:r w:rsidRPr="00DD4717">
        <w:rPr>
          <w:rFonts w:hAnsi="標楷體" w:hint="eastAsia"/>
          <w:color w:val="000000"/>
        </w:rPr>
        <w:t>。</w:t>
      </w:r>
    </w:p>
    <w:bookmarkEnd w:id="28"/>
    <w:bookmarkEnd w:id="29"/>
    <w:bookmarkEnd w:id="30"/>
    <w:bookmarkEnd w:id="31"/>
    <w:bookmarkEnd w:id="32"/>
    <w:bookmarkEnd w:id="33"/>
    <w:bookmarkEnd w:id="25"/>
    <w:bookmarkEnd w:id="26"/>
    <w:bookmarkEnd w:id="27"/>
    <w:bookmarkEnd w:id="15"/>
    <w:bookmarkEnd w:id="16"/>
    <w:bookmarkEnd w:id="17"/>
    <w:bookmarkEnd w:id="18"/>
    <w:bookmarkEnd w:id="19"/>
    <w:bookmarkEnd w:id="20"/>
    <w:bookmarkEnd w:id="21"/>
    <w:bookmarkEnd w:id="22"/>
    <w:bookmarkEnd w:id="23"/>
    <w:bookmarkEnd w:id="24"/>
    <w:bookmarkEnd w:id="4"/>
    <w:bookmarkEnd w:id="5"/>
    <w:bookmarkEnd w:id="6"/>
    <w:bookmarkEnd w:id="7"/>
    <w:bookmarkEnd w:id="8"/>
    <w:bookmarkEnd w:id="9"/>
    <w:bookmarkEnd w:id="10"/>
    <w:bookmarkEnd w:id="11"/>
    <w:bookmarkEnd w:id="12"/>
    <w:bookmarkEnd w:id="13"/>
    <w:bookmarkEnd w:id="14"/>
    <w:sectPr w:rsidR="00DD4717" w:rsidRPr="00DD4717"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55" w:rsidRDefault="00FC1F55" w:rsidP="00E96594">
      <w:pPr>
        <w:spacing w:line="240" w:lineRule="auto"/>
        <w:ind w:left="560" w:firstLine="560"/>
      </w:pPr>
      <w:r>
        <w:separator/>
      </w:r>
    </w:p>
  </w:endnote>
  <w:endnote w:type="continuationSeparator" w:id="0">
    <w:p w:rsidR="00FC1F55" w:rsidRDefault="00FC1F55"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2"/>
      <w:ind w:leftChars="0" w:left="566" w:firstLineChars="0" w:firstLine="406"/>
      <w:jc w:val="center"/>
    </w:pPr>
    <w:r>
      <w:fldChar w:fldCharType="begin"/>
    </w:r>
    <w:r>
      <w:instrText>PAGE   \* MERGEFORMAT</w:instrText>
    </w:r>
    <w:r>
      <w:fldChar w:fldCharType="separate"/>
    </w:r>
    <w:r w:rsidR="006A3768" w:rsidRPr="006A3768">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55" w:rsidRDefault="00FC1F55" w:rsidP="00DF65DC">
      <w:pPr>
        <w:spacing w:line="240" w:lineRule="auto"/>
        <w:ind w:left="560" w:firstLine="560"/>
      </w:pPr>
      <w:r>
        <w:separator/>
      </w:r>
    </w:p>
  </w:footnote>
  <w:footnote w:type="continuationSeparator" w:id="0">
    <w:p w:rsidR="00FC1F55" w:rsidRDefault="00FC1F55" w:rsidP="00E96594">
      <w:pPr>
        <w:spacing w:line="240" w:lineRule="auto"/>
        <w:ind w:left="560" w:firstLine="560"/>
      </w:pPr>
      <w:r>
        <w:continuationSeparator/>
      </w:r>
    </w:p>
  </w:footnote>
  <w:footnote w:id="1">
    <w:p w:rsidR="00DD4717" w:rsidRDefault="00DD4717" w:rsidP="00DD4717">
      <w:pPr>
        <w:pStyle w:val="142"/>
        <w:ind w:left="83" w:hangingChars="34" w:hanging="83"/>
        <w:jc w:val="both"/>
        <w:rPr>
          <w:rFonts w:hint="eastAsia"/>
        </w:rPr>
      </w:pPr>
      <w:r>
        <w:rPr>
          <w:rStyle w:val="af"/>
        </w:rPr>
        <w:footnoteRef/>
      </w:r>
      <w:r w:rsidRPr="005A16BB">
        <w:rPr>
          <w:rFonts w:hint="eastAsia"/>
        </w:rPr>
        <w:t>詢據水利署說明略以，「重大水資源規劃作業計畫」截至113年底累計執行數占累計已編列預算數僅</w:t>
      </w:r>
      <w:r>
        <w:rPr>
          <w:rFonts w:hint="eastAsia"/>
        </w:rPr>
        <w:t>66.48</w:t>
      </w:r>
      <w:r w:rsidRPr="005A16BB">
        <w:rPr>
          <w:rFonts w:hint="eastAsia"/>
        </w:rPr>
        <w:t>%，主要係因水資源作業基金近年收支多呈短絀且資金發生短缺，為撙節經費，持續滾動檢討委託研究案辦理優先順序及所需經費</w:t>
      </w:r>
      <w:r>
        <w:rPr>
          <w:rFonts w:hint="eastAsia"/>
        </w:rPr>
        <w:t>，故109至112年度決算數均較預算數減少</w:t>
      </w:r>
      <w:r w:rsidRPr="005A16B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6360549"/>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6"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2"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3"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5" w15:restartNumberingAfterBreak="0">
    <w:nsid w:val="351B097F"/>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9"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1"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411756"/>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4"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7"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1" w15:restartNumberingAfterBreak="0">
    <w:nsid w:val="7BDB4C0B"/>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5"/>
  </w:num>
  <w:num w:numId="3">
    <w:abstractNumId w:val="0"/>
  </w:num>
  <w:num w:numId="4">
    <w:abstractNumId w:val="20"/>
  </w:num>
  <w:num w:numId="5">
    <w:abstractNumId w:val="4"/>
  </w:num>
  <w:num w:numId="6">
    <w:abstractNumId w:val="26"/>
  </w:num>
  <w:num w:numId="7">
    <w:abstractNumId w:val="30"/>
  </w:num>
  <w:num w:numId="8">
    <w:abstractNumId w:val="16"/>
  </w:num>
  <w:num w:numId="9">
    <w:abstractNumId w:val="2"/>
  </w:num>
  <w:num w:numId="10">
    <w:abstractNumId w:val="18"/>
  </w:num>
  <w:num w:numId="11">
    <w:abstractNumId w:val="11"/>
  </w:num>
  <w:num w:numId="12">
    <w:abstractNumId w:val="17"/>
  </w:num>
  <w:num w:numId="13">
    <w:abstractNumId w:val="21"/>
  </w:num>
  <w:num w:numId="14">
    <w:abstractNumId w:val="14"/>
  </w:num>
  <w:num w:numId="15">
    <w:abstractNumId w:val="23"/>
  </w:num>
  <w:num w:numId="16">
    <w:abstractNumId w:val="6"/>
  </w:num>
  <w:num w:numId="17">
    <w:abstractNumId w:val="32"/>
  </w:num>
  <w:num w:numId="18">
    <w:abstractNumId w:val="19"/>
  </w:num>
  <w:num w:numId="19">
    <w:abstractNumId w:val="29"/>
  </w:num>
  <w:num w:numId="20">
    <w:abstractNumId w:val="9"/>
  </w:num>
  <w:num w:numId="21">
    <w:abstractNumId w:val="7"/>
  </w:num>
  <w:num w:numId="22">
    <w:abstractNumId w:val="8"/>
  </w:num>
  <w:num w:numId="23">
    <w:abstractNumId w:val="27"/>
  </w:num>
  <w:num w:numId="24">
    <w:abstractNumId w:val="13"/>
  </w:num>
  <w:num w:numId="25">
    <w:abstractNumId w:val="25"/>
  </w:num>
  <w:num w:numId="26">
    <w:abstractNumId w:val="10"/>
  </w:num>
  <w:num w:numId="27">
    <w:abstractNumId w:val="28"/>
  </w:num>
  <w:num w:numId="28">
    <w:abstractNumId w:val="3"/>
  </w:num>
  <w:num w:numId="29">
    <w:abstractNumId w:val="24"/>
  </w:num>
  <w:num w:numId="30">
    <w:abstractNumId w:val="31"/>
  </w:num>
  <w:num w:numId="31">
    <w:abstractNumId w:val="1"/>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37C5B"/>
    <w:rsid w:val="000412E4"/>
    <w:rsid w:val="00045706"/>
    <w:rsid w:val="0004713B"/>
    <w:rsid w:val="0004759D"/>
    <w:rsid w:val="00052457"/>
    <w:rsid w:val="00052B47"/>
    <w:rsid w:val="00063C60"/>
    <w:rsid w:val="00064D8E"/>
    <w:rsid w:val="0006521B"/>
    <w:rsid w:val="00066A34"/>
    <w:rsid w:val="00072BF3"/>
    <w:rsid w:val="000741B7"/>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0C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02D3"/>
    <w:rsid w:val="00141C2E"/>
    <w:rsid w:val="00143177"/>
    <w:rsid w:val="00146BA6"/>
    <w:rsid w:val="00153232"/>
    <w:rsid w:val="00156ADD"/>
    <w:rsid w:val="00157060"/>
    <w:rsid w:val="00165A48"/>
    <w:rsid w:val="001675C8"/>
    <w:rsid w:val="001676C1"/>
    <w:rsid w:val="0017210C"/>
    <w:rsid w:val="00177D5E"/>
    <w:rsid w:val="001810EF"/>
    <w:rsid w:val="00182A47"/>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8DA"/>
    <w:rsid w:val="001C1FDD"/>
    <w:rsid w:val="001C4EC8"/>
    <w:rsid w:val="001C586C"/>
    <w:rsid w:val="001D314D"/>
    <w:rsid w:val="001D316C"/>
    <w:rsid w:val="001D3239"/>
    <w:rsid w:val="001D4BCE"/>
    <w:rsid w:val="001D521F"/>
    <w:rsid w:val="001E0311"/>
    <w:rsid w:val="001E2A7F"/>
    <w:rsid w:val="001E43C2"/>
    <w:rsid w:val="001E76A4"/>
    <w:rsid w:val="001F5579"/>
    <w:rsid w:val="001F594E"/>
    <w:rsid w:val="001F65F1"/>
    <w:rsid w:val="002033D0"/>
    <w:rsid w:val="00206664"/>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D41"/>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1FAE"/>
    <w:rsid w:val="003925E2"/>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64BF4"/>
    <w:rsid w:val="004712D0"/>
    <w:rsid w:val="004753F6"/>
    <w:rsid w:val="00476D57"/>
    <w:rsid w:val="00476FAF"/>
    <w:rsid w:val="00477657"/>
    <w:rsid w:val="00477C6C"/>
    <w:rsid w:val="00480276"/>
    <w:rsid w:val="0048287E"/>
    <w:rsid w:val="0048560B"/>
    <w:rsid w:val="00485FC1"/>
    <w:rsid w:val="00487CEA"/>
    <w:rsid w:val="0049537E"/>
    <w:rsid w:val="00495F0A"/>
    <w:rsid w:val="0049684C"/>
    <w:rsid w:val="004A03F5"/>
    <w:rsid w:val="004A26BE"/>
    <w:rsid w:val="004A2A71"/>
    <w:rsid w:val="004A3A40"/>
    <w:rsid w:val="004A6718"/>
    <w:rsid w:val="004A7E05"/>
    <w:rsid w:val="004C64FF"/>
    <w:rsid w:val="004C6ECA"/>
    <w:rsid w:val="004C72DF"/>
    <w:rsid w:val="004D02FF"/>
    <w:rsid w:val="004D15BC"/>
    <w:rsid w:val="004D282F"/>
    <w:rsid w:val="004D2A85"/>
    <w:rsid w:val="004D3838"/>
    <w:rsid w:val="004D3F4E"/>
    <w:rsid w:val="004D4296"/>
    <w:rsid w:val="004E104C"/>
    <w:rsid w:val="004E1161"/>
    <w:rsid w:val="004E1167"/>
    <w:rsid w:val="004E2C9F"/>
    <w:rsid w:val="004E3984"/>
    <w:rsid w:val="004E6EFF"/>
    <w:rsid w:val="004F000F"/>
    <w:rsid w:val="004F0CEC"/>
    <w:rsid w:val="004F10BD"/>
    <w:rsid w:val="004F1F21"/>
    <w:rsid w:val="004F3778"/>
    <w:rsid w:val="004F4752"/>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3DA3"/>
    <w:rsid w:val="0056606A"/>
    <w:rsid w:val="00566477"/>
    <w:rsid w:val="00567A62"/>
    <w:rsid w:val="005722D7"/>
    <w:rsid w:val="005729E4"/>
    <w:rsid w:val="00574DDC"/>
    <w:rsid w:val="00577EED"/>
    <w:rsid w:val="00577F2F"/>
    <w:rsid w:val="00581A15"/>
    <w:rsid w:val="00583219"/>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4DE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77B31"/>
    <w:rsid w:val="00681BFC"/>
    <w:rsid w:val="00684321"/>
    <w:rsid w:val="00686A5F"/>
    <w:rsid w:val="00686BA1"/>
    <w:rsid w:val="0069038F"/>
    <w:rsid w:val="00690E10"/>
    <w:rsid w:val="0069228B"/>
    <w:rsid w:val="00694AEC"/>
    <w:rsid w:val="006A371D"/>
    <w:rsid w:val="006A3768"/>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169FD"/>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69EA"/>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ACE"/>
    <w:rsid w:val="008D3E36"/>
    <w:rsid w:val="008D41C8"/>
    <w:rsid w:val="008E1A1D"/>
    <w:rsid w:val="008E2268"/>
    <w:rsid w:val="008E2329"/>
    <w:rsid w:val="008E2A3E"/>
    <w:rsid w:val="008E464F"/>
    <w:rsid w:val="008E5033"/>
    <w:rsid w:val="008F13C1"/>
    <w:rsid w:val="008F3525"/>
    <w:rsid w:val="008F51AD"/>
    <w:rsid w:val="00900811"/>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20B"/>
    <w:rsid w:val="00967752"/>
    <w:rsid w:val="00974308"/>
    <w:rsid w:val="0098695E"/>
    <w:rsid w:val="00995EAF"/>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4A70"/>
    <w:rsid w:val="00A152F6"/>
    <w:rsid w:val="00A22972"/>
    <w:rsid w:val="00A26498"/>
    <w:rsid w:val="00A26DFB"/>
    <w:rsid w:val="00A30A57"/>
    <w:rsid w:val="00A318C1"/>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B7229"/>
    <w:rsid w:val="00AB7D74"/>
    <w:rsid w:val="00AC1745"/>
    <w:rsid w:val="00AC2367"/>
    <w:rsid w:val="00AC27FB"/>
    <w:rsid w:val="00AC418E"/>
    <w:rsid w:val="00AC56F0"/>
    <w:rsid w:val="00AD0677"/>
    <w:rsid w:val="00AD1115"/>
    <w:rsid w:val="00AD14A2"/>
    <w:rsid w:val="00AD1D2C"/>
    <w:rsid w:val="00AD1D93"/>
    <w:rsid w:val="00AD21F1"/>
    <w:rsid w:val="00AE30BF"/>
    <w:rsid w:val="00AE3587"/>
    <w:rsid w:val="00AE39B3"/>
    <w:rsid w:val="00AE4897"/>
    <w:rsid w:val="00AF0FE0"/>
    <w:rsid w:val="00AF39D3"/>
    <w:rsid w:val="00AF5D1B"/>
    <w:rsid w:val="00AF63B9"/>
    <w:rsid w:val="00B00B86"/>
    <w:rsid w:val="00B04326"/>
    <w:rsid w:val="00B07957"/>
    <w:rsid w:val="00B107A8"/>
    <w:rsid w:val="00B10FB5"/>
    <w:rsid w:val="00B121DA"/>
    <w:rsid w:val="00B1294C"/>
    <w:rsid w:val="00B15784"/>
    <w:rsid w:val="00B174BA"/>
    <w:rsid w:val="00B20EE2"/>
    <w:rsid w:val="00B223F5"/>
    <w:rsid w:val="00B22C57"/>
    <w:rsid w:val="00B25A07"/>
    <w:rsid w:val="00B3185C"/>
    <w:rsid w:val="00B44E30"/>
    <w:rsid w:val="00B45807"/>
    <w:rsid w:val="00B551F7"/>
    <w:rsid w:val="00B578CA"/>
    <w:rsid w:val="00B57FCD"/>
    <w:rsid w:val="00B656F1"/>
    <w:rsid w:val="00B66F73"/>
    <w:rsid w:val="00B71023"/>
    <w:rsid w:val="00B74742"/>
    <w:rsid w:val="00B752E3"/>
    <w:rsid w:val="00B76620"/>
    <w:rsid w:val="00B80E5A"/>
    <w:rsid w:val="00B849E7"/>
    <w:rsid w:val="00B87F91"/>
    <w:rsid w:val="00B905FF"/>
    <w:rsid w:val="00B91589"/>
    <w:rsid w:val="00B939C6"/>
    <w:rsid w:val="00B93E88"/>
    <w:rsid w:val="00B9500F"/>
    <w:rsid w:val="00B952D9"/>
    <w:rsid w:val="00B95B80"/>
    <w:rsid w:val="00B95F94"/>
    <w:rsid w:val="00BA13D7"/>
    <w:rsid w:val="00BA3166"/>
    <w:rsid w:val="00BA37D6"/>
    <w:rsid w:val="00BA75F1"/>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1E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47AFD"/>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3816"/>
    <w:rsid w:val="00CE4B94"/>
    <w:rsid w:val="00CE67E5"/>
    <w:rsid w:val="00CF12FE"/>
    <w:rsid w:val="00CF3D84"/>
    <w:rsid w:val="00CF5A75"/>
    <w:rsid w:val="00CF71E1"/>
    <w:rsid w:val="00CF7980"/>
    <w:rsid w:val="00D0060B"/>
    <w:rsid w:val="00D01B52"/>
    <w:rsid w:val="00D03A77"/>
    <w:rsid w:val="00D1036E"/>
    <w:rsid w:val="00D10744"/>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4717"/>
    <w:rsid w:val="00DD5173"/>
    <w:rsid w:val="00DE3059"/>
    <w:rsid w:val="00DE43C4"/>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17AE"/>
    <w:rsid w:val="00E7312E"/>
    <w:rsid w:val="00E73B6F"/>
    <w:rsid w:val="00E73E6F"/>
    <w:rsid w:val="00E742D7"/>
    <w:rsid w:val="00E742FD"/>
    <w:rsid w:val="00E74513"/>
    <w:rsid w:val="00E77B8C"/>
    <w:rsid w:val="00E82C93"/>
    <w:rsid w:val="00E849D7"/>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16E20"/>
    <w:rsid w:val="00F178FB"/>
    <w:rsid w:val="00F21271"/>
    <w:rsid w:val="00F215C7"/>
    <w:rsid w:val="00F22148"/>
    <w:rsid w:val="00F35098"/>
    <w:rsid w:val="00F3667D"/>
    <w:rsid w:val="00F40040"/>
    <w:rsid w:val="00F43587"/>
    <w:rsid w:val="00F43E1B"/>
    <w:rsid w:val="00F440A9"/>
    <w:rsid w:val="00F47A4E"/>
    <w:rsid w:val="00F5159F"/>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B61BF"/>
    <w:rsid w:val="00FC1F55"/>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9801AFA-71D1-4BAB-91B6-81B53A8E8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037C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f">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0">
    <w:name w:val="header"/>
    <w:basedOn w:val="a"/>
    <w:link w:val="af1"/>
    <w:uiPriority w:val="99"/>
    <w:unhideWhenUsed/>
    <w:rsid w:val="00547F59"/>
    <w:pPr>
      <w:tabs>
        <w:tab w:val="center" w:pos="4153"/>
        <w:tab w:val="right" w:pos="8306"/>
      </w:tabs>
      <w:snapToGrid w:val="0"/>
    </w:pPr>
    <w:rPr>
      <w:sz w:val="20"/>
      <w:szCs w:val="20"/>
    </w:rPr>
  </w:style>
  <w:style w:type="character" w:customStyle="1" w:styleId="af1">
    <w:name w:val="頁首 字元"/>
    <w:link w:val="af0"/>
    <w:uiPriority w:val="99"/>
    <w:rsid w:val="00547F59"/>
    <w:rPr>
      <w:rFonts w:ascii="標楷體" w:eastAsia="標楷體"/>
      <w:snapToGrid w:val="0"/>
      <w:kern w:val="2"/>
    </w:rPr>
  </w:style>
  <w:style w:type="paragraph" w:styleId="af2">
    <w:name w:val="footer"/>
    <w:basedOn w:val="a"/>
    <w:link w:val="af3"/>
    <w:uiPriority w:val="99"/>
    <w:unhideWhenUsed/>
    <w:rsid w:val="00547F59"/>
    <w:pPr>
      <w:tabs>
        <w:tab w:val="center" w:pos="4153"/>
        <w:tab w:val="right" w:pos="8306"/>
      </w:tabs>
      <w:snapToGrid w:val="0"/>
    </w:pPr>
    <w:rPr>
      <w:sz w:val="20"/>
      <w:szCs w:val="20"/>
    </w:rPr>
  </w:style>
  <w:style w:type="character" w:customStyle="1" w:styleId="af3">
    <w:name w:val="頁尾 字元"/>
    <w:link w:val="af2"/>
    <w:uiPriority w:val="99"/>
    <w:rsid w:val="00547F59"/>
    <w:rPr>
      <w:rFonts w:ascii="標楷體" w:eastAsia="標楷體"/>
      <w:snapToGrid w:val="0"/>
      <w:kern w:val="2"/>
    </w:rPr>
  </w:style>
  <w:style w:type="character" w:styleId="af4">
    <w:name w:val="page number"/>
    <w:basedOn w:val="a0"/>
    <w:rsid w:val="00FB113D"/>
  </w:style>
  <w:style w:type="character" w:styleId="af5">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6">
    <w:name w:val="Balloon Text"/>
    <w:basedOn w:val="a"/>
    <w:link w:val="af7"/>
    <w:uiPriority w:val="99"/>
    <w:semiHidden/>
    <w:unhideWhenUsed/>
    <w:rsid w:val="00504A3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504A3A"/>
    <w:rPr>
      <w:rFonts w:ascii="Cambria" w:eastAsia="新細明體" w:hAnsi="Cambria" w:cs="Times New Roman"/>
      <w:snapToGrid w:val="0"/>
      <w:kern w:val="2"/>
      <w:sz w:val="18"/>
      <w:szCs w:val="1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字元"/>
    <w:basedOn w:val="a"/>
    <w:link w:val="af9"/>
    <w:uiPriority w:val="99"/>
    <w:unhideWhenUsed/>
    <w:qFormat/>
    <w:rsid w:val="005434B8"/>
    <w:pPr>
      <w:snapToGrid w:val="0"/>
      <w:jc w:val="left"/>
    </w:pPr>
    <w:rPr>
      <w:snapToGrid/>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a">
    <w:name w:val="Table Grid"/>
    <w:basedOn w:val="a1"/>
    <w:uiPriority w:val="59"/>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b">
    <w:name w:val="(一)下內文 字元"/>
    <w:rsid w:val="00403714"/>
    <w:rPr>
      <w:rFonts w:eastAsia="標楷體"/>
      <w:snapToGrid w:val="0"/>
      <w:kern w:val="2"/>
      <w:sz w:val="28"/>
      <w:szCs w:val="28"/>
      <w:lang w:val="en-US" w:eastAsia="zh-TW" w:bidi="ar-SA"/>
    </w:rPr>
  </w:style>
  <w:style w:type="character" w:styleId="afc">
    <w:name w:val="Strong"/>
    <w:qFormat/>
    <w:rsid w:val="00403714"/>
    <w:rPr>
      <w:rFonts w:eastAsia="新細明體"/>
      <w:bCs/>
      <w:sz w:val="28"/>
      <w:szCs w:val="28"/>
    </w:rPr>
  </w:style>
  <w:style w:type="paragraph" w:styleId="afd">
    <w:name w:val="Body Text"/>
    <w:basedOn w:val="a"/>
    <w:link w:val="afe"/>
    <w:uiPriority w:val="99"/>
    <w:rsid w:val="00403714"/>
    <w:pPr>
      <w:spacing w:after="120" w:line="240" w:lineRule="auto"/>
      <w:ind w:leftChars="0" w:left="0" w:firstLineChars="0" w:firstLine="0"/>
      <w:jc w:val="left"/>
    </w:pPr>
    <w:rPr>
      <w:rFonts w:ascii="Times New Roman"/>
      <w:snapToGrid/>
    </w:rPr>
  </w:style>
  <w:style w:type="character" w:customStyle="1" w:styleId="afe">
    <w:name w:val="本文 字元"/>
    <w:link w:val="afd"/>
    <w:uiPriority w:val="99"/>
    <w:rsid w:val="00403714"/>
    <w:rPr>
      <w:rFonts w:eastAsia="標楷體"/>
      <w:kern w:val="2"/>
      <w:sz w:val="28"/>
      <w:szCs w:val="28"/>
    </w:rPr>
  </w:style>
  <w:style w:type="paragraph" w:styleId="aff">
    <w:name w:val="Body Text Indent"/>
    <w:basedOn w:val="a"/>
    <w:link w:val="aff0"/>
    <w:rsid w:val="00403714"/>
    <w:pPr>
      <w:spacing w:afterLines="100" w:after="491" w:line="480" w:lineRule="exact"/>
      <w:ind w:left="554" w:firstLine="554"/>
    </w:pPr>
    <w:rPr>
      <w:rFonts w:ascii="Times New Roman"/>
    </w:rPr>
  </w:style>
  <w:style w:type="character" w:customStyle="1" w:styleId="aff0">
    <w:name w:val="本文縮排 字元"/>
    <w:link w:val="aff"/>
    <w:rsid w:val="00403714"/>
    <w:rPr>
      <w:rFonts w:eastAsia="標楷體"/>
      <w:snapToGrid w:val="0"/>
      <w:kern w:val="2"/>
      <w:sz w:val="28"/>
      <w:szCs w:val="28"/>
    </w:rPr>
  </w:style>
  <w:style w:type="character" w:styleId="aff1">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Signature"/>
    <w:basedOn w:val="a"/>
    <w:link w:val="aff4"/>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4">
    <w:name w:val="簽名 字元"/>
    <w:link w:val="aff3"/>
    <w:rsid w:val="00403714"/>
    <w:rPr>
      <w:spacing w:val="-5"/>
      <w:sz w:val="18"/>
    </w:rPr>
  </w:style>
  <w:style w:type="paragraph" w:styleId="aff5">
    <w:name w:val="Message Header"/>
    <w:basedOn w:val="afd"/>
    <w:link w:val="aff6"/>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6">
    <w:name w:val="訊息欄位名稱 字元"/>
    <w:link w:val="aff5"/>
    <w:rsid w:val="00403714"/>
    <w:rPr>
      <w:rFonts w:ascii="Arial" w:hAnsi="Arial"/>
      <w:spacing w:val="-5"/>
      <w:sz w:val="18"/>
    </w:rPr>
  </w:style>
  <w:style w:type="character" w:customStyle="1" w:styleId="201">
    <w:name w:val="表格內文(20行高) 字元"/>
    <w:link w:val="200"/>
    <w:rsid w:val="00403714"/>
  </w:style>
  <w:style w:type="character" w:customStyle="1" w:styleId="ad">
    <w:name w:val="姓名及分機 字元"/>
    <w:link w:val="ac"/>
    <w:rsid w:val="00FA298D"/>
    <w:rPr>
      <w:rFonts w:ascii="標楷體" w:eastAsia="標楷體"/>
      <w:snapToGrid w:val="0"/>
      <w:kern w:val="2"/>
      <w:sz w:val="24"/>
      <w:szCs w:val="28"/>
    </w:rPr>
  </w:style>
  <w:style w:type="paragraph" w:customStyle="1" w:styleId="aff7">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semiHidden/>
    <w:rsid w:val="00037C5B"/>
    <w:rPr>
      <w:rFonts w:ascii="Calibri Light" w:hAnsi="Calibri Light"/>
      <w:b/>
      <w:bCs/>
      <w:snapToGrid w:val="0"/>
      <w:kern w:val="2"/>
      <w:sz w:val="36"/>
      <w:szCs w:val="36"/>
    </w:rPr>
  </w:style>
  <w:style w:type="character" w:customStyle="1" w:styleId="26">
    <w:name w:val="(一)(二)(三) 字元2"/>
    <w:rsid w:val="00037C5B"/>
    <w:rPr>
      <w:rFonts w:ascii="標楷體" w:eastAsia="標楷體"/>
      <w:snapToGrid w:val="0"/>
      <w:kern w:val="2"/>
      <w:sz w:val="28"/>
      <w:szCs w:val="28"/>
    </w:rPr>
  </w:style>
  <w:style w:type="character" w:customStyle="1" w:styleId="a9">
    <w:name w:val="前言內文 字元"/>
    <w:link w:val="a8"/>
    <w:rsid w:val="00037C5B"/>
    <w:rPr>
      <w:rFonts w:ascii="標楷體" w:eastAsia="標楷體"/>
      <w:snapToGrid w:val="0"/>
      <w:kern w:val="2"/>
      <w:sz w:val="28"/>
      <w:szCs w:val="28"/>
    </w:rPr>
  </w:style>
  <w:style w:type="character" w:customStyle="1" w:styleId="148">
    <w:name w:val="表格內文(14行高) 字元 字元 字元 字元"/>
    <w:rsid w:val="00037C5B"/>
    <w:rPr>
      <w:sz w:val="24"/>
      <w:szCs w:val="24"/>
    </w:rPr>
  </w:style>
  <w:style w:type="paragraph" w:customStyle="1" w:styleId="149">
    <w:name w:val="表格內文(14行高) 字元 字元"/>
    <w:basedOn w:val="aa"/>
    <w:link w:val="14a"/>
    <w:rsid w:val="00037C5B"/>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037C5B"/>
    <w:rPr>
      <w:rFonts w:eastAsia="標楷體"/>
      <w:snapToGrid w:val="0"/>
      <w:kern w:val="2"/>
      <w:sz w:val="24"/>
      <w:szCs w:val="28"/>
    </w:rPr>
  </w:style>
  <w:style w:type="paragraph" w:styleId="aff9">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
    <w:link w:val="affa"/>
    <w:uiPriority w:val="34"/>
    <w:qFormat/>
    <w:rsid w:val="00037C5B"/>
    <w:pPr>
      <w:spacing w:line="240" w:lineRule="auto"/>
      <w:ind w:left="480" w:firstLineChars="0" w:firstLine="0"/>
      <w:jc w:val="left"/>
    </w:pPr>
    <w:rPr>
      <w:rFonts w:ascii="Calibri" w:eastAsia="新細明體" w:hAnsi="Calibri"/>
      <w:snapToGrid/>
      <w:sz w:val="24"/>
      <w:szCs w:val="22"/>
    </w:rPr>
  </w:style>
  <w:style w:type="character" w:customStyle="1" w:styleId="affa">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9"/>
    <w:uiPriority w:val="34"/>
    <w:qFormat/>
    <w:rsid w:val="00037C5B"/>
    <w:rPr>
      <w:rFonts w:ascii="Calibri" w:hAnsi="Calibri"/>
      <w:kern w:val="2"/>
      <w:sz w:val="24"/>
      <w:szCs w:val="22"/>
    </w:rPr>
  </w:style>
  <w:style w:type="paragraph" w:customStyle="1" w:styleId="Pa7">
    <w:name w:val="Pa7"/>
    <w:basedOn w:val="a"/>
    <w:next w:val="a"/>
    <w:uiPriority w:val="99"/>
    <w:rsid w:val="00037C5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table" w:customStyle="1" w:styleId="13">
    <w:name w:val="表格格線1"/>
    <w:basedOn w:val="a1"/>
    <w:next w:val="afa"/>
    <w:uiPriority w:val="59"/>
    <w:rsid w:val="00F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D4DB5-D8BC-4AB9-940E-84747E73F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551</Words>
  <Characters>3141</Characters>
  <Application>Microsoft Office Word</Application>
  <DocSecurity>0</DocSecurity>
  <Lines>26</Lines>
  <Paragraphs>7</Paragraphs>
  <ScaleCrop>false</ScaleCrop>
  <Company/>
  <LinksUpToDate>false</LinksUpToDate>
  <CharactersWithSpaces>3685</CharactersWithSpaces>
  <SharedDoc>false</SharedDoc>
  <HLinks>
    <vt:vector size="78" baseType="variant">
      <vt:variant>
        <vt:i4>1179700</vt:i4>
      </vt:variant>
      <vt:variant>
        <vt:i4>74</vt:i4>
      </vt:variant>
      <vt:variant>
        <vt:i4>0</vt:i4>
      </vt:variant>
      <vt:variant>
        <vt:i4>5</vt:i4>
      </vt:variant>
      <vt:variant>
        <vt:lpwstr/>
      </vt:variant>
      <vt:variant>
        <vt:lpwstr>_Toc224220056</vt:lpwstr>
      </vt:variant>
      <vt:variant>
        <vt:i4>1179700</vt:i4>
      </vt:variant>
      <vt:variant>
        <vt:i4>68</vt:i4>
      </vt:variant>
      <vt:variant>
        <vt:i4>0</vt:i4>
      </vt:variant>
      <vt:variant>
        <vt:i4>5</vt:i4>
      </vt:variant>
      <vt:variant>
        <vt:lpwstr/>
      </vt:variant>
      <vt:variant>
        <vt:lpwstr>_Toc224220055</vt:lpwstr>
      </vt:variant>
      <vt:variant>
        <vt:i4>1179700</vt:i4>
      </vt:variant>
      <vt:variant>
        <vt:i4>62</vt:i4>
      </vt:variant>
      <vt:variant>
        <vt:i4>0</vt:i4>
      </vt:variant>
      <vt:variant>
        <vt:i4>5</vt:i4>
      </vt:variant>
      <vt:variant>
        <vt:lpwstr/>
      </vt:variant>
      <vt:variant>
        <vt:lpwstr>_Toc224220054</vt:lpwstr>
      </vt:variant>
      <vt:variant>
        <vt:i4>1179700</vt:i4>
      </vt:variant>
      <vt:variant>
        <vt:i4>56</vt:i4>
      </vt:variant>
      <vt:variant>
        <vt:i4>0</vt:i4>
      </vt:variant>
      <vt:variant>
        <vt:i4>5</vt:i4>
      </vt:variant>
      <vt:variant>
        <vt:lpwstr/>
      </vt:variant>
      <vt:variant>
        <vt:lpwstr>_Toc224220053</vt:lpwstr>
      </vt:variant>
      <vt:variant>
        <vt:i4>1179700</vt:i4>
      </vt:variant>
      <vt:variant>
        <vt:i4>50</vt:i4>
      </vt:variant>
      <vt:variant>
        <vt:i4>0</vt:i4>
      </vt:variant>
      <vt:variant>
        <vt:i4>5</vt:i4>
      </vt:variant>
      <vt:variant>
        <vt:lpwstr/>
      </vt:variant>
      <vt:variant>
        <vt:lpwstr>_Toc224220052</vt:lpwstr>
      </vt:variant>
      <vt:variant>
        <vt:i4>1179700</vt:i4>
      </vt:variant>
      <vt:variant>
        <vt:i4>44</vt:i4>
      </vt:variant>
      <vt:variant>
        <vt:i4>0</vt:i4>
      </vt:variant>
      <vt:variant>
        <vt:i4>5</vt:i4>
      </vt:variant>
      <vt:variant>
        <vt:lpwstr/>
      </vt:variant>
      <vt:variant>
        <vt:lpwstr>_Toc224220051</vt:lpwstr>
      </vt:variant>
      <vt:variant>
        <vt:i4>1179700</vt:i4>
      </vt:variant>
      <vt:variant>
        <vt:i4>38</vt:i4>
      </vt:variant>
      <vt:variant>
        <vt:i4>0</vt:i4>
      </vt:variant>
      <vt:variant>
        <vt:i4>5</vt:i4>
      </vt:variant>
      <vt:variant>
        <vt:lpwstr/>
      </vt:variant>
      <vt:variant>
        <vt:lpwstr>_Toc224220050</vt:lpwstr>
      </vt:variant>
      <vt:variant>
        <vt:i4>1245236</vt:i4>
      </vt:variant>
      <vt:variant>
        <vt:i4>32</vt:i4>
      </vt:variant>
      <vt:variant>
        <vt:i4>0</vt:i4>
      </vt:variant>
      <vt:variant>
        <vt:i4>5</vt:i4>
      </vt:variant>
      <vt:variant>
        <vt:lpwstr/>
      </vt:variant>
      <vt:variant>
        <vt:lpwstr>_Toc224220049</vt:lpwstr>
      </vt:variant>
      <vt:variant>
        <vt:i4>1245236</vt:i4>
      </vt:variant>
      <vt:variant>
        <vt:i4>26</vt:i4>
      </vt:variant>
      <vt:variant>
        <vt:i4>0</vt:i4>
      </vt:variant>
      <vt:variant>
        <vt:i4>5</vt:i4>
      </vt:variant>
      <vt:variant>
        <vt:lpwstr/>
      </vt:variant>
      <vt:variant>
        <vt:lpwstr>_Toc224220048</vt:lpwstr>
      </vt:variant>
      <vt:variant>
        <vt:i4>1245236</vt:i4>
      </vt:variant>
      <vt:variant>
        <vt:i4>20</vt:i4>
      </vt:variant>
      <vt:variant>
        <vt:i4>0</vt:i4>
      </vt:variant>
      <vt:variant>
        <vt:i4>5</vt:i4>
      </vt:variant>
      <vt:variant>
        <vt:lpwstr/>
      </vt:variant>
      <vt:variant>
        <vt:lpwstr>_Toc224220047</vt:lpwstr>
      </vt:variant>
      <vt:variant>
        <vt:i4>1245236</vt:i4>
      </vt:variant>
      <vt:variant>
        <vt:i4>14</vt:i4>
      </vt:variant>
      <vt:variant>
        <vt:i4>0</vt:i4>
      </vt:variant>
      <vt:variant>
        <vt:i4>5</vt:i4>
      </vt:variant>
      <vt:variant>
        <vt:lpwstr/>
      </vt:variant>
      <vt:variant>
        <vt:lpwstr>_Toc224220046</vt:lpwstr>
      </vt:variant>
      <vt:variant>
        <vt:i4>1245236</vt:i4>
      </vt:variant>
      <vt:variant>
        <vt:i4>8</vt:i4>
      </vt:variant>
      <vt:variant>
        <vt:i4>0</vt:i4>
      </vt:variant>
      <vt:variant>
        <vt:i4>5</vt:i4>
      </vt:variant>
      <vt:variant>
        <vt:lpwstr/>
      </vt:variant>
      <vt:variant>
        <vt:lpwstr>_Toc224220045</vt:lpwstr>
      </vt:variant>
      <vt:variant>
        <vt:i4>1245236</vt:i4>
      </vt:variant>
      <vt:variant>
        <vt:i4>2</vt:i4>
      </vt:variant>
      <vt:variant>
        <vt:i4>0</vt:i4>
      </vt:variant>
      <vt:variant>
        <vt:i4>5</vt:i4>
      </vt:variant>
      <vt:variant>
        <vt:lpwstr/>
      </vt:variant>
      <vt:variant>
        <vt:lpwstr>_Toc224220044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2026-03-12T07:06:00Z</cp:lastPrinted>
  <dcterms:created xsi:type="dcterms:W3CDTF">2026-03-18T03:22:00Z</dcterms:created>
  <dcterms:modified xsi:type="dcterms:W3CDTF">2026-03-18T03:22:00Z</dcterms:modified>
</cp:coreProperties>
</file>