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C5B" w:rsidRDefault="00FB113D" w:rsidP="00037C5B">
      <w:pPr>
        <w:pStyle w:val="ab"/>
      </w:pPr>
      <w:bookmarkStart w:id="0" w:name="_Toc477265286"/>
      <w:bookmarkStart w:id="1" w:name="_Toc495221729"/>
      <w:bookmarkStart w:id="2" w:name="_Toc496878062"/>
      <w:bookmarkStart w:id="3" w:name="_GoBack"/>
      <w:bookmarkEnd w:id="3"/>
      <w:r w:rsidRPr="008A5015">
        <w:rPr>
          <w:rFonts w:hint="eastAsia"/>
        </w:rPr>
        <w:t>經濟部</w:t>
      </w:r>
      <w:r w:rsidR="00037C5B">
        <w:rPr>
          <w:rFonts w:hint="eastAsia"/>
        </w:rPr>
        <w:t>主管非營業基金</w:t>
      </w:r>
      <w:r w:rsidR="002E0C6B" w:rsidRPr="008A5015">
        <w:t>11</w:t>
      </w:r>
      <w:r w:rsidR="00300335">
        <w:rPr>
          <w:rFonts w:hint="eastAsia"/>
        </w:rPr>
        <w:t>3</w:t>
      </w:r>
      <w:r w:rsidRPr="008A5015">
        <w:rPr>
          <w:rFonts w:hint="eastAsia"/>
        </w:rPr>
        <w:t>年度決算評估報告</w:t>
      </w:r>
      <w:bookmarkEnd w:id="0"/>
      <w:bookmarkEnd w:id="1"/>
      <w:bookmarkEnd w:id="2"/>
    </w:p>
    <w:p w:rsidR="00037C5B" w:rsidRPr="00597796" w:rsidRDefault="00037C5B" w:rsidP="00037C5B">
      <w:pPr>
        <w:pStyle w:val="a8"/>
        <w:ind w:firstLine="566"/>
        <w:rPr>
          <w:rFonts w:hAnsi="標楷體"/>
        </w:rPr>
      </w:pPr>
      <w:r w:rsidRPr="00597796">
        <w:rPr>
          <w:rFonts w:hint="eastAsia"/>
        </w:rPr>
        <w:t>經濟部主管非營業基金包含2個作業基金(經濟作業基金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rPr>
          <w:rFonts w:hint="eastAsia"/>
        </w:rPr>
        <w:t>3</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037C5B" w:rsidRPr="00597796" w:rsidRDefault="00037C5B" w:rsidP="00037C5B">
      <w:pPr>
        <w:ind w:leftChars="0" w:left="989" w:hangingChars="349" w:hanging="989"/>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Pr>
          <w:rFonts w:hint="eastAsia"/>
          <w:b/>
          <w:color w:val="000000"/>
        </w:rPr>
        <w:t>3</w:t>
      </w:r>
      <w:r w:rsidRPr="00597796">
        <w:rPr>
          <w:rFonts w:hint="eastAsia"/>
          <w:b/>
          <w:color w:val="000000"/>
        </w:rPr>
        <w:t>年度預算執行情形概況表</w:t>
      </w:r>
    </w:p>
    <w:p w:rsidR="00037C5B" w:rsidRPr="00597796" w:rsidRDefault="00037C5B" w:rsidP="00037C5B">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037C5B" w:rsidRPr="00597796" w:rsidTr="00F16E20">
        <w:trPr>
          <w:trHeight w:val="351"/>
          <w:tblHeader/>
        </w:trPr>
        <w:tc>
          <w:tcPr>
            <w:tcW w:w="2156" w:type="dxa"/>
            <w:vMerge w:val="restart"/>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037C5B" w:rsidRPr="00597796" w:rsidTr="00F16E20">
        <w:trPr>
          <w:trHeight w:val="340"/>
        </w:trPr>
        <w:tc>
          <w:tcPr>
            <w:tcW w:w="2156" w:type="dxa"/>
            <w:vMerge/>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037C5B" w:rsidRPr="00597796" w:rsidRDefault="00037C5B" w:rsidP="00F16E20">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83.27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143.27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76.59</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85.34</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6.68</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57.93</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51.25</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91.34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88.27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110.03</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110.82</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-18.69</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-22.55</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-3.86</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254.34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252.64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225.24</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225.46</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29.1</w:t>
            </w:r>
            <w:r>
              <w:rPr>
                <w:rFonts w:hint="eastAsia"/>
                <w:color w:val="000000"/>
                <w:spacing w:val="-20"/>
                <w:sz w:val="24"/>
                <w:szCs w:val="24"/>
              </w:rPr>
              <w:t>0</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27.18</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-1.92</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267.72</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277.34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64.34</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51.</w:t>
            </w:r>
            <w:r>
              <w:rPr>
                <w:color w:val="000000"/>
                <w:spacing w:val="-20"/>
                <w:sz w:val="24"/>
                <w:szCs w:val="24"/>
              </w:rPr>
              <w:t>05</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203.38</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w:t>
            </w:r>
            <w:r>
              <w:rPr>
                <w:color w:val="000000"/>
                <w:spacing w:val="-20"/>
                <w:sz w:val="24"/>
                <w:szCs w:val="24"/>
              </w:rPr>
              <w:t>6.29</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w:t>
            </w:r>
            <w:r>
              <w:rPr>
                <w:rFonts w:hint="eastAsia"/>
                <w:color w:val="000000"/>
                <w:spacing w:val="-20"/>
                <w:sz w:val="24"/>
                <w:szCs w:val="24"/>
              </w:rPr>
              <w:t>9</w:t>
            </w:r>
            <w:r w:rsidRPr="00311554">
              <w:rPr>
                <w:color w:val="000000"/>
                <w:spacing w:val="-20"/>
                <w:sz w:val="24"/>
                <w:szCs w:val="24"/>
              </w:rPr>
              <w:t>1</w:t>
            </w:r>
          </w:p>
        </w:tc>
      </w:tr>
    </w:tbl>
    <w:p w:rsidR="00037C5B" w:rsidRDefault="00037C5B" w:rsidP="00037C5B">
      <w:pPr>
        <w:widowControl/>
        <w:spacing w:line="280" w:lineRule="exact"/>
        <w:ind w:leftChars="0" w:left="1175" w:hangingChars="483" w:hanging="1175"/>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Pr>
          <w:rFonts w:hint="eastAsia"/>
          <w:color w:val="000000"/>
          <w:sz w:val="24"/>
        </w:rPr>
        <w:t>3</w:t>
      </w:r>
      <w:r w:rsidRPr="00597796">
        <w:rPr>
          <w:rFonts w:hint="eastAsia"/>
          <w:color w:val="000000"/>
          <w:sz w:val="24"/>
        </w:rPr>
        <w:t>年度中央政府總決算暨附屬單位決算及綜計表審核報告(附冊-非營業部分)。</w:t>
      </w:r>
    </w:p>
    <w:p w:rsidR="00FB61BF" w:rsidRPr="00FB61BF" w:rsidRDefault="005F4DE2" w:rsidP="00BA75F1">
      <w:pPr>
        <w:pStyle w:val="14"/>
        <w:ind w:left="567" w:hanging="567"/>
      </w:pPr>
      <w:bookmarkStart w:id="4" w:name="_Toc161322215"/>
      <w:bookmarkStart w:id="5" w:name="_Toc133238568"/>
      <w:bookmarkStart w:id="6" w:name="_Toc338255476"/>
      <w:bookmarkStart w:id="7" w:name="_Toc340429906"/>
      <w:bookmarkStart w:id="8" w:name="_Toc530642334"/>
      <w:bookmarkStart w:id="9" w:name="_Toc66090982"/>
      <w:bookmarkStart w:id="10" w:name="_Toc89957702"/>
      <w:bookmarkStart w:id="11" w:name="_Toc89963793"/>
      <w:bookmarkStart w:id="12" w:name="_Toc148549211"/>
      <w:bookmarkStart w:id="13" w:name="_Toc182322670"/>
      <w:bookmarkStart w:id="14" w:name="_Toc182322672"/>
      <w:bookmarkStart w:id="15" w:name="_Toc215134658"/>
      <w:bookmarkStart w:id="16" w:name="_Toc224220054"/>
      <w:r>
        <w:rPr>
          <w:rFonts w:hint="eastAsia"/>
          <w:lang w:eastAsia="zh-HK"/>
        </w:rPr>
        <w:t>八</w:t>
      </w:r>
      <w:r w:rsidR="00FB61BF" w:rsidRPr="00FB61BF">
        <w:rPr>
          <w:rFonts w:hint="eastAsia"/>
        </w:rPr>
        <w:t>、中小企業發展基金</w:t>
      </w:r>
      <w:r w:rsidR="00FB61BF" w:rsidRPr="00FB61BF">
        <w:rPr>
          <w:rFonts w:hint="eastAsia"/>
          <w:lang w:eastAsia="zh-HK"/>
        </w:rPr>
        <w:t>自</w:t>
      </w:r>
      <w:r w:rsidR="00FB61BF" w:rsidRPr="00FB61BF">
        <w:rPr>
          <w:rFonts w:hint="eastAsia"/>
        </w:rPr>
        <w:t>108</w:t>
      </w:r>
      <w:r w:rsidR="00FB61BF" w:rsidRPr="00FB61BF">
        <w:rPr>
          <w:rFonts w:hint="eastAsia"/>
          <w:lang w:eastAsia="zh-HK"/>
        </w:rPr>
        <w:t>年度開辦</w:t>
      </w:r>
      <w:r w:rsidR="008169EA">
        <w:rPr>
          <w:rFonts w:hint="eastAsia"/>
          <w:lang w:eastAsia="zh-HK"/>
        </w:rPr>
        <w:t>「</w:t>
      </w:r>
      <w:r w:rsidR="00FB61BF" w:rsidRPr="00FB61BF">
        <w:rPr>
          <w:rFonts w:hint="eastAsia"/>
        </w:rPr>
        <w:t>中小企業加速投資行動方案</w:t>
      </w:r>
      <w:r w:rsidR="008169EA">
        <w:rPr>
          <w:rFonts w:hint="eastAsia"/>
          <w:lang w:eastAsia="zh-HK"/>
        </w:rPr>
        <w:t>」</w:t>
      </w:r>
      <w:r w:rsidR="00F5159F">
        <w:rPr>
          <w:rFonts w:hint="eastAsia"/>
          <w:lang w:eastAsia="zh-HK"/>
        </w:rPr>
        <w:t>專案貸款</w:t>
      </w:r>
      <w:r w:rsidR="00FB61BF" w:rsidRPr="00FB61BF">
        <w:rPr>
          <w:rFonts w:hint="eastAsia"/>
        </w:rPr>
        <w:t>，</w:t>
      </w:r>
      <w:r w:rsidR="00FB61BF" w:rsidRPr="00FB61BF">
        <w:rPr>
          <w:rFonts w:hint="eastAsia"/>
          <w:lang w:eastAsia="zh-HK"/>
        </w:rPr>
        <w:t>惟</w:t>
      </w:r>
      <w:r w:rsidR="00FB61BF" w:rsidRPr="00FB61BF">
        <w:rPr>
          <w:rFonts w:hint="eastAsia"/>
        </w:rPr>
        <w:t>近年受理申請件數及預計投資金額減緩，</w:t>
      </w:r>
      <w:r w:rsidR="00FB61BF" w:rsidRPr="00FB61BF">
        <w:rPr>
          <w:rFonts w:hint="eastAsia"/>
          <w:lang w:eastAsia="zh-HK"/>
        </w:rPr>
        <w:t>允宜</w:t>
      </w:r>
      <w:r w:rsidR="00FB61BF" w:rsidRPr="00FB61BF">
        <w:rPr>
          <w:rFonts w:hint="eastAsia"/>
        </w:rPr>
        <w:t>研謀</w:t>
      </w:r>
      <w:r w:rsidR="00FB61BF" w:rsidRPr="00FB61BF">
        <w:rPr>
          <w:rFonts w:hint="eastAsia"/>
          <w:lang w:eastAsia="zh-HK"/>
        </w:rPr>
        <w:t>改善，以提升計畫</w:t>
      </w:r>
      <w:r w:rsidR="00FB61BF" w:rsidRPr="00FB61BF">
        <w:rPr>
          <w:rFonts w:hint="eastAsia"/>
        </w:rPr>
        <w:t>執行</w:t>
      </w:r>
      <w:r w:rsidR="00FB61BF" w:rsidRPr="00FB61BF">
        <w:rPr>
          <w:rFonts w:hint="eastAsia"/>
          <w:lang w:eastAsia="zh-HK"/>
        </w:rPr>
        <w:t>成效</w:t>
      </w:r>
      <w:bookmarkEnd w:id="15"/>
      <w:bookmarkEnd w:id="16"/>
    </w:p>
    <w:p w:rsidR="00FB61BF" w:rsidRPr="00FB61BF" w:rsidRDefault="00FB61BF" w:rsidP="00FB61BF">
      <w:pPr>
        <w:ind w:left="566" w:firstLine="566"/>
      </w:pPr>
      <w:r w:rsidRPr="00FB61BF">
        <w:rPr>
          <w:rFonts w:hint="eastAsia"/>
        </w:rPr>
        <w:t>中小企業發展基金113年度預算「中小企業發展計畫-服務費用」科目編列辦理「中小企業加速投資行動方案」專案貸款相關之委託融資手續費、案件審查行政作業費及委託經理銀行業務費等所需經費共14億4,391萬8千元，執行結果，決算數8億8,447萬5千元，預算執行率61.26%。經查：</w:t>
      </w:r>
    </w:p>
    <w:p w:rsidR="00FB61BF" w:rsidRPr="00FB61BF" w:rsidRDefault="00FB61BF" w:rsidP="00FB61BF">
      <w:pPr>
        <w:ind w:left="849" w:hangingChars="100" w:hanging="283"/>
        <w:rPr>
          <w:b/>
        </w:rPr>
      </w:pPr>
      <w:r w:rsidRPr="00FB61BF">
        <w:rPr>
          <w:rFonts w:hint="eastAsia"/>
          <w:b/>
        </w:rPr>
        <w:t>(一)</w:t>
      </w:r>
      <w:r w:rsidRPr="00FB61BF">
        <w:rPr>
          <w:rFonts w:hint="eastAsia"/>
          <w:b/>
          <w:lang w:eastAsia="zh-HK"/>
        </w:rPr>
        <w:t>計畫概要</w:t>
      </w:r>
    </w:p>
    <w:p w:rsidR="00FB61BF" w:rsidRPr="00FB61BF" w:rsidRDefault="00FB61BF" w:rsidP="00FB61BF">
      <w:pPr>
        <w:adjustRightInd w:val="0"/>
        <w:ind w:leftChars="300" w:left="850" w:firstLine="566"/>
      </w:pPr>
      <w:r w:rsidRPr="00FB61BF">
        <w:rPr>
          <w:rFonts w:hint="eastAsia"/>
        </w:rPr>
        <w:t>為因應全球經貿環境快速變遷，支持中小企業升級轉型，中小企業發展基金自108年7月1日開始推動「中小企業加速投資行動方案」(以下稱本方案)，以企業需求為導向，提供客製化服務，協助企業快速取得融資。計畫期程108年7月至113年12月31日。</w:t>
      </w:r>
    </w:p>
    <w:p w:rsidR="00FB61BF" w:rsidRPr="00FB61BF" w:rsidRDefault="00FB61BF" w:rsidP="00FB61BF">
      <w:pPr>
        <w:adjustRightInd w:val="0"/>
        <w:ind w:leftChars="300" w:left="850" w:firstLine="566"/>
      </w:pPr>
      <w:r w:rsidRPr="00FB61BF">
        <w:rPr>
          <w:rFonts w:hint="eastAsia"/>
        </w:rPr>
        <w:t>本方案預計貸款總額度為3,000億元，由承貸銀行自有資</w:t>
      </w:r>
      <w:r w:rsidRPr="00FB61BF">
        <w:rPr>
          <w:rFonts w:hint="eastAsia"/>
        </w:rPr>
        <w:lastRenderedPageBreak/>
        <w:t>金辦理專案貸款，貸款風險由承貸銀行承擔，各承貸銀行承辦本項貸款之委辦手續費支付方式如下：</w:t>
      </w:r>
    </w:p>
    <w:p w:rsidR="00FB61BF" w:rsidRPr="00FB61BF" w:rsidRDefault="00FB61BF" w:rsidP="00FB61BF">
      <w:pPr>
        <w:ind w:leftChars="300" w:left="1133" w:hangingChars="100" w:hanging="283"/>
      </w:pPr>
      <w:r w:rsidRPr="00FB61BF">
        <w:rPr>
          <w:rFonts w:hint="eastAsia"/>
        </w:rPr>
        <w:t>1.貸款總額度新臺幣(以下同)1</w:t>
      </w:r>
      <w:r w:rsidRPr="00FB61BF">
        <w:t>,000</w:t>
      </w:r>
      <w:r w:rsidRPr="00FB61BF">
        <w:rPr>
          <w:rFonts w:hint="eastAsia"/>
        </w:rPr>
        <w:t>億元以內，由中小企業發展基金依實際貸放平均餘額以年息1.5%支付銀行委辦手續費用，支付期間自撥貸之日起算最長5年</w:t>
      </w:r>
      <w:r w:rsidRPr="00FB61BF">
        <w:rPr>
          <w:rFonts w:hint="eastAsia"/>
          <w:lang w:eastAsia="zh-HK"/>
        </w:rPr>
        <w:t>，</w:t>
      </w:r>
      <w:r w:rsidRPr="00FB61BF">
        <w:rPr>
          <w:rFonts w:hint="eastAsia"/>
        </w:rPr>
        <w:t>並得視中小企業發展基金財務狀況調整委辦手續費率及支付期間。</w:t>
      </w:r>
    </w:p>
    <w:p w:rsidR="00FB61BF" w:rsidRPr="00FB61BF" w:rsidRDefault="00FB61BF" w:rsidP="00FB61BF">
      <w:pPr>
        <w:ind w:leftChars="300" w:left="1133" w:hangingChars="100" w:hanging="283"/>
      </w:pPr>
      <w:r w:rsidRPr="00FB61BF">
        <w:rPr>
          <w:rFonts w:hint="eastAsia"/>
        </w:rPr>
        <w:t>2.貸款總額度逾1</w:t>
      </w:r>
      <w:r w:rsidRPr="00FB61BF">
        <w:t>,000</w:t>
      </w:r>
      <w:r w:rsidRPr="00FB61BF">
        <w:rPr>
          <w:rFonts w:hint="eastAsia"/>
        </w:rPr>
        <w:t>億元之部分，由行政院國家發展基金依實際貸放平均餘額以年息0.7%支付銀行委辦手續費用，支付期間自撥貸之日起算最長3年，並得視行政院國家發展基金財務狀況調整委辦手續費率及支付期間。</w:t>
      </w:r>
    </w:p>
    <w:p w:rsidR="00FB61BF" w:rsidRPr="00FB61BF" w:rsidRDefault="00FB61BF" w:rsidP="00FB61BF">
      <w:pPr>
        <w:ind w:leftChars="300" w:left="1133" w:hangingChars="100" w:hanging="283"/>
        <w:rPr>
          <w:rFonts w:hint="eastAsia"/>
        </w:rPr>
      </w:pPr>
      <w:r w:rsidRPr="00FB61BF">
        <w:rPr>
          <w:rFonts w:hint="eastAsia"/>
        </w:rPr>
        <w:t>3.</w:t>
      </w:r>
      <w:r w:rsidRPr="00FB61BF">
        <w:rPr>
          <w:rFonts w:hint="eastAsia"/>
          <w:lang w:eastAsia="zh-HK"/>
        </w:rPr>
        <w:t>貸款對象於</w:t>
      </w:r>
      <w:r w:rsidRPr="00FB61BF">
        <w:rPr>
          <w:rFonts w:hint="eastAsia"/>
        </w:rPr>
        <w:t>110</w:t>
      </w:r>
      <w:r w:rsidRPr="00FB61BF">
        <w:rPr>
          <w:rFonts w:hint="eastAsia"/>
          <w:lang w:eastAsia="zh-HK"/>
        </w:rPr>
        <w:t>年底向經濟部投資臺灣事務所提出申請者，應於</w:t>
      </w:r>
      <w:r w:rsidRPr="00FB61BF">
        <w:rPr>
          <w:rFonts w:hint="eastAsia"/>
        </w:rPr>
        <w:t>111</w:t>
      </w:r>
      <w:r w:rsidRPr="00FB61BF">
        <w:rPr>
          <w:rFonts w:hint="eastAsia"/>
          <w:lang w:eastAsia="zh-HK"/>
        </w:rPr>
        <w:t>年底向承貸銀行提出貸款申請；於</w:t>
      </w:r>
      <w:r w:rsidRPr="00FB61BF">
        <w:rPr>
          <w:rFonts w:hint="eastAsia"/>
        </w:rPr>
        <w:t>111</w:t>
      </w:r>
      <w:r w:rsidRPr="00FB61BF">
        <w:rPr>
          <w:rFonts w:hint="eastAsia"/>
          <w:lang w:eastAsia="zh-HK"/>
        </w:rPr>
        <w:t>年初至</w:t>
      </w:r>
      <w:r w:rsidRPr="00FB61BF">
        <w:rPr>
          <w:rFonts w:hint="eastAsia"/>
        </w:rPr>
        <w:t>113</w:t>
      </w:r>
      <w:r w:rsidRPr="00FB61BF">
        <w:rPr>
          <w:rFonts w:hint="eastAsia"/>
          <w:lang w:eastAsia="zh-HK"/>
        </w:rPr>
        <w:t>年底提出者，應於</w:t>
      </w:r>
      <w:r w:rsidRPr="00FB61BF">
        <w:rPr>
          <w:rFonts w:hint="eastAsia"/>
        </w:rPr>
        <w:t>114</w:t>
      </w:r>
      <w:r w:rsidRPr="00FB61BF">
        <w:rPr>
          <w:rFonts w:hint="eastAsia"/>
          <w:lang w:eastAsia="zh-HK"/>
        </w:rPr>
        <w:t>年底向承貸銀行提出貸款申請。</w:t>
      </w:r>
    </w:p>
    <w:p w:rsidR="00FB61BF" w:rsidRPr="00FB61BF" w:rsidRDefault="00FB61BF" w:rsidP="00FB61BF">
      <w:pPr>
        <w:ind w:left="849" w:hangingChars="100" w:hanging="283"/>
        <w:rPr>
          <w:b/>
        </w:rPr>
      </w:pPr>
      <w:r w:rsidRPr="00FB61BF">
        <w:rPr>
          <w:rFonts w:hint="eastAsia"/>
          <w:b/>
        </w:rPr>
        <w:t>(二)近年受理申請件數及預計投資金額持續減緩，允宜研謀加強推動策略，以協助企業達成快速取得融資與升級轉型之目標</w:t>
      </w:r>
    </w:p>
    <w:p w:rsidR="00FB61BF" w:rsidRPr="00FB61BF" w:rsidRDefault="00FB61BF" w:rsidP="00FB61BF">
      <w:pPr>
        <w:adjustRightInd w:val="0"/>
        <w:ind w:leftChars="300" w:left="850" w:firstLine="566"/>
        <w:rPr>
          <w:rFonts w:hint="eastAsia"/>
        </w:rPr>
      </w:pPr>
      <w:r w:rsidRPr="00FB61BF">
        <w:rPr>
          <w:rFonts w:hint="eastAsia"/>
        </w:rPr>
        <w:t>依中小</w:t>
      </w:r>
      <w:r w:rsidRPr="00FB61BF">
        <w:rPr>
          <w:rFonts w:hint="eastAsia"/>
          <w:lang w:eastAsia="zh-HK"/>
        </w:rPr>
        <w:t>企業發展基金</w:t>
      </w:r>
      <w:r w:rsidRPr="00FB61BF">
        <w:rPr>
          <w:rFonts w:hint="eastAsia"/>
        </w:rPr>
        <w:t>提供資料顯示，本方案自108年度開辦至1</w:t>
      </w:r>
      <w:r w:rsidRPr="00FB61BF">
        <w:t>1</w:t>
      </w:r>
      <w:r w:rsidRPr="00FB61BF">
        <w:rPr>
          <w:rFonts w:hint="eastAsia"/>
        </w:rPr>
        <w:t>3年度，以109年度受理申請369</w:t>
      </w:r>
      <w:r w:rsidR="00F5159F">
        <w:rPr>
          <w:rFonts w:hint="eastAsia"/>
          <w:lang w:eastAsia="zh-HK"/>
        </w:rPr>
        <w:t>件</w:t>
      </w:r>
      <w:r w:rsidRPr="00FB61BF">
        <w:rPr>
          <w:rFonts w:hint="eastAsia"/>
        </w:rPr>
        <w:t>、預計投資金額(</w:t>
      </w:r>
      <w:r w:rsidRPr="00FB61BF">
        <w:rPr>
          <w:rFonts w:hint="eastAsia"/>
          <w:lang w:eastAsia="zh-HK"/>
        </w:rPr>
        <w:t>以下同</w:t>
      </w:r>
      <w:r w:rsidRPr="00FB61BF">
        <w:rPr>
          <w:rFonts w:hint="eastAsia"/>
        </w:rPr>
        <w:t>)1,</w:t>
      </w:r>
      <w:r w:rsidRPr="00FB61BF">
        <w:t>577.46</w:t>
      </w:r>
      <w:r w:rsidRPr="00FB61BF">
        <w:rPr>
          <w:rFonts w:hint="eastAsia"/>
        </w:rPr>
        <w:t>億元為最高，其後年</w:t>
      </w:r>
      <w:r w:rsidRPr="00FB61BF">
        <w:rPr>
          <w:rFonts w:hint="eastAsia"/>
          <w:lang w:eastAsia="zh-HK"/>
        </w:rPr>
        <w:t>度概呈下</w:t>
      </w:r>
      <w:r w:rsidRPr="00FB61BF">
        <w:rPr>
          <w:rFonts w:hint="eastAsia"/>
        </w:rPr>
        <w:t>降趨勢，113年度</w:t>
      </w:r>
      <w:r w:rsidRPr="00FB61BF">
        <w:rPr>
          <w:rFonts w:hint="eastAsia"/>
          <w:lang w:eastAsia="zh-HK"/>
        </w:rPr>
        <w:t>僅為</w:t>
      </w:r>
      <w:r w:rsidRPr="00FB61BF">
        <w:rPr>
          <w:rFonts w:hint="eastAsia"/>
        </w:rPr>
        <w:t>13</w:t>
      </w:r>
      <w:r w:rsidRPr="00FB61BF">
        <w:t>1</w:t>
      </w:r>
      <w:r w:rsidR="00F5159F">
        <w:rPr>
          <w:rFonts w:hint="eastAsia"/>
          <w:lang w:eastAsia="zh-HK"/>
        </w:rPr>
        <w:t>件</w:t>
      </w:r>
      <w:r w:rsidRPr="00FB61BF">
        <w:rPr>
          <w:rFonts w:hint="eastAsia"/>
        </w:rPr>
        <w:t>、820.39億元，</w:t>
      </w:r>
      <w:r w:rsidRPr="00FB61BF">
        <w:rPr>
          <w:rFonts w:hint="eastAsia"/>
          <w:lang w:eastAsia="zh-HK"/>
        </w:rPr>
        <w:t>較</w:t>
      </w:r>
      <w:r w:rsidRPr="00FB61BF">
        <w:rPr>
          <w:rFonts w:hint="eastAsia"/>
        </w:rPr>
        <w:t>109</w:t>
      </w:r>
      <w:r w:rsidRPr="00FB61BF">
        <w:rPr>
          <w:rFonts w:hint="eastAsia"/>
          <w:lang w:eastAsia="zh-HK"/>
        </w:rPr>
        <w:t>年度</w:t>
      </w:r>
      <w:r w:rsidRPr="00FB61BF">
        <w:rPr>
          <w:rFonts w:hint="eastAsia"/>
        </w:rPr>
        <w:t>減</w:t>
      </w:r>
      <w:r w:rsidRPr="00FB61BF">
        <w:rPr>
          <w:rFonts w:hint="eastAsia"/>
          <w:lang w:eastAsia="zh-HK"/>
        </w:rPr>
        <w:t>幅分別為</w:t>
      </w:r>
      <w:r w:rsidRPr="00FB61BF">
        <w:rPr>
          <w:rFonts w:hint="eastAsia"/>
        </w:rPr>
        <w:t>64.50%</w:t>
      </w:r>
      <w:r w:rsidRPr="00FB61BF">
        <w:rPr>
          <w:rFonts w:hint="eastAsia"/>
          <w:lang w:eastAsia="zh-HK"/>
        </w:rPr>
        <w:t>及</w:t>
      </w:r>
      <w:r w:rsidRPr="00FB61BF">
        <w:rPr>
          <w:rFonts w:hint="eastAsia"/>
        </w:rPr>
        <w:t>47.99% (詳表1)</w:t>
      </w:r>
      <w:r w:rsidRPr="00FB61BF">
        <w:rPr>
          <w:rFonts w:hint="eastAsia"/>
          <w:lang w:eastAsia="zh-HK"/>
        </w:rPr>
        <w:t>；至於本方案之手續費及行政手續費，因委辦案件數持續</w:t>
      </w:r>
      <w:r w:rsidRPr="00FB61BF">
        <w:rPr>
          <w:rFonts w:hint="eastAsia"/>
        </w:rPr>
        <w:t>減</w:t>
      </w:r>
      <w:r w:rsidRPr="00FB61BF">
        <w:rPr>
          <w:rFonts w:hint="eastAsia"/>
          <w:lang w:eastAsia="zh-HK"/>
        </w:rPr>
        <w:t>少，</w:t>
      </w:r>
      <w:r w:rsidRPr="00FB61BF">
        <w:rPr>
          <w:rFonts w:hint="eastAsia"/>
        </w:rPr>
        <w:t>113</w:t>
      </w:r>
      <w:r w:rsidRPr="00FB61BF">
        <w:rPr>
          <w:rFonts w:hint="eastAsia"/>
          <w:lang w:eastAsia="zh-HK"/>
        </w:rPr>
        <w:t>年度預算</w:t>
      </w:r>
      <w:r w:rsidRPr="00FB61BF">
        <w:rPr>
          <w:rFonts w:hint="eastAsia"/>
        </w:rPr>
        <w:t>執</w:t>
      </w:r>
      <w:r w:rsidRPr="00FB61BF">
        <w:rPr>
          <w:rFonts w:hint="eastAsia"/>
          <w:lang w:eastAsia="zh-HK"/>
        </w:rPr>
        <w:t>行率僅約六成，為</w:t>
      </w:r>
      <w:r w:rsidRPr="00FB61BF">
        <w:rPr>
          <w:rFonts w:hint="eastAsia"/>
        </w:rPr>
        <w:t>111</w:t>
      </w:r>
      <w:r w:rsidRPr="00FB61BF">
        <w:rPr>
          <w:rFonts w:hint="eastAsia"/>
          <w:lang w:eastAsia="zh-HK"/>
        </w:rPr>
        <w:t>年度以來最低</w:t>
      </w:r>
      <w:r w:rsidRPr="00FB61BF">
        <w:rPr>
          <w:rFonts w:hint="eastAsia"/>
        </w:rPr>
        <w:t>(</w:t>
      </w:r>
      <w:r w:rsidRPr="00FB61BF">
        <w:rPr>
          <w:rFonts w:hint="eastAsia"/>
          <w:lang w:eastAsia="zh-HK"/>
        </w:rPr>
        <w:t>詳表</w:t>
      </w:r>
      <w:r w:rsidRPr="00FB61BF">
        <w:rPr>
          <w:rFonts w:hint="eastAsia"/>
        </w:rPr>
        <w:t>2)</w:t>
      </w:r>
      <w:r w:rsidRPr="00FB61BF">
        <w:rPr>
          <w:rFonts w:hint="eastAsia"/>
          <w:lang w:eastAsia="zh-HK"/>
        </w:rPr>
        <w:t>。</w:t>
      </w:r>
    </w:p>
    <w:p w:rsidR="00FB61BF" w:rsidRPr="00FB61BF" w:rsidRDefault="00FB61BF" w:rsidP="00FB61BF">
      <w:pPr>
        <w:adjustRightInd w:val="0"/>
        <w:ind w:leftChars="300" w:left="850" w:firstLine="566"/>
      </w:pPr>
      <w:r w:rsidRPr="00FB61BF">
        <w:rPr>
          <w:rFonts w:hint="eastAsia"/>
        </w:rPr>
        <w:t>據</w:t>
      </w:r>
      <w:r w:rsidRPr="00FB61BF">
        <w:rPr>
          <w:rFonts w:hint="eastAsia"/>
          <w:lang w:eastAsia="zh-HK"/>
        </w:rPr>
        <w:t>該基金分析</w:t>
      </w:r>
      <w:r w:rsidRPr="00FB61BF">
        <w:rPr>
          <w:rFonts w:hint="eastAsia"/>
        </w:rPr>
        <w:t>，主要係受</w:t>
      </w:r>
      <w:r w:rsidRPr="00FB61BF">
        <w:t>COVID-19</w:t>
      </w:r>
      <w:r w:rsidRPr="00FB61BF">
        <w:rPr>
          <w:rFonts w:hint="eastAsia"/>
        </w:rPr>
        <w:t>疫情衝擊，影響企業投資意願</w:t>
      </w:r>
      <w:r w:rsidRPr="00FB61BF">
        <w:rPr>
          <w:rFonts w:hint="eastAsia"/>
          <w:lang w:eastAsia="zh-HK"/>
        </w:rPr>
        <w:t>，</w:t>
      </w:r>
      <w:r w:rsidRPr="00FB61BF">
        <w:rPr>
          <w:rFonts w:hint="eastAsia"/>
        </w:rPr>
        <w:t>另部分企業財務體質或營運績效欠佳，致銀行對其還款能力產生疑慮而予以婉拒。為協助企業向銀行取得融資貸款，已推動財團法人台灣中小企業聯合輔導基金會進行客製化</w:t>
      </w:r>
      <w:r w:rsidRPr="00FB61BF">
        <w:rPr>
          <w:rFonts w:hint="eastAsia"/>
        </w:rPr>
        <w:lastRenderedPageBreak/>
        <w:t>財務協助，允宜滾動檢討執行情形調整加強執行策略，以落實協助企業快速取得融資與升級轉型之目標。</w:t>
      </w:r>
    </w:p>
    <w:p w:rsidR="00FB61BF" w:rsidRPr="00FB61BF" w:rsidRDefault="00FB61BF" w:rsidP="00FB61BF">
      <w:pPr>
        <w:adjustRightInd w:val="0"/>
        <w:ind w:leftChars="15" w:left="793" w:hangingChars="285" w:hanging="751"/>
      </w:pPr>
      <w:r w:rsidRPr="00FB61BF">
        <w:rPr>
          <w:rFonts w:hint="eastAsia"/>
          <w:b/>
          <w:spacing w:val="-10"/>
        </w:rPr>
        <w:t xml:space="preserve">表1 </w:t>
      </w:r>
      <w:r w:rsidRPr="00FB61BF">
        <w:rPr>
          <w:b/>
          <w:spacing w:val="-10"/>
        </w:rPr>
        <w:t xml:space="preserve"> </w:t>
      </w:r>
      <w:r w:rsidRPr="00FB61BF">
        <w:rPr>
          <w:rFonts w:hint="eastAsia"/>
          <w:b/>
          <w:spacing w:val="-10"/>
        </w:rPr>
        <w:t>108</w:t>
      </w:r>
      <w:r w:rsidRPr="00FB61BF">
        <w:rPr>
          <w:rFonts w:hint="eastAsia"/>
          <w:b/>
          <w:spacing w:val="-10"/>
          <w:lang w:eastAsia="zh-HK"/>
        </w:rPr>
        <w:t>至</w:t>
      </w:r>
      <w:r w:rsidRPr="00FB61BF">
        <w:rPr>
          <w:rFonts w:hint="eastAsia"/>
          <w:b/>
          <w:spacing w:val="-10"/>
        </w:rPr>
        <w:t>113</w:t>
      </w:r>
      <w:r w:rsidRPr="00FB61BF">
        <w:rPr>
          <w:rFonts w:hint="eastAsia"/>
          <w:b/>
          <w:spacing w:val="-10"/>
          <w:lang w:eastAsia="zh-HK"/>
        </w:rPr>
        <w:t>年度</w:t>
      </w:r>
      <w:r w:rsidR="008169EA">
        <w:rPr>
          <w:rFonts w:hint="eastAsia"/>
          <w:b/>
          <w:spacing w:val="-10"/>
          <w:lang w:eastAsia="zh-HK"/>
        </w:rPr>
        <w:t>「</w:t>
      </w:r>
      <w:r w:rsidRPr="00FB61BF">
        <w:rPr>
          <w:rFonts w:hint="eastAsia"/>
          <w:b/>
          <w:spacing w:val="-10"/>
        </w:rPr>
        <w:t>中小企業加速投資行動方案</w:t>
      </w:r>
      <w:r w:rsidR="008169EA">
        <w:rPr>
          <w:rFonts w:hint="eastAsia"/>
          <w:b/>
          <w:spacing w:val="-10"/>
          <w:lang w:eastAsia="zh-HK"/>
        </w:rPr>
        <w:t>」</w:t>
      </w:r>
      <w:r w:rsidRPr="00FB61BF">
        <w:rPr>
          <w:rFonts w:hint="eastAsia"/>
          <w:b/>
          <w:spacing w:val="-10"/>
        </w:rPr>
        <w:t>執行成果統計表</w:t>
      </w:r>
      <w:r w:rsidRPr="00FB61BF">
        <w:rPr>
          <w:rFonts w:hint="eastAsia"/>
        </w:rPr>
        <w:t xml:space="preserve"> </w:t>
      </w:r>
    </w:p>
    <w:p w:rsidR="00FB61BF" w:rsidRPr="00FB61BF" w:rsidRDefault="00FB61BF" w:rsidP="00FB61BF">
      <w:pPr>
        <w:adjustRightInd w:val="0"/>
        <w:ind w:leftChars="15" w:left="849" w:hangingChars="285" w:hanging="807"/>
        <w:jc w:val="right"/>
      </w:pPr>
      <w:r w:rsidRPr="00FB61BF">
        <w:rPr>
          <w:rFonts w:hint="eastAsia"/>
        </w:rPr>
        <w:t xml:space="preserve"> </w:t>
      </w:r>
      <w:r w:rsidRPr="00FB61BF">
        <w:t xml:space="preserve">  </w:t>
      </w:r>
      <w:r w:rsidRPr="00FB61BF">
        <w:rPr>
          <w:rFonts w:hint="eastAsia"/>
          <w:sz w:val="24"/>
          <w:szCs w:val="24"/>
        </w:rPr>
        <w:t>單位：新臺幣億元；件</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275"/>
        <w:gridCol w:w="1358"/>
        <w:gridCol w:w="1194"/>
        <w:gridCol w:w="1299"/>
        <w:gridCol w:w="1246"/>
        <w:gridCol w:w="1178"/>
      </w:tblGrid>
      <w:tr w:rsidR="00FB61BF" w:rsidRPr="00FB61BF" w:rsidTr="00563DA3">
        <w:trPr>
          <w:tblHeader/>
        </w:trPr>
        <w:tc>
          <w:tcPr>
            <w:tcW w:w="993" w:type="dxa"/>
            <w:shd w:val="clear" w:color="auto" w:fill="auto"/>
            <w:vAlign w:val="center"/>
          </w:tcPr>
          <w:p w:rsidR="00FB61BF" w:rsidRPr="00FB61BF" w:rsidRDefault="00FB61BF" w:rsidP="00FB61BF">
            <w:pPr>
              <w:spacing w:line="300" w:lineRule="exact"/>
              <w:ind w:leftChars="0" w:left="0" w:firstLineChars="0" w:firstLine="0"/>
              <w:jc w:val="center"/>
              <w:rPr>
                <w:b/>
                <w:sz w:val="24"/>
              </w:rPr>
            </w:pPr>
            <w:r w:rsidRPr="00FB61BF">
              <w:rPr>
                <w:rFonts w:hint="eastAsia"/>
                <w:b/>
                <w:sz w:val="24"/>
              </w:rPr>
              <w:t>年度</w:t>
            </w:r>
          </w:p>
        </w:tc>
        <w:tc>
          <w:tcPr>
            <w:tcW w:w="1275" w:type="dxa"/>
            <w:shd w:val="clear" w:color="auto" w:fill="auto"/>
            <w:vAlign w:val="center"/>
          </w:tcPr>
          <w:p w:rsidR="00FB61BF" w:rsidRPr="00FB61BF" w:rsidRDefault="00FB61BF" w:rsidP="00563DA3">
            <w:pPr>
              <w:spacing w:line="300" w:lineRule="exact"/>
              <w:ind w:leftChars="0" w:left="0" w:firstLineChars="0" w:firstLine="0"/>
              <w:jc w:val="center"/>
              <w:rPr>
                <w:b/>
                <w:sz w:val="24"/>
              </w:rPr>
            </w:pPr>
            <w:r w:rsidRPr="00FB61BF">
              <w:rPr>
                <w:rFonts w:hint="eastAsia"/>
                <w:b/>
                <w:sz w:val="24"/>
              </w:rPr>
              <w:t>受理申請件數</w:t>
            </w:r>
          </w:p>
        </w:tc>
        <w:tc>
          <w:tcPr>
            <w:tcW w:w="1358" w:type="dxa"/>
            <w:shd w:val="clear" w:color="auto" w:fill="auto"/>
            <w:vAlign w:val="center"/>
          </w:tcPr>
          <w:p w:rsidR="00FB61BF" w:rsidRPr="00FB61BF" w:rsidRDefault="00FB61BF" w:rsidP="00FB61BF">
            <w:pPr>
              <w:spacing w:line="300" w:lineRule="exact"/>
              <w:ind w:leftChars="0" w:left="0" w:firstLineChars="0" w:firstLine="0"/>
              <w:jc w:val="center"/>
              <w:rPr>
                <w:b/>
                <w:sz w:val="24"/>
              </w:rPr>
            </w:pPr>
            <w:r w:rsidRPr="00FB61BF">
              <w:rPr>
                <w:rFonts w:hint="eastAsia"/>
                <w:b/>
                <w:sz w:val="24"/>
              </w:rPr>
              <w:t>預計投資總額</w:t>
            </w:r>
          </w:p>
        </w:tc>
        <w:tc>
          <w:tcPr>
            <w:tcW w:w="1194" w:type="dxa"/>
            <w:shd w:val="clear" w:color="auto" w:fill="auto"/>
            <w:vAlign w:val="center"/>
          </w:tcPr>
          <w:p w:rsidR="00FB61BF" w:rsidRPr="00FB61BF" w:rsidRDefault="00FB61BF" w:rsidP="00563DA3">
            <w:pPr>
              <w:spacing w:line="300" w:lineRule="exact"/>
              <w:ind w:leftChars="0" w:left="0" w:firstLineChars="0" w:firstLine="0"/>
              <w:jc w:val="center"/>
              <w:rPr>
                <w:b/>
                <w:spacing w:val="-20"/>
                <w:sz w:val="24"/>
              </w:rPr>
            </w:pPr>
            <w:r w:rsidRPr="00FB61BF">
              <w:rPr>
                <w:rFonts w:hint="eastAsia"/>
                <w:b/>
                <w:spacing w:val="-20"/>
                <w:sz w:val="24"/>
              </w:rPr>
              <w:t>審核通過融資件數</w:t>
            </w:r>
          </w:p>
        </w:tc>
        <w:tc>
          <w:tcPr>
            <w:tcW w:w="1299" w:type="dxa"/>
            <w:shd w:val="clear" w:color="auto" w:fill="auto"/>
            <w:vAlign w:val="center"/>
          </w:tcPr>
          <w:p w:rsidR="00FB61BF" w:rsidRPr="00FB61BF" w:rsidRDefault="00FB61BF" w:rsidP="00FB61BF">
            <w:pPr>
              <w:spacing w:line="300" w:lineRule="exact"/>
              <w:ind w:leftChars="0" w:left="0" w:firstLineChars="0" w:firstLine="0"/>
              <w:jc w:val="center"/>
              <w:rPr>
                <w:b/>
                <w:sz w:val="24"/>
              </w:rPr>
            </w:pPr>
            <w:r w:rsidRPr="00FB61BF">
              <w:rPr>
                <w:rFonts w:hint="eastAsia"/>
                <w:b/>
                <w:sz w:val="24"/>
              </w:rPr>
              <w:t>融資金額</w:t>
            </w:r>
          </w:p>
        </w:tc>
        <w:tc>
          <w:tcPr>
            <w:tcW w:w="1246" w:type="dxa"/>
            <w:shd w:val="clear" w:color="auto" w:fill="auto"/>
            <w:vAlign w:val="center"/>
          </w:tcPr>
          <w:p w:rsidR="00FB61BF" w:rsidRPr="00FB61BF" w:rsidRDefault="00FB61BF" w:rsidP="00563DA3">
            <w:pPr>
              <w:spacing w:line="300" w:lineRule="exact"/>
              <w:ind w:leftChars="0" w:left="0" w:firstLineChars="0" w:firstLine="0"/>
              <w:jc w:val="center"/>
              <w:rPr>
                <w:b/>
                <w:sz w:val="24"/>
              </w:rPr>
            </w:pPr>
            <w:r w:rsidRPr="00FB61BF">
              <w:rPr>
                <w:rFonts w:hint="eastAsia"/>
                <w:b/>
                <w:sz w:val="24"/>
              </w:rPr>
              <w:t>已核撥資金件數</w:t>
            </w:r>
          </w:p>
        </w:tc>
        <w:tc>
          <w:tcPr>
            <w:tcW w:w="1178" w:type="dxa"/>
            <w:shd w:val="clear" w:color="auto" w:fill="auto"/>
            <w:vAlign w:val="center"/>
          </w:tcPr>
          <w:p w:rsidR="00FB61BF" w:rsidRPr="00FB61BF" w:rsidRDefault="00FB61BF" w:rsidP="00FB61BF">
            <w:pPr>
              <w:spacing w:line="300" w:lineRule="exact"/>
              <w:ind w:leftChars="0" w:left="0" w:firstLineChars="0" w:firstLine="0"/>
              <w:jc w:val="center"/>
              <w:rPr>
                <w:b/>
                <w:sz w:val="24"/>
              </w:rPr>
            </w:pPr>
            <w:r w:rsidRPr="00FB61BF">
              <w:rPr>
                <w:rFonts w:hint="eastAsia"/>
                <w:b/>
                <w:sz w:val="24"/>
              </w:rPr>
              <w:t>已核撥</w:t>
            </w:r>
          </w:p>
          <w:p w:rsidR="00FB61BF" w:rsidRPr="00FB61BF" w:rsidRDefault="00FB61BF" w:rsidP="00FB61BF">
            <w:pPr>
              <w:spacing w:line="300" w:lineRule="exact"/>
              <w:ind w:leftChars="0" w:left="0" w:firstLineChars="0" w:firstLine="0"/>
              <w:jc w:val="center"/>
              <w:rPr>
                <w:b/>
                <w:sz w:val="24"/>
              </w:rPr>
            </w:pPr>
            <w:r w:rsidRPr="00FB61BF">
              <w:rPr>
                <w:rFonts w:hint="eastAsia"/>
                <w:b/>
                <w:sz w:val="24"/>
              </w:rPr>
              <w:t>金額</w:t>
            </w:r>
          </w:p>
        </w:tc>
      </w:tr>
      <w:tr w:rsidR="00FB61BF" w:rsidRPr="00FB61BF" w:rsidTr="00563DA3">
        <w:tc>
          <w:tcPr>
            <w:tcW w:w="993" w:type="dxa"/>
            <w:shd w:val="clear" w:color="auto" w:fill="auto"/>
          </w:tcPr>
          <w:p w:rsidR="00FB61BF" w:rsidRPr="00FB61BF" w:rsidRDefault="00FB61BF" w:rsidP="00FB61BF">
            <w:pPr>
              <w:spacing w:line="300" w:lineRule="exact"/>
              <w:ind w:leftChars="0" w:left="0" w:firstLineChars="0" w:firstLine="0"/>
              <w:jc w:val="center"/>
              <w:rPr>
                <w:sz w:val="24"/>
              </w:rPr>
            </w:pPr>
            <w:r w:rsidRPr="00FB61BF">
              <w:rPr>
                <w:rFonts w:hint="eastAsia"/>
                <w:sz w:val="24"/>
              </w:rPr>
              <w:t>108</w:t>
            </w:r>
          </w:p>
        </w:tc>
        <w:tc>
          <w:tcPr>
            <w:tcW w:w="1275"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102</w:t>
            </w:r>
          </w:p>
        </w:tc>
        <w:tc>
          <w:tcPr>
            <w:tcW w:w="1358"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446.95</w:t>
            </w:r>
          </w:p>
        </w:tc>
        <w:tc>
          <w:tcPr>
            <w:tcW w:w="1194"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19</w:t>
            </w:r>
          </w:p>
        </w:tc>
        <w:tc>
          <w:tcPr>
            <w:tcW w:w="1299"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72.74</w:t>
            </w:r>
          </w:p>
        </w:tc>
        <w:tc>
          <w:tcPr>
            <w:tcW w:w="1246"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7</w:t>
            </w:r>
          </w:p>
        </w:tc>
        <w:tc>
          <w:tcPr>
            <w:tcW w:w="1178"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5.01</w:t>
            </w:r>
          </w:p>
        </w:tc>
      </w:tr>
      <w:tr w:rsidR="00FB61BF" w:rsidRPr="00FB61BF" w:rsidTr="00563DA3">
        <w:tc>
          <w:tcPr>
            <w:tcW w:w="993" w:type="dxa"/>
            <w:shd w:val="clear" w:color="auto" w:fill="auto"/>
          </w:tcPr>
          <w:p w:rsidR="00FB61BF" w:rsidRPr="00FB61BF" w:rsidRDefault="00FB61BF" w:rsidP="00FB61BF">
            <w:pPr>
              <w:spacing w:line="300" w:lineRule="exact"/>
              <w:ind w:leftChars="0" w:left="0" w:firstLineChars="0" w:firstLine="0"/>
              <w:jc w:val="center"/>
              <w:rPr>
                <w:sz w:val="24"/>
              </w:rPr>
            </w:pPr>
            <w:r w:rsidRPr="00FB61BF">
              <w:rPr>
                <w:rFonts w:hint="eastAsia"/>
                <w:sz w:val="24"/>
              </w:rPr>
              <w:t>109</w:t>
            </w:r>
          </w:p>
        </w:tc>
        <w:tc>
          <w:tcPr>
            <w:tcW w:w="1275"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369</w:t>
            </w:r>
          </w:p>
        </w:tc>
        <w:tc>
          <w:tcPr>
            <w:tcW w:w="1358"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1,577.46</w:t>
            </w:r>
          </w:p>
        </w:tc>
        <w:tc>
          <w:tcPr>
            <w:tcW w:w="1194"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252</w:t>
            </w:r>
          </w:p>
        </w:tc>
        <w:tc>
          <w:tcPr>
            <w:tcW w:w="1299"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671.03</w:t>
            </w:r>
          </w:p>
        </w:tc>
        <w:tc>
          <w:tcPr>
            <w:tcW w:w="1246"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196</w:t>
            </w:r>
          </w:p>
        </w:tc>
        <w:tc>
          <w:tcPr>
            <w:tcW w:w="1178"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132.34</w:t>
            </w:r>
          </w:p>
        </w:tc>
      </w:tr>
      <w:tr w:rsidR="00FB61BF" w:rsidRPr="00FB61BF" w:rsidTr="00563DA3">
        <w:tc>
          <w:tcPr>
            <w:tcW w:w="993" w:type="dxa"/>
            <w:shd w:val="clear" w:color="auto" w:fill="auto"/>
          </w:tcPr>
          <w:p w:rsidR="00FB61BF" w:rsidRPr="00FB61BF" w:rsidRDefault="00FB61BF" w:rsidP="00FB61BF">
            <w:pPr>
              <w:spacing w:line="300" w:lineRule="exact"/>
              <w:ind w:leftChars="0" w:left="0" w:firstLineChars="0" w:firstLine="0"/>
              <w:jc w:val="center"/>
              <w:rPr>
                <w:sz w:val="24"/>
              </w:rPr>
            </w:pPr>
            <w:r w:rsidRPr="00FB61BF">
              <w:rPr>
                <w:rFonts w:hint="eastAsia"/>
                <w:sz w:val="24"/>
              </w:rPr>
              <w:t>110</w:t>
            </w:r>
          </w:p>
        </w:tc>
        <w:tc>
          <w:tcPr>
            <w:tcW w:w="1275"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284</w:t>
            </w:r>
          </w:p>
        </w:tc>
        <w:tc>
          <w:tcPr>
            <w:tcW w:w="1358"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1,176.81</w:t>
            </w:r>
          </w:p>
        </w:tc>
        <w:tc>
          <w:tcPr>
            <w:tcW w:w="1194"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285</w:t>
            </w:r>
          </w:p>
        </w:tc>
        <w:tc>
          <w:tcPr>
            <w:tcW w:w="1299"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701.03</w:t>
            </w:r>
          </w:p>
        </w:tc>
        <w:tc>
          <w:tcPr>
            <w:tcW w:w="1246"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289</w:t>
            </w:r>
          </w:p>
        </w:tc>
        <w:tc>
          <w:tcPr>
            <w:tcW w:w="1178"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363.39</w:t>
            </w:r>
          </w:p>
        </w:tc>
      </w:tr>
      <w:tr w:rsidR="00FB61BF" w:rsidRPr="00FB61BF" w:rsidTr="00563DA3">
        <w:tc>
          <w:tcPr>
            <w:tcW w:w="993" w:type="dxa"/>
            <w:shd w:val="clear" w:color="auto" w:fill="auto"/>
          </w:tcPr>
          <w:p w:rsidR="00FB61BF" w:rsidRPr="00FB61BF" w:rsidRDefault="00FB61BF" w:rsidP="00FB61BF">
            <w:pPr>
              <w:spacing w:line="300" w:lineRule="exact"/>
              <w:ind w:leftChars="0" w:left="0" w:firstLineChars="0" w:firstLine="0"/>
              <w:jc w:val="center"/>
              <w:rPr>
                <w:sz w:val="24"/>
              </w:rPr>
            </w:pPr>
            <w:r w:rsidRPr="00FB61BF">
              <w:rPr>
                <w:rFonts w:hint="eastAsia"/>
                <w:sz w:val="24"/>
              </w:rPr>
              <w:t>111</w:t>
            </w:r>
          </w:p>
        </w:tc>
        <w:tc>
          <w:tcPr>
            <w:tcW w:w="1275"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113</w:t>
            </w:r>
          </w:p>
        </w:tc>
        <w:tc>
          <w:tcPr>
            <w:tcW w:w="1358"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807.64</w:t>
            </w:r>
          </w:p>
        </w:tc>
        <w:tc>
          <w:tcPr>
            <w:tcW w:w="1194"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140</w:t>
            </w:r>
          </w:p>
        </w:tc>
        <w:tc>
          <w:tcPr>
            <w:tcW w:w="1299"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338.20</w:t>
            </w:r>
          </w:p>
        </w:tc>
        <w:tc>
          <w:tcPr>
            <w:tcW w:w="1246"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180</w:t>
            </w:r>
          </w:p>
        </w:tc>
        <w:tc>
          <w:tcPr>
            <w:tcW w:w="1178"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323.73</w:t>
            </w:r>
          </w:p>
        </w:tc>
      </w:tr>
      <w:tr w:rsidR="00FB61BF" w:rsidRPr="00FB61BF" w:rsidTr="00563DA3">
        <w:tc>
          <w:tcPr>
            <w:tcW w:w="993" w:type="dxa"/>
            <w:shd w:val="clear" w:color="auto" w:fill="auto"/>
          </w:tcPr>
          <w:p w:rsidR="00FB61BF" w:rsidRPr="00FB61BF" w:rsidRDefault="00FB61BF" w:rsidP="00FB61BF">
            <w:pPr>
              <w:spacing w:line="300" w:lineRule="exact"/>
              <w:ind w:leftChars="0" w:left="0" w:firstLineChars="0" w:firstLine="0"/>
              <w:jc w:val="center"/>
              <w:rPr>
                <w:spacing w:val="-20"/>
                <w:sz w:val="24"/>
              </w:rPr>
            </w:pPr>
            <w:r w:rsidRPr="00FB61BF">
              <w:rPr>
                <w:rFonts w:hint="eastAsia"/>
                <w:sz w:val="24"/>
              </w:rPr>
              <w:t>112</w:t>
            </w:r>
          </w:p>
        </w:tc>
        <w:tc>
          <w:tcPr>
            <w:tcW w:w="1275"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91</w:t>
            </w:r>
          </w:p>
        </w:tc>
        <w:tc>
          <w:tcPr>
            <w:tcW w:w="1358"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476.88</w:t>
            </w:r>
          </w:p>
        </w:tc>
        <w:tc>
          <w:tcPr>
            <w:tcW w:w="1194"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99</w:t>
            </w:r>
          </w:p>
        </w:tc>
        <w:tc>
          <w:tcPr>
            <w:tcW w:w="1299"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314.42</w:t>
            </w:r>
          </w:p>
        </w:tc>
        <w:tc>
          <w:tcPr>
            <w:tcW w:w="1246"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110</w:t>
            </w:r>
          </w:p>
        </w:tc>
        <w:tc>
          <w:tcPr>
            <w:tcW w:w="1178"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285.38</w:t>
            </w:r>
          </w:p>
        </w:tc>
      </w:tr>
      <w:tr w:rsidR="00FB61BF" w:rsidRPr="00FB61BF" w:rsidTr="00563DA3">
        <w:tc>
          <w:tcPr>
            <w:tcW w:w="993" w:type="dxa"/>
            <w:shd w:val="clear" w:color="auto" w:fill="auto"/>
          </w:tcPr>
          <w:p w:rsidR="00FB61BF" w:rsidRPr="00FB61BF" w:rsidRDefault="00FB61BF" w:rsidP="00FB61BF">
            <w:pPr>
              <w:spacing w:line="300" w:lineRule="exact"/>
              <w:ind w:leftChars="0" w:left="0" w:firstLineChars="0" w:firstLine="0"/>
              <w:jc w:val="center"/>
              <w:rPr>
                <w:rFonts w:hint="eastAsia"/>
                <w:sz w:val="24"/>
              </w:rPr>
            </w:pPr>
            <w:r w:rsidRPr="00FB61BF">
              <w:rPr>
                <w:rFonts w:hint="eastAsia"/>
                <w:sz w:val="24"/>
              </w:rPr>
              <w:t>113</w:t>
            </w:r>
          </w:p>
        </w:tc>
        <w:tc>
          <w:tcPr>
            <w:tcW w:w="1275"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131</w:t>
            </w:r>
          </w:p>
        </w:tc>
        <w:tc>
          <w:tcPr>
            <w:tcW w:w="1358"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820.39</w:t>
            </w:r>
          </w:p>
        </w:tc>
        <w:tc>
          <w:tcPr>
            <w:tcW w:w="1194"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66</w:t>
            </w:r>
          </w:p>
        </w:tc>
        <w:tc>
          <w:tcPr>
            <w:tcW w:w="1299"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224.90</w:t>
            </w:r>
          </w:p>
        </w:tc>
        <w:tc>
          <w:tcPr>
            <w:tcW w:w="1246"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56</w:t>
            </w:r>
          </w:p>
        </w:tc>
        <w:tc>
          <w:tcPr>
            <w:tcW w:w="1178" w:type="dxa"/>
            <w:shd w:val="clear" w:color="auto" w:fill="auto"/>
          </w:tcPr>
          <w:p w:rsidR="00FB61BF" w:rsidRPr="00FB61BF" w:rsidRDefault="00FB61BF" w:rsidP="00FB61BF">
            <w:pPr>
              <w:spacing w:line="300" w:lineRule="exact"/>
              <w:ind w:leftChars="0" w:left="0" w:firstLineChars="0" w:firstLine="0"/>
              <w:jc w:val="right"/>
              <w:rPr>
                <w:sz w:val="24"/>
              </w:rPr>
            </w:pPr>
            <w:r w:rsidRPr="00FB61BF">
              <w:rPr>
                <w:sz w:val="24"/>
              </w:rPr>
              <w:t xml:space="preserve">248.52 </w:t>
            </w:r>
          </w:p>
        </w:tc>
      </w:tr>
      <w:tr w:rsidR="00FB61BF" w:rsidRPr="00FB61BF" w:rsidTr="00563DA3">
        <w:tc>
          <w:tcPr>
            <w:tcW w:w="993" w:type="dxa"/>
            <w:shd w:val="clear" w:color="auto" w:fill="auto"/>
          </w:tcPr>
          <w:p w:rsidR="00FB61BF" w:rsidRPr="00FB61BF" w:rsidRDefault="008169EA" w:rsidP="008169EA">
            <w:pPr>
              <w:spacing w:line="300" w:lineRule="exact"/>
              <w:ind w:leftChars="0" w:left="0" w:firstLineChars="0" w:firstLine="0"/>
              <w:jc w:val="center"/>
              <w:rPr>
                <w:b/>
                <w:sz w:val="24"/>
              </w:rPr>
            </w:pPr>
            <w:r>
              <w:rPr>
                <w:rFonts w:hint="eastAsia"/>
                <w:b/>
                <w:sz w:val="24"/>
                <w:lang w:eastAsia="zh-HK"/>
              </w:rPr>
              <w:t>合</w:t>
            </w:r>
            <w:r w:rsidR="00FB61BF" w:rsidRPr="00FB61BF">
              <w:rPr>
                <w:rFonts w:hint="eastAsia"/>
                <w:b/>
                <w:sz w:val="24"/>
              </w:rPr>
              <w:t xml:space="preserve">  計</w:t>
            </w:r>
          </w:p>
        </w:tc>
        <w:tc>
          <w:tcPr>
            <w:tcW w:w="1275" w:type="dxa"/>
            <w:shd w:val="clear" w:color="auto" w:fill="auto"/>
          </w:tcPr>
          <w:p w:rsidR="00FB61BF" w:rsidRPr="00FB61BF" w:rsidRDefault="00FB61BF" w:rsidP="00FB61BF">
            <w:pPr>
              <w:spacing w:line="300" w:lineRule="exact"/>
              <w:ind w:leftChars="0" w:left="0" w:firstLineChars="0" w:firstLine="0"/>
              <w:jc w:val="right"/>
              <w:rPr>
                <w:b/>
                <w:sz w:val="24"/>
              </w:rPr>
            </w:pPr>
            <w:r w:rsidRPr="00FB61BF">
              <w:rPr>
                <w:b/>
                <w:sz w:val="24"/>
              </w:rPr>
              <w:t>1,090</w:t>
            </w:r>
          </w:p>
        </w:tc>
        <w:tc>
          <w:tcPr>
            <w:tcW w:w="1358" w:type="dxa"/>
            <w:shd w:val="clear" w:color="auto" w:fill="auto"/>
          </w:tcPr>
          <w:p w:rsidR="00FB61BF" w:rsidRPr="00FB61BF" w:rsidRDefault="00FB61BF" w:rsidP="00FB61BF">
            <w:pPr>
              <w:spacing w:line="300" w:lineRule="exact"/>
              <w:ind w:leftChars="0" w:left="0" w:firstLineChars="0" w:firstLine="0"/>
              <w:jc w:val="right"/>
              <w:rPr>
                <w:b/>
                <w:sz w:val="24"/>
              </w:rPr>
            </w:pPr>
            <w:r w:rsidRPr="00FB61BF">
              <w:rPr>
                <w:b/>
                <w:sz w:val="24"/>
              </w:rPr>
              <w:t>5,306.13</w:t>
            </w:r>
          </w:p>
        </w:tc>
        <w:tc>
          <w:tcPr>
            <w:tcW w:w="1194" w:type="dxa"/>
            <w:shd w:val="clear" w:color="auto" w:fill="auto"/>
          </w:tcPr>
          <w:p w:rsidR="00FB61BF" w:rsidRPr="00FB61BF" w:rsidRDefault="00FB61BF" w:rsidP="00FB61BF">
            <w:pPr>
              <w:spacing w:line="300" w:lineRule="exact"/>
              <w:ind w:leftChars="0" w:left="0" w:firstLineChars="0" w:firstLine="0"/>
              <w:jc w:val="right"/>
              <w:rPr>
                <w:b/>
                <w:sz w:val="24"/>
              </w:rPr>
            </w:pPr>
            <w:r w:rsidRPr="00FB61BF">
              <w:rPr>
                <w:b/>
                <w:sz w:val="24"/>
              </w:rPr>
              <w:t>861</w:t>
            </w:r>
          </w:p>
        </w:tc>
        <w:tc>
          <w:tcPr>
            <w:tcW w:w="1299" w:type="dxa"/>
            <w:shd w:val="clear" w:color="auto" w:fill="auto"/>
          </w:tcPr>
          <w:p w:rsidR="00FB61BF" w:rsidRPr="00FB61BF" w:rsidRDefault="00FB61BF" w:rsidP="00FB61BF">
            <w:pPr>
              <w:spacing w:line="300" w:lineRule="exact"/>
              <w:ind w:leftChars="0" w:left="0" w:firstLineChars="0" w:firstLine="0"/>
              <w:jc w:val="right"/>
              <w:rPr>
                <w:b/>
                <w:sz w:val="24"/>
              </w:rPr>
            </w:pPr>
            <w:r w:rsidRPr="00FB61BF">
              <w:rPr>
                <w:b/>
                <w:sz w:val="24"/>
              </w:rPr>
              <w:t>2,322.32</w:t>
            </w:r>
          </w:p>
        </w:tc>
        <w:tc>
          <w:tcPr>
            <w:tcW w:w="1246" w:type="dxa"/>
            <w:shd w:val="clear" w:color="auto" w:fill="auto"/>
          </w:tcPr>
          <w:p w:rsidR="00FB61BF" w:rsidRPr="00FB61BF" w:rsidRDefault="00FB61BF" w:rsidP="00FB61BF">
            <w:pPr>
              <w:spacing w:line="300" w:lineRule="exact"/>
              <w:ind w:leftChars="0" w:left="0" w:firstLineChars="0" w:firstLine="0"/>
              <w:jc w:val="right"/>
              <w:rPr>
                <w:b/>
                <w:sz w:val="24"/>
              </w:rPr>
            </w:pPr>
            <w:r w:rsidRPr="00FB61BF">
              <w:rPr>
                <w:b/>
                <w:sz w:val="24"/>
              </w:rPr>
              <w:t>838</w:t>
            </w:r>
          </w:p>
        </w:tc>
        <w:tc>
          <w:tcPr>
            <w:tcW w:w="1178" w:type="dxa"/>
            <w:shd w:val="clear" w:color="auto" w:fill="auto"/>
          </w:tcPr>
          <w:p w:rsidR="00FB61BF" w:rsidRPr="00FB61BF" w:rsidRDefault="00FB61BF" w:rsidP="00FB61BF">
            <w:pPr>
              <w:spacing w:line="300" w:lineRule="exact"/>
              <w:ind w:leftChars="0" w:left="0" w:firstLineChars="0" w:firstLine="0"/>
              <w:jc w:val="right"/>
              <w:rPr>
                <w:b/>
                <w:sz w:val="24"/>
              </w:rPr>
            </w:pPr>
            <w:r w:rsidRPr="00FB61BF">
              <w:rPr>
                <w:b/>
                <w:sz w:val="24"/>
              </w:rPr>
              <w:t>1,358.37</w:t>
            </w:r>
          </w:p>
        </w:tc>
      </w:tr>
    </w:tbl>
    <w:p w:rsidR="00FB61BF" w:rsidRPr="00FB61BF" w:rsidRDefault="00FB61BF" w:rsidP="00FB61BF">
      <w:pPr>
        <w:spacing w:line="280" w:lineRule="exact"/>
        <w:ind w:leftChars="0" w:left="0" w:firstLineChars="0" w:firstLine="0"/>
        <w:jc w:val="left"/>
        <w:rPr>
          <w:sz w:val="24"/>
        </w:rPr>
      </w:pPr>
      <w:r w:rsidRPr="00FB61BF">
        <w:rPr>
          <w:rFonts w:hint="eastAsia"/>
          <w:sz w:val="24"/>
        </w:rPr>
        <w:t>資料來源：中</w:t>
      </w:r>
      <w:r w:rsidRPr="00FB61BF">
        <w:rPr>
          <w:rFonts w:hint="eastAsia"/>
          <w:sz w:val="24"/>
          <w:lang w:eastAsia="zh-HK"/>
        </w:rPr>
        <w:t>小企業發展基金</w:t>
      </w:r>
      <w:r w:rsidRPr="00FB61BF">
        <w:rPr>
          <w:rFonts w:hint="eastAsia"/>
          <w:sz w:val="24"/>
        </w:rPr>
        <w:t>提供。</w:t>
      </w:r>
    </w:p>
    <w:p w:rsidR="00FB61BF" w:rsidRPr="00FB61BF" w:rsidRDefault="00FB61BF" w:rsidP="00F5159F">
      <w:pPr>
        <w:adjustRightInd w:val="0"/>
        <w:ind w:leftChars="15" w:left="751" w:hangingChars="250" w:hanging="709"/>
        <w:rPr>
          <w:rFonts w:hAnsi="標楷體"/>
          <w:lang w:eastAsia="zh-HK"/>
        </w:rPr>
      </w:pPr>
      <w:r w:rsidRPr="00FB61BF">
        <w:rPr>
          <w:rFonts w:hAnsi="標楷體" w:hint="eastAsia"/>
          <w:b/>
        </w:rPr>
        <w:t>表2 109至113年度</w:t>
      </w:r>
      <w:r w:rsidR="00563DA3">
        <w:rPr>
          <w:rFonts w:hAnsi="標楷體" w:hint="eastAsia"/>
          <w:b/>
          <w:lang w:eastAsia="zh-HK"/>
        </w:rPr>
        <w:t>「</w:t>
      </w:r>
      <w:r w:rsidRPr="00F5159F">
        <w:rPr>
          <w:rFonts w:hint="eastAsia"/>
          <w:b/>
          <w:spacing w:val="-10"/>
        </w:rPr>
        <w:t>中小企業</w:t>
      </w:r>
      <w:r w:rsidRPr="00FB61BF">
        <w:rPr>
          <w:rFonts w:hAnsi="標楷體" w:hint="eastAsia"/>
          <w:b/>
        </w:rPr>
        <w:t>加速投資行動方案</w:t>
      </w:r>
      <w:r w:rsidR="00563DA3">
        <w:rPr>
          <w:rFonts w:hAnsi="標楷體" w:hint="eastAsia"/>
          <w:b/>
          <w:lang w:eastAsia="zh-HK"/>
        </w:rPr>
        <w:t>」</w:t>
      </w:r>
      <w:r w:rsidR="00F5159F">
        <w:rPr>
          <w:rFonts w:hAnsi="標楷體" w:hint="eastAsia"/>
          <w:b/>
          <w:lang w:eastAsia="zh-HK"/>
        </w:rPr>
        <w:t>專案貸款</w:t>
      </w:r>
      <w:r w:rsidRPr="00FB61BF">
        <w:rPr>
          <w:rFonts w:hAnsi="標楷體" w:hint="eastAsia"/>
          <w:b/>
        </w:rPr>
        <w:t>預</w:t>
      </w:r>
      <w:r w:rsidR="00563DA3">
        <w:rPr>
          <w:rFonts w:hAnsi="標楷體" w:hint="eastAsia"/>
          <w:b/>
          <w:lang w:eastAsia="zh-HK"/>
        </w:rPr>
        <w:t>決算</w:t>
      </w:r>
      <w:r w:rsidRPr="00FB61BF">
        <w:rPr>
          <w:rFonts w:hAnsi="標楷體" w:hint="eastAsia"/>
          <w:b/>
        </w:rPr>
        <w:t>情形表</w:t>
      </w:r>
      <w:r w:rsidRPr="00FB61BF">
        <w:rPr>
          <w:rFonts w:hAnsi="標楷體" w:hint="eastAsia"/>
        </w:rPr>
        <w:t xml:space="preserve">        </w:t>
      </w:r>
      <w:r w:rsidR="00F5159F">
        <w:rPr>
          <w:rFonts w:hAnsi="標楷體"/>
        </w:rPr>
        <w:t xml:space="preserve">                       </w:t>
      </w:r>
      <w:r w:rsidRPr="00FB61BF">
        <w:rPr>
          <w:rFonts w:hAnsi="標楷體" w:hint="eastAsia"/>
        </w:rPr>
        <w:t xml:space="preserve">  </w:t>
      </w:r>
      <w:r w:rsidRPr="00FB61BF">
        <w:rPr>
          <w:rFonts w:hAnsi="標楷體" w:hint="eastAsia"/>
          <w:sz w:val="24"/>
          <w:szCs w:val="24"/>
        </w:rPr>
        <w:t>單位：新臺幣千元</w:t>
      </w:r>
      <w:r w:rsidRPr="00FB61BF">
        <w:rPr>
          <w:rFonts w:hAnsi="標楷體" w:hint="eastAsia"/>
          <w:sz w:val="24"/>
          <w:szCs w:val="24"/>
          <w:lang w:eastAsia="zh-HK"/>
        </w:rPr>
        <w:t>；</w:t>
      </w:r>
      <w:r w:rsidRPr="00FB61BF">
        <w:rPr>
          <w:rFonts w:hAnsi="標楷體" w:hint="eastAsia"/>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839"/>
        <w:gridCol w:w="1132"/>
        <w:gridCol w:w="1134"/>
        <w:gridCol w:w="1140"/>
        <w:gridCol w:w="1134"/>
        <w:gridCol w:w="1276"/>
        <w:gridCol w:w="850"/>
      </w:tblGrid>
      <w:tr w:rsidR="00FB61BF" w:rsidRPr="00FB61BF" w:rsidTr="00563DA3">
        <w:trPr>
          <w:trHeight w:val="397"/>
          <w:tblHeader/>
        </w:trPr>
        <w:tc>
          <w:tcPr>
            <w:tcW w:w="1839" w:type="dxa"/>
            <w:vMerge w:val="restart"/>
            <w:vAlign w:val="center"/>
          </w:tcPr>
          <w:p w:rsidR="00FB61BF" w:rsidRPr="00FB61BF" w:rsidRDefault="00FB61BF" w:rsidP="00FB61BF">
            <w:pPr>
              <w:spacing w:line="280" w:lineRule="exact"/>
              <w:ind w:leftChars="0" w:left="0" w:firstLineChars="0" w:firstLine="0"/>
              <w:jc w:val="center"/>
              <w:rPr>
                <w:rFonts w:hAnsi="標楷體"/>
                <w:b/>
                <w:spacing w:val="-20"/>
                <w:sz w:val="22"/>
                <w:szCs w:val="22"/>
              </w:rPr>
            </w:pPr>
            <w:r w:rsidRPr="00FB61BF">
              <w:rPr>
                <w:rFonts w:hAnsi="標楷體" w:hint="eastAsia"/>
                <w:b/>
                <w:spacing w:val="-20"/>
                <w:sz w:val="22"/>
                <w:szCs w:val="22"/>
              </w:rPr>
              <w:t>項 目</w:t>
            </w:r>
          </w:p>
        </w:tc>
        <w:tc>
          <w:tcPr>
            <w:tcW w:w="1132" w:type="dxa"/>
            <w:vAlign w:val="center"/>
          </w:tcPr>
          <w:p w:rsidR="00FB61BF" w:rsidRPr="00FB61BF" w:rsidRDefault="00FB61BF" w:rsidP="00FB61BF">
            <w:pPr>
              <w:spacing w:line="280" w:lineRule="exact"/>
              <w:ind w:leftChars="0" w:left="0" w:firstLineChars="0" w:firstLine="0"/>
              <w:jc w:val="center"/>
              <w:rPr>
                <w:rFonts w:hAnsi="標楷體" w:hint="eastAsia"/>
                <w:b/>
                <w:spacing w:val="-20"/>
                <w:sz w:val="22"/>
                <w:szCs w:val="22"/>
              </w:rPr>
            </w:pPr>
            <w:r w:rsidRPr="00FB61BF">
              <w:rPr>
                <w:rFonts w:hAnsi="標楷體" w:hint="eastAsia"/>
                <w:b/>
                <w:spacing w:val="-20"/>
                <w:sz w:val="22"/>
                <w:szCs w:val="22"/>
              </w:rPr>
              <w:t>109</w:t>
            </w:r>
            <w:r w:rsidRPr="00FB61BF">
              <w:rPr>
                <w:rFonts w:hAnsi="標楷體" w:hint="eastAsia"/>
                <w:b/>
                <w:spacing w:val="-20"/>
                <w:sz w:val="22"/>
                <w:szCs w:val="22"/>
                <w:lang w:eastAsia="zh-HK"/>
              </w:rPr>
              <w:t>年度</w:t>
            </w:r>
          </w:p>
        </w:tc>
        <w:tc>
          <w:tcPr>
            <w:tcW w:w="1134" w:type="dxa"/>
            <w:vAlign w:val="center"/>
          </w:tcPr>
          <w:p w:rsidR="00FB61BF" w:rsidRPr="00FB61BF" w:rsidRDefault="00FB61BF" w:rsidP="00FB61BF">
            <w:pPr>
              <w:spacing w:line="280" w:lineRule="exact"/>
              <w:ind w:leftChars="0" w:left="0" w:firstLineChars="0" w:firstLine="0"/>
              <w:jc w:val="center"/>
              <w:rPr>
                <w:rFonts w:hAnsi="標楷體" w:hint="eastAsia"/>
                <w:b/>
                <w:spacing w:val="-20"/>
                <w:sz w:val="22"/>
                <w:szCs w:val="22"/>
              </w:rPr>
            </w:pPr>
            <w:r w:rsidRPr="00FB61BF">
              <w:rPr>
                <w:rFonts w:hAnsi="標楷體" w:hint="eastAsia"/>
                <w:b/>
                <w:spacing w:val="-20"/>
                <w:sz w:val="22"/>
                <w:szCs w:val="22"/>
              </w:rPr>
              <w:t>110</w:t>
            </w:r>
            <w:r w:rsidRPr="00FB61BF">
              <w:rPr>
                <w:rFonts w:hAnsi="標楷體" w:hint="eastAsia"/>
                <w:b/>
                <w:spacing w:val="-20"/>
                <w:sz w:val="22"/>
                <w:szCs w:val="22"/>
                <w:lang w:eastAsia="zh-HK"/>
              </w:rPr>
              <w:t>年度</w:t>
            </w:r>
          </w:p>
        </w:tc>
        <w:tc>
          <w:tcPr>
            <w:tcW w:w="1140" w:type="dxa"/>
            <w:vAlign w:val="center"/>
          </w:tcPr>
          <w:p w:rsidR="00FB61BF" w:rsidRPr="00FB61BF" w:rsidRDefault="00FB61BF" w:rsidP="00FB61BF">
            <w:pPr>
              <w:spacing w:line="280" w:lineRule="exact"/>
              <w:ind w:leftChars="0" w:left="0" w:firstLineChars="0" w:firstLine="0"/>
              <w:jc w:val="center"/>
              <w:rPr>
                <w:rFonts w:hAnsi="標楷體"/>
                <w:b/>
                <w:spacing w:val="-20"/>
                <w:sz w:val="22"/>
                <w:szCs w:val="22"/>
              </w:rPr>
            </w:pPr>
            <w:r w:rsidRPr="00FB61BF">
              <w:rPr>
                <w:rFonts w:hAnsi="標楷體" w:hint="eastAsia"/>
                <w:b/>
                <w:spacing w:val="-20"/>
                <w:sz w:val="22"/>
                <w:szCs w:val="22"/>
              </w:rPr>
              <w:t>111年度</w:t>
            </w:r>
          </w:p>
        </w:tc>
        <w:tc>
          <w:tcPr>
            <w:tcW w:w="1134" w:type="dxa"/>
            <w:vAlign w:val="center"/>
          </w:tcPr>
          <w:p w:rsidR="00FB61BF" w:rsidRPr="00FB61BF" w:rsidRDefault="00FB61BF" w:rsidP="00FB61BF">
            <w:pPr>
              <w:spacing w:line="280" w:lineRule="exact"/>
              <w:ind w:leftChars="0" w:left="0" w:firstLineChars="0" w:firstLine="0"/>
              <w:jc w:val="center"/>
              <w:rPr>
                <w:rFonts w:hAnsi="標楷體"/>
                <w:b/>
                <w:spacing w:val="-20"/>
                <w:sz w:val="22"/>
                <w:szCs w:val="22"/>
              </w:rPr>
            </w:pPr>
            <w:r w:rsidRPr="00FB61BF">
              <w:rPr>
                <w:rFonts w:hAnsi="標楷體" w:hint="eastAsia"/>
                <w:b/>
                <w:spacing w:val="-20"/>
                <w:sz w:val="22"/>
                <w:szCs w:val="22"/>
              </w:rPr>
              <w:t>112</w:t>
            </w:r>
            <w:r w:rsidRPr="00FB61BF">
              <w:rPr>
                <w:rFonts w:hAnsi="標楷體" w:hint="eastAsia"/>
                <w:b/>
                <w:spacing w:val="-20"/>
                <w:sz w:val="22"/>
                <w:szCs w:val="22"/>
                <w:lang w:eastAsia="zh-HK"/>
              </w:rPr>
              <w:t>年度</w:t>
            </w:r>
          </w:p>
        </w:tc>
        <w:tc>
          <w:tcPr>
            <w:tcW w:w="2126" w:type="dxa"/>
            <w:gridSpan w:val="2"/>
            <w:vAlign w:val="center"/>
          </w:tcPr>
          <w:p w:rsidR="00FB61BF" w:rsidRPr="00FB61BF" w:rsidRDefault="00FB61BF" w:rsidP="00FB61BF">
            <w:pPr>
              <w:spacing w:line="280" w:lineRule="exact"/>
              <w:ind w:leftChars="0" w:left="0" w:firstLineChars="0" w:firstLine="0"/>
              <w:jc w:val="center"/>
              <w:rPr>
                <w:rFonts w:hAnsi="標楷體"/>
                <w:b/>
                <w:spacing w:val="-20"/>
                <w:sz w:val="22"/>
                <w:szCs w:val="22"/>
              </w:rPr>
            </w:pPr>
            <w:r w:rsidRPr="00FB61BF">
              <w:rPr>
                <w:rFonts w:hAnsi="標楷體" w:hint="eastAsia"/>
                <w:b/>
                <w:spacing w:val="-20"/>
                <w:sz w:val="22"/>
                <w:szCs w:val="22"/>
              </w:rPr>
              <w:t>113年度</w:t>
            </w:r>
          </w:p>
        </w:tc>
      </w:tr>
      <w:tr w:rsidR="00FB61BF" w:rsidRPr="00FB61BF" w:rsidTr="00563DA3">
        <w:trPr>
          <w:tblHeader/>
        </w:trPr>
        <w:tc>
          <w:tcPr>
            <w:tcW w:w="1839" w:type="dxa"/>
            <w:vMerge/>
            <w:tcBorders>
              <w:bottom w:val="single" w:sz="6" w:space="0" w:color="auto"/>
            </w:tcBorders>
          </w:tcPr>
          <w:p w:rsidR="00FB61BF" w:rsidRPr="00FB61BF" w:rsidRDefault="00FB61BF" w:rsidP="00FB61BF">
            <w:pPr>
              <w:spacing w:line="280" w:lineRule="exact"/>
              <w:ind w:leftChars="0" w:left="0" w:firstLineChars="0" w:firstLine="0"/>
              <w:jc w:val="left"/>
              <w:rPr>
                <w:rFonts w:hAnsi="標楷體"/>
                <w:spacing w:val="-20"/>
                <w:sz w:val="22"/>
                <w:szCs w:val="22"/>
              </w:rPr>
            </w:pPr>
          </w:p>
        </w:tc>
        <w:tc>
          <w:tcPr>
            <w:tcW w:w="1132" w:type="dxa"/>
            <w:tcBorders>
              <w:bottom w:val="single" w:sz="6" w:space="0" w:color="auto"/>
            </w:tcBorders>
            <w:vAlign w:val="center"/>
          </w:tcPr>
          <w:p w:rsidR="00FB61BF" w:rsidRPr="00FB61BF" w:rsidRDefault="00FB61BF" w:rsidP="00FB61BF">
            <w:pPr>
              <w:spacing w:line="280" w:lineRule="exact"/>
              <w:ind w:leftChars="0" w:left="0" w:firstLineChars="0" w:firstLine="0"/>
              <w:jc w:val="center"/>
              <w:rPr>
                <w:rFonts w:hAnsi="標楷體"/>
                <w:b/>
                <w:spacing w:val="-20"/>
                <w:sz w:val="22"/>
                <w:szCs w:val="22"/>
              </w:rPr>
            </w:pPr>
            <w:r w:rsidRPr="00FB61BF">
              <w:rPr>
                <w:rFonts w:hAnsi="標楷體" w:hint="eastAsia"/>
                <w:b/>
                <w:spacing w:val="-20"/>
                <w:sz w:val="22"/>
                <w:szCs w:val="22"/>
              </w:rPr>
              <w:t>決算數</w:t>
            </w:r>
          </w:p>
        </w:tc>
        <w:tc>
          <w:tcPr>
            <w:tcW w:w="1134" w:type="dxa"/>
            <w:tcBorders>
              <w:bottom w:val="single" w:sz="6" w:space="0" w:color="auto"/>
            </w:tcBorders>
            <w:vAlign w:val="center"/>
          </w:tcPr>
          <w:p w:rsidR="00FB61BF" w:rsidRPr="00FB61BF" w:rsidRDefault="00FB61BF" w:rsidP="00FB61BF">
            <w:pPr>
              <w:spacing w:line="280" w:lineRule="exact"/>
              <w:ind w:leftChars="0" w:left="0" w:firstLineChars="0" w:firstLine="0"/>
              <w:jc w:val="center"/>
              <w:rPr>
                <w:rFonts w:hAnsi="標楷體"/>
                <w:b/>
                <w:spacing w:val="-20"/>
                <w:sz w:val="22"/>
                <w:szCs w:val="22"/>
              </w:rPr>
            </w:pPr>
            <w:r w:rsidRPr="00FB61BF">
              <w:rPr>
                <w:rFonts w:hAnsi="標楷體" w:hint="eastAsia"/>
                <w:b/>
                <w:spacing w:val="-20"/>
                <w:sz w:val="22"/>
                <w:szCs w:val="22"/>
              </w:rPr>
              <w:t>決算數</w:t>
            </w:r>
          </w:p>
        </w:tc>
        <w:tc>
          <w:tcPr>
            <w:tcW w:w="1140" w:type="dxa"/>
            <w:tcBorders>
              <w:bottom w:val="single" w:sz="6" w:space="0" w:color="auto"/>
            </w:tcBorders>
            <w:vAlign w:val="center"/>
          </w:tcPr>
          <w:p w:rsidR="00FB61BF" w:rsidRPr="00FB61BF" w:rsidRDefault="00FB61BF" w:rsidP="00FB61BF">
            <w:pPr>
              <w:spacing w:line="280" w:lineRule="exact"/>
              <w:ind w:leftChars="0" w:left="0" w:firstLineChars="0" w:firstLine="0"/>
              <w:jc w:val="center"/>
              <w:rPr>
                <w:rFonts w:hAnsi="標楷體"/>
                <w:b/>
                <w:spacing w:val="-20"/>
                <w:sz w:val="22"/>
                <w:szCs w:val="22"/>
              </w:rPr>
            </w:pPr>
            <w:r w:rsidRPr="00FB61BF">
              <w:rPr>
                <w:rFonts w:hAnsi="標楷體" w:hint="eastAsia"/>
                <w:b/>
                <w:spacing w:val="-20"/>
                <w:sz w:val="22"/>
                <w:szCs w:val="22"/>
              </w:rPr>
              <w:t>決算數</w:t>
            </w:r>
          </w:p>
        </w:tc>
        <w:tc>
          <w:tcPr>
            <w:tcW w:w="1134" w:type="dxa"/>
            <w:tcBorders>
              <w:bottom w:val="single" w:sz="6" w:space="0" w:color="auto"/>
            </w:tcBorders>
            <w:vAlign w:val="center"/>
          </w:tcPr>
          <w:p w:rsidR="00FB61BF" w:rsidRPr="00FB61BF" w:rsidRDefault="00FB61BF" w:rsidP="00FB61BF">
            <w:pPr>
              <w:spacing w:line="280" w:lineRule="exact"/>
              <w:ind w:leftChars="0" w:left="0" w:firstLineChars="0" w:firstLine="0"/>
              <w:jc w:val="center"/>
              <w:rPr>
                <w:rFonts w:hAnsi="標楷體"/>
                <w:b/>
                <w:spacing w:val="-20"/>
                <w:sz w:val="22"/>
                <w:szCs w:val="22"/>
              </w:rPr>
            </w:pPr>
            <w:r w:rsidRPr="00FB61BF">
              <w:rPr>
                <w:rFonts w:hAnsi="標楷體" w:hint="eastAsia"/>
                <w:b/>
                <w:spacing w:val="-20"/>
                <w:sz w:val="22"/>
                <w:szCs w:val="22"/>
              </w:rPr>
              <w:t>決算數</w:t>
            </w:r>
          </w:p>
        </w:tc>
        <w:tc>
          <w:tcPr>
            <w:tcW w:w="1276" w:type="dxa"/>
            <w:tcBorders>
              <w:bottom w:val="single" w:sz="6" w:space="0" w:color="auto"/>
            </w:tcBorders>
            <w:vAlign w:val="center"/>
          </w:tcPr>
          <w:p w:rsidR="00FB61BF" w:rsidRPr="00FB61BF" w:rsidRDefault="00FB61BF" w:rsidP="00FB61BF">
            <w:pPr>
              <w:spacing w:line="280" w:lineRule="exact"/>
              <w:ind w:leftChars="0" w:left="0" w:firstLineChars="0" w:firstLine="0"/>
              <w:jc w:val="center"/>
              <w:rPr>
                <w:rFonts w:hAnsi="標楷體"/>
                <w:b/>
                <w:spacing w:val="-20"/>
                <w:sz w:val="22"/>
                <w:szCs w:val="22"/>
              </w:rPr>
            </w:pPr>
            <w:r w:rsidRPr="00FB61BF">
              <w:rPr>
                <w:rFonts w:hAnsi="標楷體" w:hint="eastAsia"/>
                <w:b/>
                <w:spacing w:val="-20"/>
                <w:sz w:val="22"/>
                <w:szCs w:val="22"/>
              </w:rPr>
              <w:t>預算數</w:t>
            </w:r>
          </w:p>
        </w:tc>
        <w:tc>
          <w:tcPr>
            <w:tcW w:w="850" w:type="dxa"/>
            <w:tcBorders>
              <w:bottom w:val="single" w:sz="6" w:space="0" w:color="auto"/>
            </w:tcBorders>
            <w:vAlign w:val="center"/>
          </w:tcPr>
          <w:p w:rsidR="00FB61BF" w:rsidRPr="00FB61BF" w:rsidRDefault="00FB61BF" w:rsidP="00FB61BF">
            <w:pPr>
              <w:spacing w:line="280" w:lineRule="exact"/>
              <w:ind w:leftChars="0" w:left="0" w:firstLineChars="0" w:firstLine="0"/>
              <w:jc w:val="center"/>
              <w:rPr>
                <w:rFonts w:hAnsi="標楷體"/>
                <w:b/>
                <w:spacing w:val="-20"/>
                <w:sz w:val="22"/>
                <w:szCs w:val="22"/>
              </w:rPr>
            </w:pPr>
            <w:r w:rsidRPr="00FB61BF">
              <w:rPr>
                <w:rFonts w:hAnsi="標楷體" w:hint="eastAsia"/>
                <w:b/>
                <w:spacing w:val="-20"/>
                <w:sz w:val="22"/>
                <w:szCs w:val="22"/>
              </w:rPr>
              <w:t>決算數</w:t>
            </w:r>
          </w:p>
        </w:tc>
      </w:tr>
      <w:tr w:rsidR="00FB61BF" w:rsidRPr="00FB61BF" w:rsidTr="00563DA3">
        <w:tc>
          <w:tcPr>
            <w:tcW w:w="1839" w:type="dxa"/>
            <w:tcBorders>
              <w:top w:val="single" w:sz="6" w:space="0" w:color="auto"/>
              <w:bottom w:val="single" w:sz="8" w:space="0" w:color="auto"/>
            </w:tcBorders>
          </w:tcPr>
          <w:p w:rsidR="00FB61BF" w:rsidRPr="00FB61BF" w:rsidRDefault="00FB61BF" w:rsidP="00FB61BF">
            <w:pPr>
              <w:spacing w:line="280" w:lineRule="exact"/>
              <w:ind w:leftChars="0" w:left="0" w:firstLineChars="0" w:firstLine="0"/>
              <w:jc w:val="left"/>
              <w:rPr>
                <w:rFonts w:hAnsi="標楷體"/>
                <w:spacing w:val="-20"/>
                <w:sz w:val="22"/>
                <w:szCs w:val="22"/>
              </w:rPr>
            </w:pPr>
            <w:r w:rsidRPr="00FB61BF">
              <w:rPr>
                <w:rFonts w:hAnsi="標楷體" w:hint="eastAsia"/>
                <w:spacing w:val="-20"/>
                <w:sz w:val="22"/>
                <w:szCs w:val="22"/>
              </w:rPr>
              <w:t>委辦手續費</w:t>
            </w:r>
          </w:p>
        </w:tc>
        <w:tc>
          <w:tcPr>
            <w:tcW w:w="1132" w:type="dxa"/>
            <w:tcBorders>
              <w:top w:val="single" w:sz="6" w:space="0" w:color="auto"/>
              <w:bottom w:val="single" w:sz="8" w:space="0" w:color="auto"/>
            </w:tcBorders>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hint="eastAsia"/>
                <w:spacing w:val="-20"/>
                <w:sz w:val="22"/>
                <w:szCs w:val="22"/>
              </w:rPr>
              <w:t>81,252</w:t>
            </w:r>
          </w:p>
        </w:tc>
        <w:tc>
          <w:tcPr>
            <w:tcW w:w="1134" w:type="dxa"/>
            <w:tcBorders>
              <w:top w:val="single" w:sz="6" w:space="0" w:color="auto"/>
              <w:bottom w:val="single" w:sz="8" w:space="0" w:color="auto"/>
            </w:tcBorders>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hint="eastAsia"/>
                <w:spacing w:val="-20"/>
                <w:sz w:val="22"/>
                <w:szCs w:val="22"/>
              </w:rPr>
              <w:t>435,300</w:t>
            </w:r>
          </w:p>
        </w:tc>
        <w:tc>
          <w:tcPr>
            <w:tcW w:w="1140" w:type="dxa"/>
            <w:tcBorders>
              <w:top w:val="single" w:sz="6"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752,815</w:t>
            </w:r>
          </w:p>
        </w:tc>
        <w:tc>
          <w:tcPr>
            <w:tcW w:w="1134" w:type="dxa"/>
            <w:tcBorders>
              <w:top w:val="single" w:sz="6"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870,162</w:t>
            </w:r>
          </w:p>
        </w:tc>
        <w:tc>
          <w:tcPr>
            <w:tcW w:w="1276" w:type="dxa"/>
            <w:tcBorders>
              <w:top w:val="single" w:sz="6"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4"/>
                <w:sz w:val="22"/>
                <w:szCs w:val="22"/>
              </w:rPr>
            </w:pPr>
            <w:r w:rsidRPr="00FB61BF">
              <w:rPr>
                <w:rFonts w:hAnsi="標楷體"/>
                <w:spacing w:val="-20"/>
                <w:sz w:val="22"/>
                <w:szCs w:val="22"/>
              </w:rPr>
              <w:t xml:space="preserve">1,389,180 </w:t>
            </w:r>
          </w:p>
        </w:tc>
        <w:tc>
          <w:tcPr>
            <w:tcW w:w="850" w:type="dxa"/>
            <w:tcBorders>
              <w:top w:val="single" w:sz="6"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4"/>
                <w:sz w:val="22"/>
                <w:szCs w:val="22"/>
              </w:rPr>
            </w:pPr>
            <w:r w:rsidRPr="00FB61BF">
              <w:rPr>
                <w:rFonts w:hAnsi="標楷體"/>
                <w:spacing w:val="-20"/>
                <w:sz w:val="22"/>
                <w:szCs w:val="22"/>
              </w:rPr>
              <w:t xml:space="preserve">834,095 </w:t>
            </w:r>
          </w:p>
        </w:tc>
      </w:tr>
      <w:tr w:rsidR="00FB61BF" w:rsidRPr="00FB61BF" w:rsidTr="00563DA3">
        <w:tc>
          <w:tcPr>
            <w:tcW w:w="1839" w:type="dxa"/>
            <w:tcBorders>
              <w:top w:val="single" w:sz="8" w:space="0" w:color="auto"/>
              <w:bottom w:val="single" w:sz="8" w:space="0" w:color="auto"/>
            </w:tcBorders>
          </w:tcPr>
          <w:p w:rsidR="00FB61BF" w:rsidRPr="00FB61BF" w:rsidRDefault="00FB61BF" w:rsidP="00FB61BF">
            <w:pPr>
              <w:spacing w:line="280" w:lineRule="exact"/>
              <w:ind w:leftChars="0" w:left="0" w:firstLineChars="0" w:firstLine="0"/>
              <w:jc w:val="left"/>
              <w:rPr>
                <w:rFonts w:hAnsi="標楷體"/>
                <w:spacing w:val="-20"/>
                <w:sz w:val="22"/>
                <w:szCs w:val="22"/>
              </w:rPr>
            </w:pPr>
            <w:r w:rsidRPr="00FB61BF">
              <w:rPr>
                <w:rFonts w:hAnsi="標楷體" w:hint="eastAsia"/>
                <w:spacing w:val="-20"/>
                <w:sz w:val="22"/>
                <w:szCs w:val="22"/>
              </w:rPr>
              <w:t>經理銀行行政作業費</w:t>
            </w:r>
          </w:p>
        </w:tc>
        <w:tc>
          <w:tcPr>
            <w:tcW w:w="1132" w:type="dxa"/>
            <w:tcBorders>
              <w:top w:val="single" w:sz="8" w:space="0" w:color="auto"/>
              <w:bottom w:val="single" w:sz="8" w:space="0" w:color="auto"/>
            </w:tcBorders>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hint="eastAsia"/>
                <w:spacing w:val="-20"/>
                <w:sz w:val="22"/>
                <w:szCs w:val="22"/>
              </w:rPr>
              <w:t>560</w:t>
            </w:r>
          </w:p>
        </w:tc>
        <w:tc>
          <w:tcPr>
            <w:tcW w:w="1134" w:type="dxa"/>
            <w:tcBorders>
              <w:top w:val="single" w:sz="8" w:space="0" w:color="auto"/>
              <w:bottom w:val="single" w:sz="8" w:space="0" w:color="auto"/>
            </w:tcBorders>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hint="eastAsia"/>
                <w:spacing w:val="-20"/>
                <w:sz w:val="22"/>
                <w:szCs w:val="22"/>
              </w:rPr>
              <w:t>3,181</w:t>
            </w:r>
          </w:p>
        </w:tc>
        <w:tc>
          <w:tcPr>
            <w:tcW w:w="1140"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6,488</w:t>
            </w:r>
          </w:p>
        </w:tc>
        <w:tc>
          <w:tcPr>
            <w:tcW w:w="1134"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8,997</w:t>
            </w:r>
          </w:p>
        </w:tc>
        <w:tc>
          <w:tcPr>
            <w:tcW w:w="1276"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 xml:space="preserve">14,920 </w:t>
            </w:r>
          </w:p>
        </w:tc>
        <w:tc>
          <w:tcPr>
            <w:tcW w:w="850"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 xml:space="preserve">10,580 </w:t>
            </w:r>
          </w:p>
        </w:tc>
      </w:tr>
      <w:tr w:rsidR="00FB61BF" w:rsidRPr="00FB61BF" w:rsidTr="00563DA3">
        <w:tc>
          <w:tcPr>
            <w:tcW w:w="1839" w:type="dxa"/>
            <w:tcBorders>
              <w:top w:val="single" w:sz="8" w:space="0" w:color="auto"/>
              <w:bottom w:val="single" w:sz="8" w:space="0" w:color="auto"/>
            </w:tcBorders>
          </w:tcPr>
          <w:p w:rsidR="00FB61BF" w:rsidRPr="00FB61BF" w:rsidRDefault="00FB61BF" w:rsidP="00FB61BF">
            <w:pPr>
              <w:spacing w:line="280" w:lineRule="exact"/>
              <w:ind w:leftChars="0" w:left="0" w:firstLineChars="0" w:firstLine="0"/>
              <w:rPr>
                <w:rFonts w:hAnsi="標楷體"/>
                <w:spacing w:val="-20"/>
                <w:sz w:val="22"/>
                <w:szCs w:val="22"/>
              </w:rPr>
            </w:pPr>
            <w:r w:rsidRPr="00FB61BF">
              <w:rPr>
                <w:rFonts w:hAnsi="標楷體" w:hint="eastAsia"/>
                <w:spacing w:val="-20"/>
                <w:sz w:val="22"/>
                <w:szCs w:val="22"/>
              </w:rPr>
              <w:t>案件審查行政作業費(專案辦公室)</w:t>
            </w:r>
          </w:p>
        </w:tc>
        <w:tc>
          <w:tcPr>
            <w:tcW w:w="1132" w:type="dxa"/>
            <w:vMerge w:val="restart"/>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hint="eastAsia"/>
                <w:spacing w:val="-20"/>
                <w:sz w:val="22"/>
                <w:szCs w:val="22"/>
              </w:rPr>
            </w:pPr>
            <w:r w:rsidRPr="00FB61BF">
              <w:rPr>
                <w:rFonts w:hAnsi="標楷體" w:hint="eastAsia"/>
                <w:spacing w:val="-20"/>
                <w:sz w:val="22"/>
                <w:szCs w:val="22"/>
              </w:rPr>
              <w:t>19,250</w:t>
            </w:r>
          </w:p>
        </w:tc>
        <w:tc>
          <w:tcPr>
            <w:tcW w:w="1134" w:type="dxa"/>
            <w:vMerge w:val="restart"/>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hint="eastAsia"/>
                <w:spacing w:val="-20"/>
                <w:sz w:val="22"/>
                <w:szCs w:val="22"/>
              </w:rPr>
            </w:pPr>
            <w:r w:rsidRPr="00FB61BF">
              <w:rPr>
                <w:rFonts w:hAnsi="標楷體" w:hint="eastAsia"/>
                <w:spacing w:val="-20"/>
                <w:sz w:val="22"/>
                <w:szCs w:val="22"/>
              </w:rPr>
              <w:t>19,194</w:t>
            </w:r>
          </w:p>
        </w:tc>
        <w:tc>
          <w:tcPr>
            <w:tcW w:w="1140"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19,898</w:t>
            </w:r>
          </w:p>
        </w:tc>
        <w:tc>
          <w:tcPr>
            <w:tcW w:w="1134"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19,900</w:t>
            </w:r>
          </w:p>
        </w:tc>
        <w:tc>
          <w:tcPr>
            <w:tcW w:w="1276"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 xml:space="preserve">19,909 </w:t>
            </w:r>
          </w:p>
        </w:tc>
        <w:tc>
          <w:tcPr>
            <w:tcW w:w="850"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 xml:space="preserve">19,900 </w:t>
            </w:r>
          </w:p>
        </w:tc>
      </w:tr>
      <w:tr w:rsidR="00FB61BF" w:rsidRPr="00FB61BF" w:rsidTr="00563DA3">
        <w:tc>
          <w:tcPr>
            <w:tcW w:w="1839" w:type="dxa"/>
            <w:tcBorders>
              <w:top w:val="single" w:sz="8" w:space="0" w:color="auto"/>
              <w:bottom w:val="single" w:sz="8" w:space="0" w:color="auto"/>
            </w:tcBorders>
          </w:tcPr>
          <w:p w:rsidR="00FB61BF" w:rsidRPr="00FB61BF" w:rsidRDefault="00FB61BF" w:rsidP="00FB61BF">
            <w:pPr>
              <w:spacing w:line="280" w:lineRule="exact"/>
              <w:ind w:leftChars="0" w:left="0" w:firstLineChars="0" w:firstLine="0"/>
              <w:rPr>
                <w:rFonts w:hAnsi="標楷體"/>
                <w:spacing w:val="-20"/>
                <w:sz w:val="20"/>
                <w:szCs w:val="20"/>
              </w:rPr>
            </w:pPr>
            <w:r w:rsidRPr="00FB61BF">
              <w:rPr>
                <w:rFonts w:hAnsi="標楷體" w:hint="eastAsia"/>
                <w:spacing w:val="-20"/>
                <w:sz w:val="20"/>
                <w:szCs w:val="20"/>
              </w:rPr>
              <w:t>案件審查行政作業費</w:t>
            </w:r>
          </w:p>
          <w:p w:rsidR="00FB61BF" w:rsidRPr="00FB61BF" w:rsidRDefault="00FB61BF" w:rsidP="00FB61BF">
            <w:pPr>
              <w:spacing w:line="280" w:lineRule="exact"/>
              <w:ind w:leftChars="0" w:left="0" w:firstLineChars="0" w:firstLine="0"/>
              <w:rPr>
                <w:rFonts w:hAnsi="標楷體"/>
                <w:spacing w:val="-20"/>
                <w:sz w:val="20"/>
                <w:szCs w:val="20"/>
              </w:rPr>
            </w:pPr>
            <w:r w:rsidRPr="00FB61BF">
              <w:rPr>
                <w:rFonts w:hAnsi="標楷體" w:hint="eastAsia"/>
                <w:spacing w:val="-20"/>
                <w:sz w:val="20"/>
                <w:szCs w:val="20"/>
              </w:rPr>
              <w:t>(貸後管理等行政費)</w:t>
            </w:r>
          </w:p>
        </w:tc>
        <w:tc>
          <w:tcPr>
            <w:tcW w:w="1132" w:type="dxa"/>
            <w:vMerge/>
            <w:tcBorders>
              <w:top w:val="single" w:sz="8" w:space="0" w:color="auto"/>
              <w:bottom w:val="single" w:sz="8" w:space="0" w:color="auto"/>
            </w:tcBorders>
          </w:tcPr>
          <w:p w:rsidR="00FB61BF" w:rsidRPr="00FB61BF" w:rsidRDefault="00FB61BF" w:rsidP="00FB61BF">
            <w:pPr>
              <w:spacing w:line="280" w:lineRule="exact"/>
              <w:ind w:leftChars="0" w:left="0" w:firstLineChars="0" w:firstLine="0"/>
              <w:jc w:val="right"/>
              <w:rPr>
                <w:rFonts w:hAnsi="標楷體" w:hint="eastAsia"/>
                <w:spacing w:val="-20"/>
                <w:sz w:val="22"/>
                <w:szCs w:val="22"/>
              </w:rPr>
            </w:pPr>
          </w:p>
        </w:tc>
        <w:tc>
          <w:tcPr>
            <w:tcW w:w="1134" w:type="dxa"/>
            <w:vMerge/>
            <w:tcBorders>
              <w:top w:val="single" w:sz="8" w:space="0" w:color="auto"/>
              <w:bottom w:val="single" w:sz="8" w:space="0" w:color="auto"/>
            </w:tcBorders>
          </w:tcPr>
          <w:p w:rsidR="00FB61BF" w:rsidRPr="00FB61BF" w:rsidRDefault="00FB61BF" w:rsidP="00FB61BF">
            <w:pPr>
              <w:spacing w:line="280" w:lineRule="exact"/>
              <w:ind w:leftChars="0" w:left="0" w:firstLineChars="0" w:firstLine="0"/>
              <w:jc w:val="right"/>
              <w:rPr>
                <w:rFonts w:hAnsi="標楷體" w:hint="eastAsia"/>
                <w:spacing w:val="-20"/>
                <w:sz w:val="22"/>
                <w:szCs w:val="22"/>
              </w:rPr>
            </w:pPr>
          </w:p>
        </w:tc>
        <w:tc>
          <w:tcPr>
            <w:tcW w:w="1140"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hint="eastAsia"/>
                <w:spacing w:val="-20"/>
                <w:sz w:val="22"/>
                <w:szCs w:val="22"/>
              </w:rPr>
              <w:t>2</w:t>
            </w:r>
            <w:r w:rsidRPr="00FB61BF">
              <w:rPr>
                <w:rFonts w:hAnsi="標楷體"/>
                <w:spacing w:val="-20"/>
                <w:sz w:val="22"/>
                <w:szCs w:val="22"/>
              </w:rPr>
              <w:t>0,000</w:t>
            </w:r>
          </w:p>
        </w:tc>
        <w:tc>
          <w:tcPr>
            <w:tcW w:w="1134"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19,900</w:t>
            </w:r>
          </w:p>
        </w:tc>
        <w:tc>
          <w:tcPr>
            <w:tcW w:w="1276"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 xml:space="preserve">19,909 </w:t>
            </w:r>
          </w:p>
        </w:tc>
        <w:tc>
          <w:tcPr>
            <w:tcW w:w="850"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spacing w:val="-20"/>
                <w:sz w:val="22"/>
                <w:szCs w:val="22"/>
              </w:rPr>
            </w:pPr>
            <w:r w:rsidRPr="00FB61BF">
              <w:rPr>
                <w:rFonts w:hAnsi="標楷體"/>
                <w:spacing w:val="-20"/>
                <w:sz w:val="22"/>
                <w:szCs w:val="22"/>
              </w:rPr>
              <w:t xml:space="preserve">19,900 </w:t>
            </w:r>
          </w:p>
        </w:tc>
      </w:tr>
      <w:tr w:rsidR="00FB61BF" w:rsidRPr="00FB61BF" w:rsidTr="00563DA3">
        <w:trPr>
          <w:trHeight w:val="345"/>
        </w:trPr>
        <w:tc>
          <w:tcPr>
            <w:tcW w:w="1839" w:type="dxa"/>
            <w:tcBorders>
              <w:top w:val="single" w:sz="8" w:space="0" w:color="auto"/>
              <w:bottom w:val="single" w:sz="8" w:space="0" w:color="auto"/>
            </w:tcBorders>
            <w:vAlign w:val="center"/>
          </w:tcPr>
          <w:p w:rsidR="00FB61BF" w:rsidRPr="00FB61BF" w:rsidRDefault="008169EA" w:rsidP="008169EA">
            <w:pPr>
              <w:spacing w:line="280" w:lineRule="exact"/>
              <w:ind w:leftChars="0" w:left="0" w:firstLineChars="0" w:firstLine="0"/>
              <w:jc w:val="center"/>
              <w:rPr>
                <w:rFonts w:hAnsi="標楷體"/>
                <w:b/>
                <w:spacing w:val="-20"/>
                <w:sz w:val="22"/>
                <w:szCs w:val="22"/>
              </w:rPr>
            </w:pPr>
            <w:r>
              <w:rPr>
                <w:rFonts w:hAnsi="標楷體" w:hint="eastAsia"/>
                <w:b/>
                <w:spacing w:val="-20"/>
                <w:sz w:val="22"/>
                <w:szCs w:val="22"/>
                <w:lang w:eastAsia="zh-HK"/>
              </w:rPr>
              <w:t>合</w:t>
            </w:r>
            <w:r w:rsidR="00FB61BF" w:rsidRPr="00FB61BF">
              <w:rPr>
                <w:rFonts w:hAnsi="標楷體" w:hint="eastAsia"/>
                <w:b/>
                <w:spacing w:val="-20"/>
                <w:sz w:val="22"/>
                <w:szCs w:val="22"/>
              </w:rPr>
              <w:t>計</w:t>
            </w:r>
          </w:p>
        </w:tc>
        <w:tc>
          <w:tcPr>
            <w:tcW w:w="1132" w:type="dxa"/>
            <w:tcBorders>
              <w:top w:val="single" w:sz="8" w:space="0" w:color="auto"/>
              <w:bottom w:val="single" w:sz="8" w:space="0" w:color="auto"/>
            </w:tcBorders>
          </w:tcPr>
          <w:p w:rsidR="00FB61BF" w:rsidRPr="00FB61BF" w:rsidRDefault="00FB61BF" w:rsidP="00FB61BF">
            <w:pPr>
              <w:spacing w:line="280" w:lineRule="exact"/>
              <w:ind w:leftChars="0" w:left="0" w:firstLineChars="0" w:firstLine="0"/>
              <w:jc w:val="right"/>
              <w:rPr>
                <w:rFonts w:hAnsi="標楷體"/>
                <w:b/>
                <w:spacing w:val="-20"/>
                <w:sz w:val="22"/>
                <w:szCs w:val="22"/>
              </w:rPr>
            </w:pPr>
            <w:r w:rsidRPr="00FB61BF">
              <w:rPr>
                <w:rFonts w:hAnsi="標楷體" w:hint="eastAsia"/>
                <w:b/>
                <w:spacing w:val="-20"/>
                <w:sz w:val="22"/>
                <w:szCs w:val="22"/>
              </w:rPr>
              <w:t>101,062</w:t>
            </w:r>
          </w:p>
        </w:tc>
        <w:tc>
          <w:tcPr>
            <w:tcW w:w="1134" w:type="dxa"/>
            <w:tcBorders>
              <w:top w:val="single" w:sz="8" w:space="0" w:color="auto"/>
              <w:bottom w:val="single" w:sz="8" w:space="0" w:color="auto"/>
            </w:tcBorders>
          </w:tcPr>
          <w:p w:rsidR="00FB61BF" w:rsidRPr="00FB61BF" w:rsidRDefault="00FB61BF" w:rsidP="00FB61BF">
            <w:pPr>
              <w:spacing w:line="280" w:lineRule="exact"/>
              <w:ind w:leftChars="0" w:left="0" w:firstLineChars="0" w:firstLine="0"/>
              <w:jc w:val="right"/>
              <w:rPr>
                <w:rFonts w:hAnsi="標楷體"/>
                <w:b/>
                <w:spacing w:val="-20"/>
                <w:sz w:val="22"/>
                <w:szCs w:val="22"/>
              </w:rPr>
            </w:pPr>
            <w:r w:rsidRPr="00FB61BF">
              <w:rPr>
                <w:rFonts w:hAnsi="標楷體" w:hint="eastAsia"/>
                <w:b/>
                <w:spacing w:val="-20"/>
                <w:sz w:val="22"/>
                <w:szCs w:val="22"/>
              </w:rPr>
              <w:t>457,675</w:t>
            </w:r>
          </w:p>
        </w:tc>
        <w:tc>
          <w:tcPr>
            <w:tcW w:w="1140"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b/>
                <w:spacing w:val="-20"/>
                <w:sz w:val="22"/>
                <w:szCs w:val="22"/>
              </w:rPr>
            </w:pPr>
            <w:r w:rsidRPr="00FB61BF">
              <w:rPr>
                <w:rFonts w:hAnsi="標楷體"/>
                <w:b/>
                <w:spacing w:val="-20"/>
                <w:sz w:val="22"/>
                <w:szCs w:val="22"/>
              </w:rPr>
              <w:t>799,201</w:t>
            </w:r>
          </w:p>
        </w:tc>
        <w:tc>
          <w:tcPr>
            <w:tcW w:w="1134"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b/>
                <w:spacing w:val="-20"/>
                <w:sz w:val="22"/>
                <w:szCs w:val="22"/>
              </w:rPr>
            </w:pPr>
            <w:r w:rsidRPr="00FB61BF">
              <w:rPr>
                <w:rFonts w:hAnsi="標楷體"/>
                <w:b/>
                <w:spacing w:val="-20"/>
                <w:sz w:val="22"/>
                <w:szCs w:val="22"/>
              </w:rPr>
              <w:t>918,959</w:t>
            </w:r>
          </w:p>
        </w:tc>
        <w:tc>
          <w:tcPr>
            <w:tcW w:w="1276"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b/>
                <w:spacing w:val="-20"/>
                <w:sz w:val="22"/>
                <w:szCs w:val="22"/>
              </w:rPr>
            </w:pPr>
            <w:r w:rsidRPr="00FB61BF">
              <w:rPr>
                <w:rFonts w:hAnsi="標楷體"/>
                <w:b/>
                <w:spacing w:val="-20"/>
                <w:sz w:val="22"/>
                <w:szCs w:val="22"/>
              </w:rPr>
              <w:t xml:space="preserve">1,443,918 </w:t>
            </w:r>
          </w:p>
        </w:tc>
        <w:tc>
          <w:tcPr>
            <w:tcW w:w="850" w:type="dxa"/>
            <w:tcBorders>
              <w:top w:val="single" w:sz="8" w:space="0" w:color="auto"/>
              <w:bottom w:val="single" w:sz="8" w:space="0" w:color="auto"/>
            </w:tcBorders>
            <w:vAlign w:val="center"/>
          </w:tcPr>
          <w:p w:rsidR="00FB61BF" w:rsidRPr="00FB61BF" w:rsidRDefault="00FB61BF" w:rsidP="00FB61BF">
            <w:pPr>
              <w:spacing w:line="280" w:lineRule="exact"/>
              <w:ind w:leftChars="0" w:left="0" w:firstLineChars="0" w:firstLine="0"/>
              <w:jc w:val="right"/>
              <w:rPr>
                <w:rFonts w:hAnsi="標楷體"/>
                <w:b/>
                <w:spacing w:val="-20"/>
                <w:sz w:val="22"/>
                <w:szCs w:val="22"/>
              </w:rPr>
            </w:pPr>
            <w:r w:rsidRPr="00FB61BF">
              <w:rPr>
                <w:rFonts w:hAnsi="標楷體"/>
                <w:b/>
                <w:spacing w:val="-20"/>
                <w:sz w:val="22"/>
                <w:szCs w:val="22"/>
              </w:rPr>
              <w:t xml:space="preserve">884,475 </w:t>
            </w:r>
          </w:p>
        </w:tc>
      </w:tr>
      <w:tr w:rsidR="00FB61BF" w:rsidRPr="00FB61BF" w:rsidTr="00563DA3">
        <w:trPr>
          <w:trHeight w:val="339"/>
        </w:trPr>
        <w:tc>
          <w:tcPr>
            <w:tcW w:w="1839" w:type="dxa"/>
            <w:tcBorders>
              <w:top w:val="single" w:sz="8" w:space="0" w:color="auto"/>
              <w:bottom w:val="single" w:sz="12" w:space="0" w:color="auto"/>
            </w:tcBorders>
            <w:vAlign w:val="center"/>
          </w:tcPr>
          <w:p w:rsidR="00FB61BF" w:rsidRPr="00FB61BF" w:rsidRDefault="00FB61BF" w:rsidP="00FB61BF">
            <w:pPr>
              <w:spacing w:line="280" w:lineRule="exact"/>
              <w:ind w:leftChars="0" w:left="0" w:firstLineChars="0" w:firstLine="0"/>
              <w:jc w:val="center"/>
              <w:rPr>
                <w:rFonts w:hAnsi="標楷體" w:hint="eastAsia"/>
                <w:b/>
                <w:spacing w:val="-20"/>
                <w:sz w:val="22"/>
                <w:szCs w:val="22"/>
              </w:rPr>
            </w:pPr>
            <w:r w:rsidRPr="00FB61BF">
              <w:rPr>
                <w:rFonts w:hAnsi="標楷體" w:hint="eastAsia"/>
                <w:b/>
                <w:spacing w:val="-20"/>
                <w:sz w:val="22"/>
                <w:szCs w:val="22"/>
              </w:rPr>
              <w:t>預算執行率</w:t>
            </w:r>
          </w:p>
        </w:tc>
        <w:tc>
          <w:tcPr>
            <w:tcW w:w="1132" w:type="dxa"/>
            <w:tcBorders>
              <w:top w:val="single" w:sz="8" w:space="0" w:color="auto"/>
              <w:bottom w:val="single" w:sz="12" w:space="0" w:color="auto"/>
            </w:tcBorders>
          </w:tcPr>
          <w:p w:rsidR="00FB61BF" w:rsidRPr="00FB61BF" w:rsidRDefault="00FB61BF" w:rsidP="00FB61BF">
            <w:pPr>
              <w:spacing w:line="280" w:lineRule="exact"/>
              <w:ind w:leftChars="0" w:left="0" w:firstLineChars="0" w:firstLine="0"/>
              <w:jc w:val="right"/>
              <w:rPr>
                <w:rFonts w:hAnsi="標楷體"/>
                <w:b/>
                <w:spacing w:val="-20"/>
                <w:sz w:val="22"/>
                <w:szCs w:val="22"/>
              </w:rPr>
            </w:pPr>
            <w:r w:rsidRPr="00FB61BF">
              <w:rPr>
                <w:rFonts w:hAnsi="標楷體" w:hint="eastAsia"/>
                <w:b/>
                <w:spacing w:val="-20"/>
                <w:sz w:val="22"/>
                <w:szCs w:val="22"/>
              </w:rPr>
              <w:t>31.39</w:t>
            </w:r>
          </w:p>
        </w:tc>
        <w:tc>
          <w:tcPr>
            <w:tcW w:w="1134" w:type="dxa"/>
            <w:tcBorders>
              <w:top w:val="single" w:sz="8" w:space="0" w:color="auto"/>
              <w:bottom w:val="single" w:sz="12" w:space="0" w:color="auto"/>
            </w:tcBorders>
          </w:tcPr>
          <w:p w:rsidR="00FB61BF" w:rsidRPr="00FB61BF" w:rsidRDefault="00FB61BF" w:rsidP="00FB61BF">
            <w:pPr>
              <w:spacing w:line="280" w:lineRule="exact"/>
              <w:ind w:leftChars="0" w:left="0" w:firstLineChars="0" w:firstLine="0"/>
              <w:jc w:val="right"/>
              <w:rPr>
                <w:rFonts w:hAnsi="標楷體"/>
                <w:b/>
                <w:spacing w:val="-20"/>
                <w:sz w:val="22"/>
                <w:szCs w:val="22"/>
              </w:rPr>
            </w:pPr>
            <w:r w:rsidRPr="00FB61BF">
              <w:rPr>
                <w:rFonts w:hAnsi="標楷體" w:hint="eastAsia"/>
                <w:b/>
                <w:spacing w:val="-20"/>
                <w:sz w:val="22"/>
                <w:szCs w:val="22"/>
              </w:rPr>
              <w:t>58.62</w:t>
            </w:r>
          </w:p>
        </w:tc>
        <w:tc>
          <w:tcPr>
            <w:tcW w:w="1140" w:type="dxa"/>
            <w:tcBorders>
              <w:top w:val="single" w:sz="8" w:space="0" w:color="auto"/>
              <w:bottom w:val="single" w:sz="12" w:space="0" w:color="auto"/>
            </w:tcBorders>
            <w:vAlign w:val="center"/>
          </w:tcPr>
          <w:p w:rsidR="00FB61BF" w:rsidRPr="00FB61BF" w:rsidRDefault="00FB61BF" w:rsidP="00FB61BF">
            <w:pPr>
              <w:spacing w:line="280" w:lineRule="exact"/>
              <w:ind w:leftChars="0" w:left="0" w:firstLineChars="0" w:firstLine="0"/>
              <w:jc w:val="right"/>
              <w:rPr>
                <w:rFonts w:hAnsi="標楷體"/>
                <w:b/>
                <w:spacing w:val="-20"/>
                <w:sz w:val="22"/>
                <w:szCs w:val="22"/>
              </w:rPr>
            </w:pPr>
            <w:r w:rsidRPr="00FB61BF">
              <w:rPr>
                <w:rFonts w:hAnsi="標楷體"/>
                <w:b/>
                <w:spacing w:val="-20"/>
                <w:sz w:val="22"/>
                <w:szCs w:val="22"/>
              </w:rPr>
              <w:t>73.86</w:t>
            </w:r>
          </w:p>
        </w:tc>
        <w:tc>
          <w:tcPr>
            <w:tcW w:w="1134" w:type="dxa"/>
            <w:tcBorders>
              <w:top w:val="single" w:sz="8" w:space="0" w:color="auto"/>
              <w:bottom w:val="single" w:sz="12" w:space="0" w:color="auto"/>
            </w:tcBorders>
            <w:vAlign w:val="center"/>
          </w:tcPr>
          <w:p w:rsidR="00FB61BF" w:rsidRPr="00FB61BF" w:rsidRDefault="00FB61BF" w:rsidP="00FB61BF">
            <w:pPr>
              <w:spacing w:line="280" w:lineRule="exact"/>
              <w:ind w:leftChars="0" w:left="0" w:firstLineChars="0" w:firstLine="0"/>
              <w:jc w:val="right"/>
              <w:rPr>
                <w:rFonts w:hAnsi="標楷體"/>
                <w:b/>
                <w:spacing w:val="-20"/>
                <w:sz w:val="22"/>
                <w:szCs w:val="22"/>
              </w:rPr>
            </w:pPr>
            <w:r w:rsidRPr="00FB61BF">
              <w:rPr>
                <w:rFonts w:hAnsi="標楷體" w:hint="eastAsia"/>
                <w:b/>
                <w:spacing w:val="-20"/>
                <w:sz w:val="22"/>
                <w:szCs w:val="22"/>
              </w:rPr>
              <w:t>71.47</w:t>
            </w:r>
          </w:p>
        </w:tc>
        <w:tc>
          <w:tcPr>
            <w:tcW w:w="2126" w:type="dxa"/>
            <w:gridSpan w:val="2"/>
            <w:tcBorders>
              <w:top w:val="single" w:sz="8" w:space="0" w:color="auto"/>
              <w:bottom w:val="single" w:sz="12" w:space="0" w:color="auto"/>
            </w:tcBorders>
            <w:vAlign w:val="center"/>
          </w:tcPr>
          <w:p w:rsidR="00FB61BF" w:rsidRPr="00FB61BF" w:rsidRDefault="00FB61BF" w:rsidP="00FB61BF">
            <w:pPr>
              <w:spacing w:line="280" w:lineRule="exact"/>
              <w:ind w:leftChars="0" w:left="0" w:firstLineChars="0" w:firstLine="0"/>
              <w:jc w:val="right"/>
              <w:rPr>
                <w:rFonts w:hAnsi="標楷體"/>
                <w:b/>
                <w:spacing w:val="-20"/>
                <w:sz w:val="22"/>
                <w:szCs w:val="22"/>
              </w:rPr>
            </w:pPr>
            <w:r w:rsidRPr="00FB61BF">
              <w:rPr>
                <w:rFonts w:hAnsi="標楷體" w:hint="eastAsia"/>
                <w:b/>
                <w:spacing w:val="-20"/>
                <w:sz w:val="22"/>
                <w:szCs w:val="22"/>
              </w:rPr>
              <w:t>61.26</w:t>
            </w:r>
          </w:p>
        </w:tc>
      </w:tr>
    </w:tbl>
    <w:p w:rsidR="00FB61BF" w:rsidRPr="00FB61BF" w:rsidRDefault="00FB61BF" w:rsidP="00FB61BF">
      <w:pPr>
        <w:spacing w:line="280" w:lineRule="exact"/>
        <w:ind w:leftChars="0" w:left="0" w:firstLineChars="0" w:firstLine="0"/>
        <w:jc w:val="left"/>
        <w:rPr>
          <w:rFonts w:hAnsi="標楷體"/>
          <w:sz w:val="24"/>
        </w:rPr>
      </w:pPr>
      <w:r w:rsidRPr="00FB61BF">
        <w:rPr>
          <w:rFonts w:hAnsi="標楷體" w:hint="eastAsia"/>
          <w:sz w:val="24"/>
        </w:rPr>
        <w:t>資料來源：中小</w:t>
      </w:r>
      <w:r w:rsidRPr="00FB61BF">
        <w:rPr>
          <w:rFonts w:hAnsi="標楷體" w:hint="eastAsia"/>
          <w:sz w:val="24"/>
          <w:lang w:eastAsia="zh-HK"/>
        </w:rPr>
        <w:t>企業發展基金</w:t>
      </w:r>
      <w:r w:rsidRPr="00FB61BF">
        <w:rPr>
          <w:rFonts w:hAnsi="標楷體" w:hint="eastAsia"/>
          <w:sz w:val="24"/>
        </w:rPr>
        <w:t>提供。</w:t>
      </w:r>
    </w:p>
    <w:p w:rsidR="00F5159F" w:rsidRDefault="00FB61BF" w:rsidP="005F4DE2">
      <w:pPr>
        <w:ind w:left="566" w:firstLine="566"/>
      </w:pPr>
      <w:r w:rsidRPr="00FB61BF">
        <w:rPr>
          <w:rFonts w:hint="eastAsia"/>
        </w:rPr>
        <w:t>綜上，中小企業發展基金自1</w:t>
      </w:r>
      <w:r w:rsidRPr="00FB61BF">
        <w:t>08</w:t>
      </w:r>
      <w:r w:rsidRPr="00FB61BF">
        <w:rPr>
          <w:rFonts w:hint="eastAsia"/>
        </w:rPr>
        <w:t>年度開辦「中小企業加速投資行動方案」</w:t>
      </w:r>
      <w:r w:rsidR="00F5159F">
        <w:rPr>
          <w:rFonts w:hint="eastAsia"/>
          <w:lang w:eastAsia="zh-HK"/>
        </w:rPr>
        <w:t>專案貸款</w:t>
      </w:r>
      <w:r w:rsidRPr="00FB61BF">
        <w:rPr>
          <w:rFonts w:hint="eastAsia"/>
        </w:rPr>
        <w:t>，近年受理申請案件數及預計投資金額持續減緩，且1</w:t>
      </w:r>
      <w:r w:rsidRPr="00FB61BF">
        <w:t>1</w:t>
      </w:r>
      <w:r w:rsidRPr="00FB61BF">
        <w:rPr>
          <w:rFonts w:hint="eastAsia"/>
        </w:rPr>
        <w:t>3年度預算執行率僅</w:t>
      </w:r>
      <w:r w:rsidRPr="00FB61BF">
        <w:rPr>
          <w:rFonts w:hint="eastAsia"/>
          <w:lang w:eastAsia="zh-HK"/>
        </w:rPr>
        <w:t>約六</w:t>
      </w:r>
      <w:r w:rsidRPr="00FB61BF">
        <w:rPr>
          <w:rFonts w:hint="eastAsia"/>
        </w:rPr>
        <w:t>成，允宜研謀加強執行策略，俾落實推動目標。</w:t>
      </w:r>
      <w:bookmarkStart w:id="17" w:name="_Toc215134659"/>
    </w:p>
    <w:bookmarkEnd w:id="17"/>
    <w:bookmarkEnd w:id="4"/>
    <w:bookmarkEnd w:id="5"/>
    <w:bookmarkEnd w:id="6"/>
    <w:bookmarkEnd w:id="7"/>
    <w:bookmarkEnd w:id="8"/>
    <w:bookmarkEnd w:id="9"/>
    <w:bookmarkEnd w:id="10"/>
    <w:bookmarkEnd w:id="11"/>
    <w:bookmarkEnd w:id="12"/>
    <w:bookmarkEnd w:id="13"/>
    <w:bookmarkEnd w:id="14"/>
    <w:sectPr w:rsidR="00F5159F"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1F55" w:rsidRDefault="00FC1F55" w:rsidP="00E96594">
      <w:pPr>
        <w:spacing w:line="240" w:lineRule="auto"/>
        <w:ind w:left="560" w:firstLine="560"/>
      </w:pPr>
      <w:r>
        <w:separator/>
      </w:r>
    </w:p>
  </w:endnote>
  <w:endnote w:type="continuationSeparator" w:id="0">
    <w:p w:rsidR="00FC1F55" w:rsidRDefault="00FC1F55"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華康黑體">
    <w:altName w:val="Malgun Gothic Semilight"/>
    <w:panose1 w:val="00000000000000000000"/>
    <w:charset w:val="88"/>
    <w:family w:val="swiss"/>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2"/>
      <w:ind w:leftChars="0" w:left="566" w:firstLineChars="0" w:firstLine="406"/>
      <w:jc w:val="center"/>
    </w:pPr>
    <w:r>
      <w:fldChar w:fldCharType="begin"/>
    </w:r>
    <w:r>
      <w:instrText>PAGE   \* MERGEFORMAT</w:instrText>
    </w:r>
    <w:r>
      <w:fldChar w:fldCharType="separate"/>
    </w:r>
    <w:r w:rsidR="001D26AF" w:rsidRPr="001D26AF">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1F55" w:rsidRDefault="00FC1F55" w:rsidP="00DF65DC">
      <w:pPr>
        <w:spacing w:line="240" w:lineRule="auto"/>
        <w:ind w:left="560" w:firstLine="560"/>
      </w:pPr>
      <w:r>
        <w:separator/>
      </w:r>
    </w:p>
  </w:footnote>
  <w:footnote w:type="continuationSeparator" w:id="0">
    <w:p w:rsidR="00FC1F55" w:rsidRDefault="00FC1F55" w:rsidP="00E9659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6360549"/>
    <w:multiLevelType w:val="hybridMultilevel"/>
    <w:tmpl w:val="4F8C1B14"/>
    <w:lvl w:ilvl="0" w:tplc="FFC0F66C">
      <w:start w:val="1"/>
      <w:numFmt w:val="decimal"/>
      <w:lvlText w:val="%1."/>
      <w:lvlJc w:val="left"/>
      <w:pPr>
        <w:ind w:left="502" w:hanging="360"/>
      </w:pPr>
      <w:rPr>
        <w:rFonts w:hint="default"/>
      </w:rPr>
    </w:lvl>
    <w:lvl w:ilvl="1" w:tplc="E3A4C59A">
      <w:start w:val="1"/>
      <w:numFmt w:val="decimal"/>
      <w:lvlText w:val="(%2)"/>
      <w:lvlJc w:val="left"/>
      <w:pPr>
        <w:ind w:left="1102" w:hanging="480"/>
      </w:pPr>
      <w:rPr>
        <w:rFonts w:ascii="標楷體" w:eastAsia="標楷體" w:hAnsi="標楷體" w:hint="default"/>
        <w:color w:val="0000FF"/>
        <w:sz w:val="28"/>
      </w:rPr>
    </w:lvl>
    <w:lvl w:ilvl="2" w:tplc="917E30A4">
      <w:start w:val="1"/>
      <w:numFmt w:val="upperLetter"/>
      <w:lvlText w:val="%3、"/>
      <w:lvlJc w:val="left"/>
      <w:pPr>
        <w:ind w:left="1582" w:hanging="480"/>
      </w:pPr>
      <w:rPr>
        <w:rFonts w:hint="eastAsia"/>
      </w:r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3" w15:restartNumberingAfterBreak="0">
    <w:nsid w:val="09A65AC9"/>
    <w:multiLevelType w:val="hybridMultilevel"/>
    <w:tmpl w:val="749AC858"/>
    <w:lvl w:ilvl="0" w:tplc="9A4A756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4"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6"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154208"/>
    <w:multiLevelType w:val="hybridMultilevel"/>
    <w:tmpl w:val="EAD45446"/>
    <w:lvl w:ilvl="0" w:tplc="6C50DA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2"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3"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5" w15:restartNumberingAfterBreak="0">
    <w:nsid w:val="351B097F"/>
    <w:multiLevelType w:val="hybridMultilevel"/>
    <w:tmpl w:val="15966F24"/>
    <w:lvl w:ilvl="0" w:tplc="04090011">
      <w:start w:val="1"/>
      <w:numFmt w:val="upperLetter"/>
      <w:lvlText w:val="%1."/>
      <w:lvlJc w:val="left"/>
      <w:pPr>
        <w:ind w:left="1160" w:hanging="480"/>
      </w:p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16"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8"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9"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21"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0411756"/>
    <w:multiLevelType w:val="hybridMultilevel"/>
    <w:tmpl w:val="15966F24"/>
    <w:lvl w:ilvl="0" w:tplc="04090011">
      <w:start w:val="1"/>
      <w:numFmt w:val="upperLetter"/>
      <w:lvlText w:val="%1."/>
      <w:lvlJc w:val="left"/>
      <w:pPr>
        <w:ind w:left="1160" w:hanging="480"/>
      </w:pPr>
    </w:lvl>
    <w:lvl w:ilvl="1" w:tplc="04090019" w:tentative="1">
      <w:start w:val="1"/>
      <w:numFmt w:val="ideographTraditional"/>
      <w:lvlText w:val="%2、"/>
      <w:lvlJc w:val="left"/>
      <w:pPr>
        <w:ind w:left="1640" w:hanging="480"/>
      </w:pPr>
    </w:lvl>
    <w:lvl w:ilvl="2" w:tplc="0409001B">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23"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4" w15:restartNumberingAfterBreak="0">
    <w:nsid w:val="536212EB"/>
    <w:multiLevelType w:val="hybridMultilevel"/>
    <w:tmpl w:val="8ADEDB76"/>
    <w:lvl w:ilvl="0" w:tplc="DEACF8B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5"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7"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753D65EA"/>
    <w:multiLevelType w:val="hybridMultilevel"/>
    <w:tmpl w:val="E9146586"/>
    <w:lvl w:ilvl="0" w:tplc="BA88928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9"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31" w15:restartNumberingAfterBreak="0">
    <w:nsid w:val="7BDB4C0B"/>
    <w:multiLevelType w:val="hybridMultilevel"/>
    <w:tmpl w:val="4F8C1B14"/>
    <w:lvl w:ilvl="0" w:tplc="FFC0F66C">
      <w:start w:val="1"/>
      <w:numFmt w:val="decimal"/>
      <w:lvlText w:val="%1."/>
      <w:lvlJc w:val="left"/>
      <w:pPr>
        <w:ind w:left="502" w:hanging="360"/>
      </w:pPr>
      <w:rPr>
        <w:rFonts w:hint="default"/>
      </w:rPr>
    </w:lvl>
    <w:lvl w:ilvl="1" w:tplc="E3A4C59A">
      <w:start w:val="1"/>
      <w:numFmt w:val="decimal"/>
      <w:lvlText w:val="(%2)"/>
      <w:lvlJc w:val="left"/>
      <w:pPr>
        <w:ind w:left="1102" w:hanging="480"/>
      </w:pPr>
      <w:rPr>
        <w:rFonts w:ascii="標楷體" w:eastAsia="標楷體" w:hAnsi="標楷體" w:hint="default"/>
        <w:color w:val="0000FF"/>
        <w:sz w:val="28"/>
      </w:rPr>
    </w:lvl>
    <w:lvl w:ilvl="2" w:tplc="917E30A4">
      <w:start w:val="1"/>
      <w:numFmt w:val="upperLetter"/>
      <w:lvlText w:val="%3、"/>
      <w:lvlJc w:val="left"/>
      <w:pPr>
        <w:ind w:left="1582" w:hanging="480"/>
      </w:pPr>
      <w:rPr>
        <w:rFonts w:hint="eastAsia"/>
      </w:r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2"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2"/>
  </w:num>
  <w:num w:numId="2">
    <w:abstractNumId w:val="5"/>
  </w:num>
  <w:num w:numId="3">
    <w:abstractNumId w:val="0"/>
  </w:num>
  <w:num w:numId="4">
    <w:abstractNumId w:val="20"/>
  </w:num>
  <w:num w:numId="5">
    <w:abstractNumId w:val="4"/>
  </w:num>
  <w:num w:numId="6">
    <w:abstractNumId w:val="26"/>
  </w:num>
  <w:num w:numId="7">
    <w:abstractNumId w:val="30"/>
  </w:num>
  <w:num w:numId="8">
    <w:abstractNumId w:val="16"/>
  </w:num>
  <w:num w:numId="9">
    <w:abstractNumId w:val="2"/>
  </w:num>
  <w:num w:numId="10">
    <w:abstractNumId w:val="18"/>
  </w:num>
  <w:num w:numId="11">
    <w:abstractNumId w:val="11"/>
  </w:num>
  <w:num w:numId="12">
    <w:abstractNumId w:val="17"/>
  </w:num>
  <w:num w:numId="13">
    <w:abstractNumId w:val="21"/>
  </w:num>
  <w:num w:numId="14">
    <w:abstractNumId w:val="14"/>
  </w:num>
  <w:num w:numId="15">
    <w:abstractNumId w:val="23"/>
  </w:num>
  <w:num w:numId="16">
    <w:abstractNumId w:val="6"/>
  </w:num>
  <w:num w:numId="17">
    <w:abstractNumId w:val="32"/>
  </w:num>
  <w:num w:numId="18">
    <w:abstractNumId w:val="19"/>
  </w:num>
  <w:num w:numId="19">
    <w:abstractNumId w:val="29"/>
  </w:num>
  <w:num w:numId="20">
    <w:abstractNumId w:val="9"/>
  </w:num>
  <w:num w:numId="21">
    <w:abstractNumId w:val="7"/>
  </w:num>
  <w:num w:numId="22">
    <w:abstractNumId w:val="8"/>
  </w:num>
  <w:num w:numId="23">
    <w:abstractNumId w:val="27"/>
  </w:num>
  <w:num w:numId="24">
    <w:abstractNumId w:val="13"/>
  </w:num>
  <w:num w:numId="25">
    <w:abstractNumId w:val="25"/>
  </w:num>
  <w:num w:numId="26">
    <w:abstractNumId w:val="10"/>
  </w:num>
  <w:num w:numId="27">
    <w:abstractNumId w:val="28"/>
  </w:num>
  <w:num w:numId="28">
    <w:abstractNumId w:val="3"/>
  </w:num>
  <w:num w:numId="29">
    <w:abstractNumId w:val="24"/>
  </w:num>
  <w:num w:numId="30">
    <w:abstractNumId w:val="31"/>
  </w:num>
  <w:num w:numId="31">
    <w:abstractNumId w:val="1"/>
  </w:num>
  <w:num w:numId="32">
    <w:abstractNumId w:val="15"/>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5829"/>
    <w:rsid w:val="00016116"/>
    <w:rsid w:val="00017D3C"/>
    <w:rsid w:val="00017EA7"/>
    <w:rsid w:val="00023DB6"/>
    <w:rsid w:val="00026D95"/>
    <w:rsid w:val="00026E23"/>
    <w:rsid w:val="00026EB4"/>
    <w:rsid w:val="000300E8"/>
    <w:rsid w:val="00030CCF"/>
    <w:rsid w:val="00032592"/>
    <w:rsid w:val="00037C5B"/>
    <w:rsid w:val="000412E4"/>
    <w:rsid w:val="00045706"/>
    <w:rsid w:val="0004713B"/>
    <w:rsid w:val="0004759D"/>
    <w:rsid w:val="00052457"/>
    <w:rsid w:val="00052B47"/>
    <w:rsid w:val="00063C60"/>
    <w:rsid w:val="00064D8E"/>
    <w:rsid w:val="0006521B"/>
    <w:rsid w:val="00066A34"/>
    <w:rsid w:val="00072BF3"/>
    <w:rsid w:val="000741B7"/>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0CD"/>
    <w:rsid w:val="000D0EB6"/>
    <w:rsid w:val="000D1F90"/>
    <w:rsid w:val="000D69D1"/>
    <w:rsid w:val="000E4084"/>
    <w:rsid w:val="000E6EAB"/>
    <w:rsid w:val="000E762D"/>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02D3"/>
    <w:rsid w:val="00141C2E"/>
    <w:rsid w:val="00143177"/>
    <w:rsid w:val="00146BA6"/>
    <w:rsid w:val="00153232"/>
    <w:rsid w:val="00156ADD"/>
    <w:rsid w:val="00157060"/>
    <w:rsid w:val="00165A48"/>
    <w:rsid w:val="001675C8"/>
    <w:rsid w:val="001676C1"/>
    <w:rsid w:val="0017210C"/>
    <w:rsid w:val="00177D5E"/>
    <w:rsid w:val="001810EF"/>
    <w:rsid w:val="00182A47"/>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8DA"/>
    <w:rsid w:val="001C1FDD"/>
    <w:rsid w:val="001C4EC8"/>
    <w:rsid w:val="001C586C"/>
    <w:rsid w:val="001D26AF"/>
    <w:rsid w:val="001D314D"/>
    <w:rsid w:val="001D316C"/>
    <w:rsid w:val="001D3239"/>
    <w:rsid w:val="001D4BCE"/>
    <w:rsid w:val="001D521F"/>
    <w:rsid w:val="001E0311"/>
    <w:rsid w:val="001E2A7F"/>
    <w:rsid w:val="001E43C2"/>
    <w:rsid w:val="001E76A4"/>
    <w:rsid w:val="001F5579"/>
    <w:rsid w:val="001F594E"/>
    <w:rsid w:val="001F65F1"/>
    <w:rsid w:val="002033D0"/>
    <w:rsid w:val="00206664"/>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182B"/>
    <w:rsid w:val="0025209E"/>
    <w:rsid w:val="00253B93"/>
    <w:rsid w:val="002556CD"/>
    <w:rsid w:val="00256D41"/>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335"/>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1FAE"/>
    <w:rsid w:val="003925E2"/>
    <w:rsid w:val="00392710"/>
    <w:rsid w:val="003957B4"/>
    <w:rsid w:val="003A29A0"/>
    <w:rsid w:val="003A6BA2"/>
    <w:rsid w:val="003B0D60"/>
    <w:rsid w:val="003B74D1"/>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1D9A"/>
    <w:rsid w:val="0044576A"/>
    <w:rsid w:val="00446EE5"/>
    <w:rsid w:val="00452F77"/>
    <w:rsid w:val="00464BF4"/>
    <w:rsid w:val="004712D0"/>
    <w:rsid w:val="004753F6"/>
    <w:rsid w:val="00476D57"/>
    <w:rsid w:val="00476FAF"/>
    <w:rsid w:val="00477657"/>
    <w:rsid w:val="00477C6C"/>
    <w:rsid w:val="00480276"/>
    <w:rsid w:val="0048287E"/>
    <w:rsid w:val="0048560B"/>
    <w:rsid w:val="00485FC1"/>
    <w:rsid w:val="00487CEA"/>
    <w:rsid w:val="0049537E"/>
    <w:rsid w:val="00495F0A"/>
    <w:rsid w:val="0049684C"/>
    <w:rsid w:val="004A03F5"/>
    <w:rsid w:val="004A26BE"/>
    <w:rsid w:val="004A2A71"/>
    <w:rsid w:val="004A3A40"/>
    <w:rsid w:val="004A6718"/>
    <w:rsid w:val="004A7E05"/>
    <w:rsid w:val="004C64FF"/>
    <w:rsid w:val="004C6ECA"/>
    <w:rsid w:val="004C72DF"/>
    <w:rsid w:val="004D02FF"/>
    <w:rsid w:val="004D15BC"/>
    <w:rsid w:val="004D282F"/>
    <w:rsid w:val="004D2A85"/>
    <w:rsid w:val="004D3838"/>
    <w:rsid w:val="004D3F4E"/>
    <w:rsid w:val="004D4296"/>
    <w:rsid w:val="004E104C"/>
    <w:rsid w:val="004E1161"/>
    <w:rsid w:val="004E1167"/>
    <w:rsid w:val="004E2C9F"/>
    <w:rsid w:val="004E3984"/>
    <w:rsid w:val="004E6EFF"/>
    <w:rsid w:val="004F000F"/>
    <w:rsid w:val="004F0CEC"/>
    <w:rsid w:val="004F10BD"/>
    <w:rsid w:val="004F1F21"/>
    <w:rsid w:val="004F3778"/>
    <w:rsid w:val="004F4752"/>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3DA3"/>
    <w:rsid w:val="0056606A"/>
    <w:rsid w:val="00566477"/>
    <w:rsid w:val="00567A62"/>
    <w:rsid w:val="005722D7"/>
    <w:rsid w:val="005729E4"/>
    <w:rsid w:val="00574DDC"/>
    <w:rsid w:val="00577EED"/>
    <w:rsid w:val="00577F2F"/>
    <w:rsid w:val="00581A15"/>
    <w:rsid w:val="00583219"/>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4DE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77B31"/>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169FD"/>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10CC"/>
    <w:rsid w:val="007628AD"/>
    <w:rsid w:val="00765962"/>
    <w:rsid w:val="00767453"/>
    <w:rsid w:val="00773202"/>
    <w:rsid w:val="007775F2"/>
    <w:rsid w:val="00781CA5"/>
    <w:rsid w:val="00783BBE"/>
    <w:rsid w:val="007843D0"/>
    <w:rsid w:val="00784CB7"/>
    <w:rsid w:val="00785ED2"/>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0A03"/>
    <w:rsid w:val="007F2536"/>
    <w:rsid w:val="008019D7"/>
    <w:rsid w:val="00802CF9"/>
    <w:rsid w:val="008037C3"/>
    <w:rsid w:val="00803B21"/>
    <w:rsid w:val="008053B9"/>
    <w:rsid w:val="0080620A"/>
    <w:rsid w:val="008071F9"/>
    <w:rsid w:val="00812106"/>
    <w:rsid w:val="00812CE8"/>
    <w:rsid w:val="008131D8"/>
    <w:rsid w:val="008169EA"/>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B20BF"/>
    <w:rsid w:val="008D1D48"/>
    <w:rsid w:val="008D33F4"/>
    <w:rsid w:val="008D3521"/>
    <w:rsid w:val="008D3ACE"/>
    <w:rsid w:val="008D3E36"/>
    <w:rsid w:val="008D41C8"/>
    <w:rsid w:val="008E1A1D"/>
    <w:rsid w:val="008E2268"/>
    <w:rsid w:val="008E2329"/>
    <w:rsid w:val="008E2A3E"/>
    <w:rsid w:val="008E464F"/>
    <w:rsid w:val="008E5033"/>
    <w:rsid w:val="008F13C1"/>
    <w:rsid w:val="008F3525"/>
    <w:rsid w:val="008F51AD"/>
    <w:rsid w:val="00900811"/>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20B"/>
    <w:rsid w:val="00967752"/>
    <w:rsid w:val="00974308"/>
    <w:rsid w:val="0098695E"/>
    <w:rsid w:val="00995EAF"/>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4A70"/>
    <w:rsid w:val="00A152F6"/>
    <w:rsid w:val="00A22972"/>
    <w:rsid w:val="00A26498"/>
    <w:rsid w:val="00A26DFB"/>
    <w:rsid w:val="00A30A57"/>
    <w:rsid w:val="00A318C1"/>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798"/>
    <w:rsid w:val="00AA591A"/>
    <w:rsid w:val="00AA70B8"/>
    <w:rsid w:val="00AB0F3F"/>
    <w:rsid w:val="00AB1199"/>
    <w:rsid w:val="00AB4D5E"/>
    <w:rsid w:val="00AB546A"/>
    <w:rsid w:val="00AB595B"/>
    <w:rsid w:val="00AB7229"/>
    <w:rsid w:val="00AB7D74"/>
    <w:rsid w:val="00AC1745"/>
    <w:rsid w:val="00AC2367"/>
    <w:rsid w:val="00AC27FB"/>
    <w:rsid w:val="00AC418E"/>
    <w:rsid w:val="00AC56F0"/>
    <w:rsid w:val="00AD0677"/>
    <w:rsid w:val="00AD1115"/>
    <w:rsid w:val="00AD14A2"/>
    <w:rsid w:val="00AD1D2C"/>
    <w:rsid w:val="00AD1D93"/>
    <w:rsid w:val="00AD21F1"/>
    <w:rsid w:val="00AE30BF"/>
    <w:rsid w:val="00AE3587"/>
    <w:rsid w:val="00AE39B3"/>
    <w:rsid w:val="00AE4897"/>
    <w:rsid w:val="00AF0FE0"/>
    <w:rsid w:val="00AF39D3"/>
    <w:rsid w:val="00AF5D1B"/>
    <w:rsid w:val="00AF63B9"/>
    <w:rsid w:val="00B00B86"/>
    <w:rsid w:val="00B04326"/>
    <w:rsid w:val="00B07957"/>
    <w:rsid w:val="00B107A8"/>
    <w:rsid w:val="00B10FB5"/>
    <w:rsid w:val="00B121DA"/>
    <w:rsid w:val="00B1294C"/>
    <w:rsid w:val="00B15784"/>
    <w:rsid w:val="00B174BA"/>
    <w:rsid w:val="00B20EE2"/>
    <w:rsid w:val="00B223F5"/>
    <w:rsid w:val="00B22C57"/>
    <w:rsid w:val="00B25A07"/>
    <w:rsid w:val="00B3185C"/>
    <w:rsid w:val="00B44E30"/>
    <w:rsid w:val="00B45807"/>
    <w:rsid w:val="00B551F7"/>
    <w:rsid w:val="00B578CA"/>
    <w:rsid w:val="00B57FCD"/>
    <w:rsid w:val="00B656F1"/>
    <w:rsid w:val="00B66F73"/>
    <w:rsid w:val="00B71023"/>
    <w:rsid w:val="00B74742"/>
    <w:rsid w:val="00B752E3"/>
    <w:rsid w:val="00B76620"/>
    <w:rsid w:val="00B80E5A"/>
    <w:rsid w:val="00B849E7"/>
    <w:rsid w:val="00B87F91"/>
    <w:rsid w:val="00B905FF"/>
    <w:rsid w:val="00B91589"/>
    <w:rsid w:val="00B939C6"/>
    <w:rsid w:val="00B93E88"/>
    <w:rsid w:val="00B9500F"/>
    <w:rsid w:val="00B952D9"/>
    <w:rsid w:val="00B95B80"/>
    <w:rsid w:val="00B95F94"/>
    <w:rsid w:val="00BA13D7"/>
    <w:rsid w:val="00BA3166"/>
    <w:rsid w:val="00BA37D6"/>
    <w:rsid w:val="00BA75F1"/>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1E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47AFD"/>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3840"/>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3816"/>
    <w:rsid w:val="00CE4B94"/>
    <w:rsid w:val="00CE67E5"/>
    <w:rsid w:val="00CF12FE"/>
    <w:rsid w:val="00CF3D84"/>
    <w:rsid w:val="00CF5A75"/>
    <w:rsid w:val="00CF71E1"/>
    <w:rsid w:val="00CF7980"/>
    <w:rsid w:val="00D0060B"/>
    <w:rsid w:val="00D01B52"/>
    <w:rsid w:val="00D03A77"/>
    <w:rsid w:val="00D1036E"/>
    <w:rsid w:val="00D10744"/>
    <w:rsid w:val="00D143F7"/>
    <w:rsid w:val="00D15029"/>
    <w:rsid w:val="00D156E9"/>
    <w:rsid w:val="00D22EEA"/>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40F1"/>
    <w:rsid w:val="00D958DC"/>
    <w:rsid w:val="00D95953"/>
    <w:rsid w:val="00DA1B1B"/>
    <w:rsid w:val="00DA2A67"/>
    <w:rsid w:val="00DA2C4F"/>
    <w:rsid w:val="00DA3417"/>
    <w:rsid w:val="00DA4E6D"/>
    <w:rsid w:val="00DA5268"/>
    <w:rsid w:val="00DB288D"/>
    <w:rsid w:val="00DC044C"/>
    <w:rsid w:val="00DC0D18"/>
    <w:rsid w:val="00DC287B"/>
    <w:rsid w:val="00DD3950"/>
    <w:rsid w:val="00DD4717"/>
    <w:rsid w:val="00DD5173"/>
    <w:rsid w:val="00DE3059"/>
    <w:rsid w:val="00DE43C4"/>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17AE"/>
    <w:rsid w:val="00E7312E"/>
    <w:rsid w:val="00E73B6F"/>
    <w:rsid w:val="00E73E6F"/>
    <w:rsid w:val="00E742D7"/>
    <w:rsid w:val="00E742FD"/>
    <w:rsid w:val="00E74513"/>
    <w:rsid w:val="00E77B8C"/>
    <w:rsid w:val="00E82C93"/>
    <w:rsid w:val="00E849D7"/>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16E20"/>
    <w:rsid w:val="00F178FB"/>
    <w:rsid w:val="00F21271"/>
    <w:rsid w:val="00F215C7"/>
    <w:rsid w:val="00F22148"/>
    <w:rsid w:val="00F35098"/>
    <w:rsid w:val="00F3667D"/>
    <w:rsid w:val="00F40040"/>
    <w:rsid w:val="00F43587"/>
    <w:rsid w:val="00F43E1B"/>
    <w:rsid w:val="00F440A9"/>
    <w:rsid w:val="00F47A4E"/>
    <w:rsid w:val="00F5159F"/>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B61BF"/>
    <w:rsid w:val="00FC1F55"/>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DC7C1A5-5852-45C9-9816-CAF696CC9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iPriority w:val="9"/>
    <w:qFormat/>
    <w:rsid w:val="00403714"/>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semiHidden/>
    <w:unhideWhenUsed/>
    <w:qFormat/>
    <w:rsid w:val="00037C5B"/>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f">
    <w:name w:val="footnote reference"/>
    <w:aliases w:val="FR,Ref,de nota al pie,註腳內容,Error-Fußnotenzeichen5,Error-Fußnotenzeichen6,Error-Fußnotenzeichen3,Error-Fusnotßnotenzeichen5,Error-Fußnotenzeic,4_G"/>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0">
    <w:name w:val="header"/>
    <w:basedOn w:val="a"/>
    <w:link w:val="af1"/>
    <w:uiPriority w:val="99"/>
    <w:unhideWhenUsed/>
    <w:rsid w:val="00547F59"/>
    <w:pPr>
      <w:tabs>
        <w:tab w:val="center" w:pos="4153"/>
        <w:tab w:val="right" w:pos="8306"/>
      </w:tabs>
      <w:snapToGrid w:val="0"/>
    </w:pPr>
    <w:rPr>
      <w:sz w:val="20"/>
      <w:szCs w:val="20"/>
    </w:rPr>
  </w:style>
  <w:style w:type="character" w:customStyle="1" w:styleId="af1">
    <w:name w:val="頁首 字元"/>
    <w:link w:val="af0"/>
    <w:uiPriority w:val="99"/>
    <w:rsid w:val="00547F59"/>
    <w:rPr>
      <w:rFonts w:ascii="標楷體" w:eastAsia="標楷體"/>
      <w:snapToGrid w:val="0"/>
      <w:kern w:val="2"/>
    </w:rPr>
  </w:style>
  <w:style w:type="paragraph" w:styleId="af2">
    <w:name w:val="footer"/>
    <w:basedOn w:val="a"/>
    <w:link w:val="af3"/>
    <w:uiPriority w:val="99"/>
    <w:unhideWhenUsed/>
    <w:rsid w:val="00547F59"/>
    <w:pPr>
      <w:tabs>
        <w:tab w:val="center" w:pos="4153"/>
        <w:tab w:val="right" w:pos="8306"/>
      </w:tabs>
      <w:snapToGrid w:val="0"/>
    </w:pPr>
    <w:rPr>
      <w:sz w:val="20"/>
      <w:szCs w:val="20"/>
    </w:rPr>
  </w:style>
  <w:style w:type="character" w:customStyle="1" w:styleId="af3">
    <w:name w:val="頁尾 字元"/>
    <w:link w:val="af2"/>
    <w:uiPriority w:val="99"/>
    <w:rsid w:val="00547F59"/>
    <w:rPr>
      <w:rFonts w:ascii="標楷體" w:eastAsia="標楷體"/>
      <w:snapToGrid w:val="0"/>
      <w:kern w:val="2"/>
    </w:rPr>
  </w:style>
  <w:style w:type="character" w:styleId="af4">
    <w:name w:val="page number"/>
    <w:basedOn w:val="a0"/>
    <w:rsid w:val="00FB113D"/>
  </w:style>
  <w:style w:type="character" w:styleId="af5">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6">
    <w:name w:val="Balloon Text"/>
    <w:basedOn w:val="a"/>
    <w:link w:val="af7"/>
    <w:uiPriority w:val="99"/>
    <w:semiHidden/>
    <w:unhideWhenUsed/>
    <w:rsid w:val="00504A3A"/>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504A3A"/>
    <w:rPr>
      <w:rFonts w:ascii="Cambria" w:eastAsia="新細明體" w:hAnsi="Cambria" w:cs="Times New Roman"/>
      <w:snapToGrid w:val="0"/>
      <w:kern w:val="2"/>
      <w:sz w:val="18"/>
      <w:szCs w:val="1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字元"/>
    <w:basedOn w:val="a"/>
    <w:link w:val="af9"/>
    <w:uiPriority w:val="99"/>
    <w:unhideWhenUsed/>
    <w:qFormat/>
    <w:rsid w:val="005434B8"/>
    <w:pPr>
      <w:snapToGrid w:val="0"/>
      <w:jc w:val="left"/>
    </w:pPr>
    <w:rPr>
      <w:snapToGrid/>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5434B8"/>
    <w:rPr>
      <w:rFonts w:ascii="標楷體" w:eastAsia="標楷體"/>
      <w:kern w:val="2"/>
    </w:rPr>
  </w:style>
  <w:style w:type="character" w:customStyle="1" w:styleId="10">
    <w:name w:val="標題 1 字元"/>
    <w:link w:val="1"/>
    <w:uiPriority w:val="9"/>
    <w:rsid w:val="00403714"/>
    <w:rPr>
      <w:rFonts w:ascii="Arial" w:hAnsi="Arial"/>
      <w:b/>
      <w:bCs/>
      <w:snapToGrid w:val="0"/>
      <w:kern w:val="52"/>
      <w:sz w:val="52"/>
      <w:szCs w:val="52"/>
    </w:rPr>
  </w:style>
  <w:style w:type="character" w:customStyle="1" w:styleId="20">
    <w:name w:val="標題 2 字元"/>
    <w:link w:val="2"/>
    <w:uiPriority w:val="9"/>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a">
    <w:name w:val="Table Grid"/>
    <w:basedOn w:val="a1"/>
    <w:uiPriority w:val="59"/>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1">
    <w:name w:val="toc 3"/>
    <w:basedOn w:val="a"/>
    <w:next w:val="a"/>
    <w:autoRedefine/>
    <w:semiHidden/>
    <w:rsid w:val="00403714"/>
    <w:pPr>
      <w:ind w:leftChars="400" w:left="960"/>
    </w:pPr>
  </w:style>
  <w:style w:type="character" w:customStyle="1" w:styleId="afb">
    <w:name w:val="(一)下內文 字元"/>
    <w:rsid w:val="00403714"/>
    <w:rPr>
      <w:rFonts w:eastAsia="標楷體"/>
      <w:snapToGrid w:val="0"/>
      <w:kern w:val="2"/>
      <w:sz w:val="28"/>
      <w:szCs w:val="28"/>
      <w:lang w:val="en-US" w:eastAsia="zh-TW" w:bidi="ar-SA"/>
    </w:rPr>
  </w:style>
  <w:style w:type="character" w:styleId="afc">
    <w:name w:val="Strong"/>
    <w:qFormat/>
    <w:rsid w:val="00403714"/>
    <w:rPr>
      <w:rFonts w:eastAsia="新細明體"/>
      <w:bCs/>
      <w:sz w:val="28"/>
      <w:szCs w:val="28"/>
    </w:rPr>
  </w:style>
  <w:style w:type="paragraph" w:styleId="afd">
    <w:name w:val="Body Text"/>
    <w:basedOn w:val="a"/>
    <w:link w:val="afe"/>
    <w:uiPriority w:val="99"/>
    <w:rsid w:val="00403714"/>
    <w:pPr>
      <w:spacing w:after="120" w:line="240" w:lineRule="auto"/>
      <w:ind w:leftChars="0" w:left="0" w:firstLineChars="0" w:firstLine="0"/>
      <w:jc w:val="left"/>
    </w:pPr>
    <w:rPr>
      <w:rFonts w:ascii="Times New Roman"/>
      <w:snapToGrid/>
    </w:rPr>
  </w:style>
  <w:style w:type="character" w:customStyle="1" w:styleId="afe">
    <w:name w:val="本文 字元"/>
    <w:link w:val="afd"/>
    <w:uiPriority w:val="99"/>
    <w:rsid w:val="00403714"/>
    <w:rPr>
      <w:rFonts w:eastAsia="標楷體"/>
      <w:kern w:val="2"/>
      <w:sz w:val="28"/>
      <w:szCs w:val="28"/>
    </w:rPr>
  </w:style>
  <w:style w:type="paragraph" w:styleId="aff">
    <w:name w:val="Body Text Indent"/>
    <w:basedOn w:val="a"/>
    <w:link w:val="aff0"/>
    <w:rsid w:val="00403714"/>
    <w:pPr>
      <w:spacing w:afterLines="100" w:after="491" w:line="480" w:lineRule="exact"/>
      <w:ind w:left="554" w:firstLine="554"/>
    </w:pPr>
    <w:rPr>
      <w:rFonts w:ascii="Times New Roman"/>
    </w:rPr>
  </w:style>
  <w:style w:type="character" w:customStyle="1" w:styleId="aff0">
    <w:name w:val="本文縮排 字元"/>
    <w:link w:val="aff"/>
    <w:rsid w:val="00403714"/>
    <w:rPr>
      <w:rFonts w:eastAsia="標楷體"/>
      <w:snapToGrid w:val="0"/>
      <w:kern w:val="2"/>
      <w:sz w:val="28"/>
      <w:szCs w:val="28"/>
    </w:rPr>
  </w:style>
  <w:style w:type="character" w:styleId="aff1">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Signature"/>
    <w:basedOn w:val="a"/>
    <w:link w:val="aff4"/>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4">
    <w:name w:val="簽名 字元"/>
    <w:link w:val="aff3"/>
    <w:rsid w:val="00403714"/>
    <w:rPr>
      <w:spacing w:val="-5"/>
      <w:sz w:val="18"/>
    </w:rPr>
  </w:style>
  <w:style w:type="paragraph" w:styleId="aff5">
    <w:name w:val="Message Header"/>
    <w:basedOn w:val="afd"/>
    <w:link w:val="aff6"/>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6">
    <w:name w:val="訊息欄位名稱 字元"/>
    <w:link w:val="aff5"/>
    <w:rsid w:val="00403714"/>
    <w:rPr>
      <w:rFonts w:ascii="Arial" w:hAnsi="Arial"/>
      <w:spacing w:val="-5"/>
      <w:sz w:val="18"/>
    </w:rPr>
  </w:style>
  <w:style w:type="character" w:customStyle="1" w:styleId="201">
    <w:name w:val="表格內文(20行高) 字元"/>
    <w:link w:val="200"/>
    <w:rsid w:val="00403714"/>
  </w:style>
  <w:style w:type="character" w:customStyle="1" w:styleId="ad">
    <w:name w:val="姓名及分機 字元"/>
    <w:link w:val="ac"/>
    <w:rsid w:val="00FA298D"/>
    <w:rPr>
      <w:rFonts w:ascii="標楷體" w:eastAsia="標楷體"/>
      <w:snapToGrid w:val="0"/>
      <w:kern w:val="2"/>
      <w:sz w:val="24"/>
      <w:szCs w:val="28"/>
    </w:rPr>
  </w:style>
  <w:style w:type="paragraph" w:customStyle="1" w:styleId="aff7">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0">
    <w:name w:val="標題 3 字元"/>
    <w:link w:val="3"/>
    <w:uiPriority w:val="9"/>
    <w:semiHidden/>
    <w:rsid w:val="00037C5B"/>
    <w:rPr>
      <w:rFonts w:ascii="Calibri Light" w:hAnsi="Calibri Light"/>
      <w:b/>
      <w:bCs/>
      <w:snapToGrid w:val="0"/>
      <w:kern w:val="2"/>
      <w:sz w:val="36"/>
      <w:szCs w:val="36"/>
    </w:rPr>
  </w:style>
  <w:style w:type="character" w:customStyle="1" w:styleId="26">
    <w:name w:val="(一)(二)(三) 字元2"/>
    <w:rsid w:val="00037C5B"/>
    <w:rPr>
      <w:rFonts w:ascii="標楷體" w:eastAsia="標楷體"/>
      <w:snapToGrid w:val="0"/>
      <w:kern w:val="2"/>
      <w:sz w:val="28"/>
      <w:szCs w:val="28"/>
    </w:rPr>
  </w:style>
  <w:style w:type="character" w:customStyle="1" w:styleId="a9">
    <w:name w:val="前言內文 字元"/>
    <w:link w:val="a8"/>
    <w:rsid w:val="00037C5B"/>
    <w:rPr>
      <w:rFonts w:ascii="標楷體" w:eastAsia="標楷體"/>
      <w:snapToGrid w:val="0"/>
      <w:kern w:val="2"/>
      <w:sz w:val="28"/>
      <w:szCs w:val="28"/>
    </w:rPr>
  </w:style>
  <w:style w:type="character" w:customStyle="1" w:styleId="148">
    <w:name w:val="表格內文(14行高) 字元 字元 字元 字元"/>
    <w:rsid w:val="00037C5B"/>
    <w:rPr>
      <w:sz w:val="24"/>
      <w:szCs w:val="24"/>
    </w:rPr>
  </w:style>
  <w:style w:type="paragraph" w:customStyle="1" w:styleId="149">
    <w:name w:val="表格內文(14行高) 字元 字元"/>
    <w:basedOn w:val="aa"/>
    <w:link w:val="14a"/>
    <w:rsid w:val="00037C5B"/>
    <w:pPr>
      <w:spacing w:line="280" w:lineRule="exact"/>
      <w:ind w:leftChars="0" w:left="0" w:firstLineChars="0" w:firstLine="0"/>
      <w:jc w:val="left"/>
    </w:pPr>
    <w:rPr>
      <w:rFonts w:ascii="Times New Roman"/>
      <w:sz w:val="24"/>
    </w:rPr>
  </w:style>
  <w:style w:type="character" w:customStyle="1" w:styleId="14a">
    <w:name w:val="表格內文(14行高) 字元 字元 字元"/>
    <w:link w:val="149"/>
    <w:rsid w:val="00037C5B"/>
    <w:rPr>
      <w:rFonts w:eastAsia="標楷體"/>
      <w:snapToGrid w:val="0"/>
      <w:kern w:val="2"/>
      <w:sz w:val="24"/>
      <w:szCs w:val="28"/>
    </w:rPr>
  </w:style>
  <w:style w:type="paragraph" w:styleId="aff9">
    <w:name w:val="List Paragraph"/>
    <w:aliases w:val="1.1.1.1清單段落,列點,(二),List Paragraph,Recommendation,Footnote Sam,List Paragraph (numbered (a)),Text,Noise heading,RUS List,Rec para,Dot pt,F5 List Paragraph,No Spacing1,List Paragraph Char Char Char,Indicator Text,Numbered Para 1,標1,圖標號,標題一,標題 (4),卑南壹"/>
    <w:basedOn w:val="a"/>
    <w:link w:val="affa"/>
    <w:uiPriority w:val="34"/>
    <w:qFormat/>
    <w:rsid w:val="00037C5B"/>
    <w:pPr>
      <w:spacing w:line="240" w:lineRule="auto"/>
      <w:ind w:left="480" w:firstLineChars="0" w:firstLine="0"/>
      <w:jc w:val="left"/>
    </w:pPr>
    <w:rPr>
      <w:rFonts w:ascii="Calibri" w:eastAsia="新細明體" w:hAnsi="Calibri"/>
      <w:snapToGrid/>
      <w:sz w:val="24"/>
      <w:szCs w:val="22"/>
    </w:rPr>
  </w:style>
  <w:style w:type="character" w:customStyle="1" w:styleId="affa">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
    <w:link w:val="aff9"/>
    <w:uiPriority w:val="34"/>
    <w:qFormat/>
    <w:rsid w:val="00037C5B"/>
    <w:rPr>
      <w:rFonts w:ascii="Calibri" w:hAnsi="Calibri"/>
      <w:kern w:val="2"/>
      <w:sz w:val="24"/>
      <w:szCs w:val="22"/>
    </w:rPr>
  </w:style>
  <w:style w:type="paragraph" w:customStyle="1" w:styleId="Pa7">
    <w:name w:val="Pa7"/>
    <w:basedOn w:val="a"/>
    <w:next w:val="a"/>
    <w:uiPriority w:val="99"/>
    <w:rsid w:val="00037C5B"/>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table" w:customStyle="1" w:styleId="13">
    <w:name w:val="表格格線1"/>
    <w:basedOn w:val="a1"/>
    <w:next w:val="afa"/>
    <w:uiPriority w:val="59"/>
    <w:rsid w:val="00FB6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4787A1-E76F-466F-A11E-B756FF0C2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381</Words>
  <Characters>2177</Characters>
  <Application>Microsoft Office Word</Application>
  <DocSecurity>0</DocSecurity>
  <Lines>18</Lines>
  <Paragraphs>5</Paragraphs>
  <ScaleCrop>false</ScaleCrop>
  <Company/>
  <LinksUpToDate>false</LinksUpToDate>
  <CharactersWithSpaces>2553</CharactersWithSpaces>
  <SharedDoc>false</SharedDoc>
  <HLinks>
    <vt:vector size="78" baseType="variant">
      <vt:variant>
        <vt:i4>1179700</vt:i4>
      </vt:variant>
      <vt:variant>
        <vt:i4>74</vt:i4>
      </vt:variant>
      <vt:variant>
        <vt:i4>0</vt:i4>
      </vt:variant>
      <vt:variant>
        <vt:i4>5</vt:i4>
      </vt:variant>
      <vt:variant>
        <vt:lpwstr/>
      </vt:variant>
      <vt:variant>
        <vt:lpwstr>_Toc224220056</vt:lpwstr>
      </vt:variant>
      <vt:variant>
        <vt:i4>1179700</vt:i4>
      </vt:variant>
      <vt:variant>
        <vt:i4>68</vt:i4>
      </vt:variant>
      <vt:variant>
        <vt:i4>0</vt:i4>
      </vt:variant>
      <vt:variant>
        <vt:i4>5</vt:i4>
      </vt:variant>
      <vt:variant>
        <vt:lpwstr/>
      </vt:variant>
      <vt:variant>
        <vt:lpwstr>_Toc224220055</vt:lpwstr>
      </vt:variant>
      <vt:variant>
        <vt:i4>1179700</vt:i4>
      </vt:variant>
      <vt:variant>
        <vt:i4>62</vt:i4>
      </vt:variant>
      <vt:variant>
        <vt:i4>0</vt:i4>
      </vt:variant>
      <vt:variant>
        <vt:i4>5</vt:i4>
      </vt:variant>
      <vt:variant>
        <vt:lpwstr/>
      </vt:variant>
      <vt:variant>
        <vt:lpwstr>_Toc224220054</vt:lpwstr>
      </vt:variant>
      <vt:variant>
        <vt:i4>1179700</vt:i4>
      </vt:variant>
      <vt:variant>
        <vt:i4>56</vt:i4>
      </vt:variant>
      <vt:variant>
        <vt:i4>0</vt:i4>
      </vt:variant>
      <vt:variant>
        <vt:i4>5</vt:i4>
      </vt:variant>
      <vt:variant>
        <vt:lpwstr/>
      </vt:variant>
      <vt:variant>
        <vt:lpwstr>_Toc224220053</vt:lpwstr>
      </vt:variant>
      <vt:variant>
        <vt:i4>1179700</vt:i4>
      </vt:variant>
      <vt:variant>
        <vt:i4>50</vt:i4>
      </vt:variant>
      <vt:variant>
        <vt:i4>0</vt:i4>
      </vt:variant>
      <vt:variant>
        <vt:i4>5</vt:i4>
      </vt:variant>
      <vt:variant>
        <vt:lpwstr/>
      </vt:variant>
      <vt:variant>
        <vt:lpwstr>_Toc224220052</vt:lpwstr>
      </vt:variant>
      <vt:variant>
        <vt:i4>1179700</vt:i4>
      </vt:variant>
      <vt:variant>
        <vt:i4>44</vt:i4>
      </vt:variant>
      <vt:variant>
        <vt:i4>0</vt:i4>
      </vt:variant>
      <vt:variant>
        <vt:i4>5</vt:i4>
      </vt:variant>
      <vt:variant>
        <vt:lpwstr/>
      </vt:variant>
      <vt:variant>
        <vt:lpwstr>_Toc224220051</vt:lpwstr>
      </vt:variant>
      <vt:variant>
        <vt:i4>1179700</vt:i4>
      </vt:variant>
      <vt:variant>
        <vt:i4>38</vt:i4>
      </vt:variant>
      <vt:variant>
        <vt:i4>0</vt:i4>
      </vt:variant>
      <vt:variant>
        <vt:i4>5</vt:i4>
      </vt:variant>
      <vt:variant>
        <vt:lpwstr/>
      </vt:variant>
      <vt:variant>
        <vt:lpwstr>_Toc224220050</vt:lpwstr>
      </vt:variant>
      <vt:variant>
        <vt:i4>1245236</vt:i4>
      </vt:variant>
      <vt:variant>
        <vt:i4>32</vt:i4>
      </vt:variant>
      <vt:variant>
        <vt:i4>0</vt:i4>
      </vt:variant>
      <vt:variant>
        <vt:i4>5</vt:i4>
      </vt:variant>
      <vt:variant>
        <vt:lpwstr/>
      </vt:variant>
      <vt:variant>
        <vt:lpwstr>_Toc224220049</vt:lpwstr>
      </vt:variant>
      <vt:variant>
        <vt:i4>1245236</vt:i4>
      </vt:variant>
      <vt:variant>
        <vt:i4>26</vt:i4>
      </vt:variant>
      <vt:variant>
        <vt:i4>0</vt:i4>
      </vt:variant>
      <vt:variant>
        <vt:i4>5</vt:i4>
      </vt:variant>
      <vt:variant>
        <vt:lpwstr/>
      </vt:variant>
      <vt:variant>
        <vt:lpwstr>_Toc224220048</vt:lpwstr>
      </vt:variant>
      <vt:variant>
        <vt:i4>1245236</vt:i4>
      </vt:variant>
      <vt:variant>
        <vt:i4>20</vt:i4>
      </vt:variant>
      <vt:variant>
        <vt:i4>0</vt:i4>
      </vt:variant>
      <vt:variant>
        <vt:i4>5</vt:i4>
      </vt:variant>
      <vt:variant>
        <vt:lpwstr/>
      </vt:variant>
      <vt:variant>
        <vt:lpwstr>_Toc224220047</vt:lpwstr>
      </vt:variant>
      <vt:variant>
        <vt:i4>1245236</vt:i4>
      </vt:variant>
      <vt:variant>
        <vt:i4>14</vt:i4>
      </vt:variant>
      <vt:variant>
        <vt:i4>0</vt:i4>
      </vt:variant>
      <vt:variant>
        <vt:i4>5</vt:i4>
      </vt:variant>
      <vt:variant>
        <vt:lpwstr/>
      </vt:variant>
      <vt:variant>
        <vt:lpwstr>_Toc224220046</vt:lpwstr>
      </vt:variant>
      <vt:variant>
        <vt:i4>1245236</vt:i4>
      </vt:variant>
      <vt:variant>
        <vt:i4>8</vt:i4>
      </vt:variant>
      <vt:variant>
        <vt:i4>0</vt:i4>
      </vt:variant>
      <vt:variant>
        <vt:i4>5</vt:i4>
      </vt:variant>
      <vt:variant>
        <vt:lpwstr/>
      </vt:variant>
      <vt:variant>
        <vt:lpwstr>_Toc224220045</vt:lpwstr>
      </vt:variant>
      <vt:variant>
        <vt:i4>1245236</vt:i4>
      </vt:variant>
      <vt:variant>
        <vt:i4>2</vt:i4>
      </vt:variant>
      <vt:variant>
        <vt:i4>0</vt:i4>
      </vt:variant>
      <vt:variant>
        <vt:i4>5</vt:i4>
      </vt:variant>
      <vt:variant>
        <vt:lpwstr/>
      </vt:variant>
      <vt:variant>
        <vt:lpwstr>_Toc224220044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2026-03-12T07:06:00Z</cp:lastPrinted>
  <dcterms:created xsi:type="dcterms:W3CDTF">2026-03-18T03:22:00Z</dcterms:created>
  <dcterms:modified xsi:type="dcterms:W3CDTF">2026-03-18T03:22:00Z</dcterms:modified>
</cp:coreProperties>
</file>