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58B" w:rsidRPr="00994CCF" w:rsidRDefault="003C458B" w:rsidP="001218F9">
      <w:pPr>
        <w:pStyle w:val="ae"/>
      </w:pPr>
      <w:bookmarkStart w:id="0" w:name="_Toc149473656"/>
      <w:bookmarkStart w:id="1" w:name="_Toc117835331"/>
      <w:bookmarkStart w:id="2" w:name="_Toc148357232"/>
      <w:bookmarkStart w:id="3" w:name="_Toc192671294"/>
      <w:bookmarkStart w:id="4" w:name="_Toc432060487"/>
      <w:bookmarkStart w:id="5" w:name="_Toc21958701"/>
      <w:bookmarkStart w:id="6" w:name="_Toc148520536"/>
      <w:bookmarkStart w:id="7" w:name="_Toc181174623"/>
      <w:bookmarkStart w:id="8" w:name="_Toc190778270"/>
      <w:bookmarkStart w:id="9" w:name="_Toc212642096"/>
      <w:bookmarkStart w:id="10" w:name="_Toc528827788"/>
      <w:bookmarkStart w:id="11" w:name="_Toc528834763"/>
      <w:bookmarkStart w:id="12" w:name="_Toc528179769"/>
      <w:bookmarkStart w:id="13" w:name="_Toc528178957"/>
      <w:bookmarkStart w:id="14" w:name="_Toc528178439"/>
      <w:bookmarkStart w:id="15" w:name="_Toc496271150"/>
      <w:bookmarkStart w:id="16" w:name="_Toc54342900"/>
      <w:bookmarkStart w:id="17" w:name="_Toc54343700"/>
      <w:bookmarkStart w:id="18" w:name="_Toc54343986"/>
      <w:bookmarkStart w:id="19" w:name="_Toc116221373"/>
      <w:bookmarkStart w:id="20" w:name="_Toc116222099"/>
      <w:bookmarkStart w:id="21" w:name="_Toc117759484"/>
      <w:bookmarkStart w:id="22" w:name="_Toc54276182"/>
      <w:bookmarkStart w:id="23" w:name="_Toc87264189"/>
      <w:r w:rsidRPr="006668B2">
        <w:rPr>
          <w:rFonts w:hint="eastAsia"/>
          <w:lang w:eastAsia="zh-HK"/>
        </w:rPr>
        <w:t>內政部主管非營業基金</w:t>
      </w:r>
      <w:r>
        <w:rPr>
          <w:rFonts w:hint="eastAsia"/>
        </w:rPr>
        <w:t>1</w:t>
      </w:r>
      <w:r>
        <w:t>13</w:t>
      </w:r>
      <w:r w:rsidRPr="006668B2">
        <w:rPr>
          <w:rFonts w:hint="eastAsia"/>
          <w:lang w:eastAsia="zh-HK"/>
        </w:rPr>
        <w:t>年度決算評估報告</w:t>
      </w:r>
    </w:p>
    <w:p w:rsidR="00F95C91" w:rsidRPr="00DA4E61" w:rsidRDefault="00F95C91" w:rsidP="00DE17FA">
      <w:pPr>
        <w:pStyle w:val="14"/>
        <w:ind w:left="567" w:hanging="567"/>
      </w:pPr>
      <w:bookmarkStart w:id="24" w:name="_Hlk224642204"/>
      <w:bookmarkStart w:id="25" w:name="_Toc224719266"/>
      <w:bookmarkEnd w:id="10"/>
      <w:bookmarkEnd w:id="11"/>
      <w:bookmarkEnd w:id="12"/>
      <w:bookmarkEnd w:id="13"/>
      <w:bookmarkEnd w:id="14"/>
      <w:bookmarkEnd w:id="15"/>
      <w:bookmarkEnd w:id="16"/>
      <w:bookmarkEnd w:id="17"/>
      <w:bookmarkEnd w:id="18"/>
      <w:bookmarkEnd w:id="19"/>
      <w:bookmarkEnd w:id="20"/>
      <w:bookmarkEnd w:id="21"/>
      <w:bookmarkEnd w:id="22"/>
      <w:bookmarkEnd w:id="23"/>
      <w:r>
        <w:rPr>
          <w:rFonts w:hint="eastAsia"/>
        </w:rPr>
        <w:t>三</w:t>
      </w:r>
      <w:r w:rsidRPr="00DA4E61">
        <w:t>、</w:t>
      </w:r>
      <w:r>
        <w:rPr>
          <w:rFonts w:hint="eastAsia"/>
          <w:snapToGrid/>
        </w:rPr>
        <w:t>中央都市更新基金辦理</w:t>
      </w:r>
      <w:r w:rsidRPr="00DA4E61">
        <w:rPr>
          <w:rFonts w:hint="eastAsia"/>
          <w:snapToGrid/>
        </w:rPr>
        <w:t>危老建物重建計畫費用</w:t>
      </w:r>
      <w:r>
        <w:rPr>
          <w:rFonts w:hint="eastAsia"/>
          <w:snapToGrid/>
        </w:rPr>
        <w:t>補助之</w:t>
      </w:r>
      <w:r w:rsidRPr="00DA4E61">
        <w:rPr>
          <w:rFonts w:hint="eastAsia"/>
          <w:snapToGrid/>
        </w:rPr>
        <w:t>實際執行結果與市場需求間存有</w:t>
      </w:r>
      <w:r>
        <w:rPr>
          <w:rFonts w:hint="eastAsia"/>
          <w:snapToGrid/>
        </w:rPr>
        <w:t>落</w:t>
      </w:r>
      <w:r w:rsidRPr="00DA4E61">
        <w:rPr>
          <w:rFonts w:hint="eastAsia"/>
          <w:snapToGrid/>
        </w:rPr>
        <w:t>差</w:t>
      </w:r>
      <w:r w:rsidRPr="00DA4E61">
        <w:rPr>
          <w:rFonts w:hint="eastAsia"/>
        </w:rPr>
        <w:t>，</w:t>
      </w:r>
      <w:r w:rsidRPr="00DA4E61">
        <w:rPr>
          <w:snapToGrid/>
        </w:rPr>
        <w:t>允宜</w:t>
      </w:r>
      <w:r w:rsidRPr="00DA4E61">
        <w:rPr>
          <w:rFonts w:hint="eastAsia"/>
          <w:snapToGrid/>
        </w:rPr>
        <w:t>研謀改善</w:t>
      </w:r>
      <w:r w:rsidRPr="00DA4E61">
        <w:rPr>
          <w:snapToGrid/>
        </w:rPr>
        <w:t>，</w:t>
      </w:r>
      <w:r w:rsidRPr="00DA4E61">
        <w:rPr>
          <w:rFonts w:hint="eastAsia"/>
          <w:snapToGrid/>
        </w:rPr>
        <w:t>俾</w:t>
      </w:r>
      <w:r>
        <w:rPr>
          <w:rFonts w:hint="eastAsia"/>
          <w:snapToGrid/>
        </w:rPr>
        <w:t>提升</w:t>
      </w:r>
      <w:r w:rsidRPr="00DA4E61">
        <w:rPr>
          <w:rFonts w:hint="eastAsia"/>
          <w:snapToGrid/>
        </w:rPr>
        <w:t>國民居住環境與生活品質</w:t>
      </w:r>
      <w:bookmarkEnd w:id="25"/>
    </w:p>
    <w:p w:rsidR="00F95C91" w:rsidRPr="00DA4E61" w:rsidRDefault="00F95C91" w:rsidP="00DE17FA">
      <w:pPr>
        <w:ind w:left="566" w:firstLine="566"/>
        <w:rPr>
          <w:snapToGrid/>
        </w:rPr>
      </w:pPr>
      <w:r>
        <w:rPr>
          <w:rFonts w:hint="eastAsia"/>
          <w:snapToGrid/>
        </w:rPr>
        <w:t>中央都市更新基金(下稱中央都更基金)</w:t>
      </w:r>
      <w:r w:rsidRPr="00DA4E61">
        <w:rPr>
          <w:rFonts w:hint="eastAsia"/>
          <w:snapToGrid/>
        </w:rPr>
        <w:t>辦理危險及老舊建築物重建計畫費用補助作業，113年度於「其他業務費用-捐助、補助與獎助」下編列補助經費2</w:t>
      </w:r>
      <w:r w:rsidRPr="00DA4E61">
        <w:rPr>
          <w:snapToGrid/>
        </w:rPr>
        <w:t>,</w:t>
      </w:r>
      <w:r w:rsidRPr="00DA4E61">
        <w:rPr>
          <w:rFonts w:hint="eastAsia"/>
          <w:snapToGrid/>
        </w:rPr>
        <w:t>000萬元、決算數1</w:t>
      </w:r>
      <w:r w:rsidRPr="00DA4E61">
        <w:rPr>
          <w:snapToGrid/>
        </w:rPr>
        <w:t>,187</w:t>
      </w:r>
      <w:r w:rsidRPr="00DA4E61">
        <w:rPr>
          <w:rFonts w:hint="eastAsia"/>
          <w:snapToGrid/>
        </w:rPr>
        <w:t>萬8千元，預算執行率59.39%</w:t>
      </w:r>
      <w:r w:rsidRPr="00DA4E61">
        <w:rPr>
          <w:snapToGrid/>
        </w:rPr>
        <w:t>。經查：</w:t>
      </w:r>
    </w:p>
    <w:p w:rsidR="00F95C91" w:rsidRPr="00DA4E61" w:rsidRDefault="00F95C91" w:rsidP="00DE17FA">
      <w:pPr>
        <w:pStyle w:val="a7"/>
        <w:ind w:left="849" w:hanging="283"/>
        <w:rPr>
          <w:rFonts w:hAnsi="標楷體" w:hint="eastAsia"/>
          <w:b/>
          <w:snapToGrid/>
          <w:kern w:val="3"/>
        </w:rPr>
      </w:pPr>
      <w:r w:rsidRPr="00DA4E61">
        <w:rPr>
          <w:rFonts w:hAnsi="標楷體"/>
          <w:b/>
          <w:snapToGrid/>
          <w:kern w:val="3"/>
        </w:rPr>
        <w:t>(一)</w:t>
      </w:r>
      <w:r>
        <w:rPr>
          <w:rFonts w:hAnsi="標楷體" w:hint="eastAsia"/>
          <w:b/>
          <w:snapToGrid/>
          <w:kern w:val="3"/>
        </w:rPr>
        <w:t>中央都更基金補助</w:t>
      </w:r>
      <w:r w:rsidRPr="00DA4E61">
        <w:rPr>
          <w:rFonts w:hint="eastAsia"/>
          <w:b/>
          <w:snapToGrid/>
        </w:rPr>
        <w:t>危險及老舊建築物重建計畫費用之</w:t>
      </w:r>
      <w:r w:rsidRPr="00DA4E61">
        <w:rPr>
          <w:rFonts w:hAnsi="標楷體" w:hint="eastAsia"/>
          <w:b/>
          <w:snapToGrid/>
          <w:kern w:val="3"/>
        </w:rPr>
        <w:t>預算執行率偏低</w:t>
      </w:r>
    </w:p>
    <w:p w:rsidR="00F95C91" w:rsidRPr="00DA4E61" w:rsidRDefault="00F95C91" w:rsidP="00DE17FA">
      <w:pPr>
        <w:pStyle w:val="22"/>
        <w:ind w:left="850" w:firstLine="566"/>
        <w:rPr>
          <w:rFonts w:hAnsi="標楷體"/>
          <w:snapToGrid/>
          <w:kern w:val="3"/>
        </w:rPr>
      </w:pPr>
      <w:r>
        <w:rPr>
          <w:rFonts w:hint="eastAsia"/>
          <w:snapToGrid/>
        </w:rPr>
        <w:t>中央都更基金</w:t>
      </w:r>
      <w:r w:rsidRPr="00DA4E61">
        <w:rPr>
          <w:rFonts w:hint="eastAsia"/>
          <w:snapToGrid/>
        </w:rPr>
        <w:t>為協助各直轄縣市及縣(市)政府依</w:t>
      </w:r>
      <w:r w:rsidRPr="00DA4E61">
        <w:rPr>
          <w:snapToGrid/>
        </w:rPr>
        <w:t>都市危險及老舊建築物加速重建條例</w:t>
      </w:r>
      <w:r w:rsidRPr="00DA4E61">
        <w:rPr>
          <w:rFonts w:hint="eastAsia"/>
          <w:snapToGrid/>
        </w:rPr>
        <w:t>(下稱為危老重建條例)辦理重建計畫業務，針對依危老重建條例</w:t>
      </w:r>
      <w:r>
        <w:rPr>
          <w:rFonts w:hint="eastAsia"/>
          <w:snapToGrid/>
        </w:rPr>
        <w:t>相關</w:t>
      </w:r>
      <w:r w:rsidRPr="00DA4E61">
        <w:rPr>
          <w:rFonts w:hint="eastAsia"/>
          <w:snapToGrid/>
        </w:rPr>
        <w:t>規定擬具重建計畫，並經政府審查核定之案件，提供重建計畫費用補助，由新建建築物之起造人提出申請，並由地方政府執行</w:t>
      </w:r>
      <w:r w:rsidRPr="00DA4E61">
        <w:rPr>
          <w:rStyle w:val="afb"/>
          <w:rFonts w:hAnsi="標楷體"/>
          <w:snapToGrid/>
          <w:kern w:val="3"/>
        </w:rPr>
        <w:footnoteReference w:id="1"/>
      </w:r>
      <w:r w:rsidRPr="00DA4E61">
        <w:rPr>
          <w:rFonts w:hint="eastAsia"/>
          <w:snapToGrid/>
        </w:rPr>
        <w:t>。</w:t>
      </w:r>
      <w:r w:rsidRPr="00DA4E61">
        <w:rPr>
          <w:rFonts w:hAnsi="標楷體"/>
          <w:snapToGrid/>
          <w:kern w:val="3"/>
        </w:rPr>
        <w:t>109至113年度</w:t>
      </w:r>
      <w:r w:rsidRPr="00DA4E61">
        <w:rPr>
          <w:rFonts w:hAnsi="標楷體" w:hint="eastAsia"/>
          <w:snapToGrid/>
          <w:kern w:val="3"/>
        </w:rPr>
        <w:t>預算</w:t>
      </w:r>
      <w:r w:rsidRPr="00DA4E61">
        <w:rPr>
          <w:rFonts w:hAnsi="標楷體"/>
          <w:snapToGrid/>
          <w:kern w:val="3"/>
        </w:rPr>
        <w:t>執行率介於</w:t>
      </w:r>
      <w:r w:rsidRPr="00DA4E61">
        <w:rPr>
          <w:rFonts w:hAnsi="標楷體" w:hint="eastAsia"/>
          <w:snapToGrid/>
          <w:kern w:val="3"/>
        </w:rPr>
        <w:t>35.49</w:t>
      </w:r>
      <w:r w:rsidRPr="00DA4E61">
        <w:rPr>
          <w:rFonts w:hAnsi="標楷體"/>
          <w:snapToGrid/>
          <w:kern w:val="3"/>
        </w:rPr>
        <w:t>%至</w:t>
      </w:r>
      <w:r w:rsidRPr="00DA4E61">
        <w:rPr>
          <w:rFonts w:hAnsi="標楷體" w:hint="eastAsia"/>
          <w:snapToGrid/>
          <w:kern w:val="3"/>
        </w:rPr>
        <w:t>59.39</w:t>
      </w:r>
      <w:r w:rsidRPr="00DA4E61">
        <w:rPr>
          <w:rFonts w:hAnsi="標楷體"/>
          <w:snapToGrid/>
          <w:kern w:val="3"/>
        </w:rPr>
        <w:t>%間(詳表1)</w:t>
      </w:r>
      <w:r w:rsidRPr="00DA4E61">
        <w:rPr>
          <w:rFonts w:hAnsi="標楷體" w:hint="eastAsia"/>
          <w:snapToGrid/>
          <w:kern w:val="3"/>
        </w:rPr>
        <w:t>，各年度均未達六成。</w:t>
      </w:r>
    </w:p>
    <w:p w:rsidR="00F95C91" w:rsidRDefault="00F95C91" w:rsidP="00DE17FA">
      <w:pPr>
        <w:pStyle w:val="22"/>
        <w:ind w:left="850" w:firstLine="566"/>
        <w:rPr>
          <w:rFonts w:hAnsi="標楷體"/>
          <w:snapToGrid/>
          <w:kern w:val="3"/>
        </w:rPr>
      </w:pPr>
      <w:r w:rsidRPr="00DA4E61">
        <w:rPr>
          <w:rFonts w:hAnsi="標楷體"/>
          <w:snapToGrid/>
          <w:kern w:val="3"/>
        </w:rPr>
        <w:t>據</w:t>
      </w:r>
      <w:r>
        <w:rPr>
          <w:rFonts w:hAnsi="標楷體" w:hint="eastAsia"/>
          <w:snapToGrid/>
          <w:kern w:val="3"/>
        </w:rPr>
        <w:t>國土管理署(下稱國土署)</w:t>
      </w:r>
      <w:r w:rsidRPr="00DA4E61">
        <w:rPr>
          <w:rFonts w:hAnsi="標楷體"/>
          <w:snapToGrid/>
          <w:kern w:val="3"/>
        </w:rPr>
        <w:t>表示，主要係</w:t>
      </w:r>
      <w:r w:rsidRPr="00DA4E61">
        <w:rPr>
          <w:rFonts w:hAnsi="標楷體" w:hint="eastAsia"/>
          <w:snapToGrid/>
          <w:kern w:val="3"/>
        </w:rPr>
        <w:t>擬具重建計畫需經全體所有權人全數同意，並經所轄地方政府核定重建計畫，且部分案件由起造人負擔擬具重建計畫費用，無申請補助需求，致申請情形不如預期，未來將持續舉辦危老重建政策與法令說明講習會，並補助地方政府成立輔導團，提供民眾危老屋諮詢顧問、申請重建、整合及擬訂計畫等服務。</w:t>
      </w:r>
    </w:p>
    <w:p w:rsidR="00F95C91" w:rsidRPr="00DA4E61" w:rsidRDefault="00F95C91" w:rsidP="00DE17FA">
      <w:pPr>
        <w:ind w:leftChars="-11" w:left="564" w:hangingChars="210" w:hanging="595"/>
        <w:rPr>
          <w:b/>
          <w:bCs/>
          <w:snapToGrid/>
          <w:sz w:val="24"/>
          <w:szCs w:val="24"/>
        </w:rPr>
      </w:pPr>
      <w:r w:rsidRPr="00DA4E61">
        <w:rPr>
          <w:b/>
          <w:bCs/>
          <w:snapToGrid/>
        </w:rPr>
        <w:t>表1</w:t>
      </w:r>
      <w:r>
        <w:rPr>
          <w:rFonts w:hint="eastAsia"/>
          <w:b/>
          <w:bCs/>
          <w:snapToGrid/>
        </w:rPr>
        <w:t xml:space="preserve"> </w:t>
      </w:r>
      <w:r w:rsidRPr="00DA4E61">
        <w:rPr>
          <w:b/>
          <w:bCs/>
          <w:snapToGrid/>
        </w:rPr>
        <w:t>109至113年</w:t>
      </w:r>
      <w:r w:rsidRPr="00DA4E61">
        <w:rPr>
          <w:rFonts w:hint="eastAsia"/>
          <w:b/>
          <w:bCs/>
          <w:snapToGrid/>
        </w:rPr>
        <w:t>度</w:t>
      </w:r>
      <w:r>
        <w:rPr>
          <w:b/>
          <w:bCs/>
          <w:snapToGrid/>
        </w:rPr>
        <w:t>中央都更基金</w:t>
      </w:r>
      <w:r w:rsidRPr="00DA4E61">
        <w:rPr>
          <w:rFonts w:hint="eastAsia"/>
          <w:b/>
          <w:bCs/>
          <w:snapToGrid/>
        </w:rPr>
        <w:t>辦理</w:t>
      </w:r>
      <w:r>
        <w:rPr>
          <w:rFonts w:hint="eastAsia"/>
          <w:b/>
          <w:bCs/>
          <w:snapToGrid/>
        </w:rPr>
        <w:t>補助</w:t>
      </w:r>
      <w:r w:rsidRPr="00DA4E61">
        <w:rPr>
          <w:rFonts w:hint="eastAsia"/>
          <w:b/>
          <w:bCs/>
          <w:snapToGrid/>
        </w:rPr>
        <w:t>危</w:t>
      </w:r>
      <w:r w:rsidRPr="00DA4E61">
        <w:rPr>
          <w:b/>
          <w:bCs/>
          <w:snapToGrid/>
        </w:rPr>
        <w:t>老重</w:t>
      </w:r>
      <w:r w:rsidRPr="00DA4E61">
        <w:rPr>
          <w:rFonts w:hint="eastAsia"/>
          <w:b/>
          <w:bCs/>
          <w:snapToGrid/>
        </w:rPr>
        <w:t>建計畫費用</w:t>
      </w:r>
      <w:r>
        <w:rPr>
          <w:rFonts w:hint="eastAsia"/>
          <w:b/>
          <w:bCs/>
          <w:snapToGrid/>
        </w:rPr>
        <w:t>之</w:t>
      </w:r>
      <w:r w:rsidRPr="00DA4E61">
        <w:rPr>
          <w:b/>
          <w:bCs/>
          <w:snapToGrid/>
        </w:rPr>
        <w:t>預算執行</w:t>
      </w:r>
      <w:r w:rsidRPr="00DA4E61">
        <w:rPr>
          <w:rFonts w:hint="eastAsia"/>
          <w:b/>
          <w:bCs/>
          <w:snapToGrid/>
        </w:rPr>
        <w:t xml:space="preserve">概況表           </w:t>
      </w:r>
      <w:r>
        <w:rPr>
          <w:rFonts w:hint="eastAsia"/>
          <w:b/>
          <w:bCs/>
          <w:snapToGrid/>
        </w:rPr>
        <w:t xml:space="preserve">       </w:t>
      </w:r>
      <w:r w:rsidRPr="00DA4E61">
        <w:rPr>
          <w:rFonts w:hint="eastAsia"/>
          <w:b/>
          <w:bCs/>
          <w:snapToGrid/>
        </w:rPr>
        <w:t xml:space="preserve">           </w:t>
      </w:r>
      <w:r>
        <w:rPr>
          <w:rFonts w:hint="eastAsia"/>
          <w:b/>
          <w:bCs/>
          <w:snapToGrid/>
        </w:rPr>
        <w:t xml:space="preserve"> </w:t>
      </w:r>
      <w:r w:rsidRPr="00DA4E61">
        <w:rPr>
          <w:rFonts w:hAnsi="標楷體"/>
          <w:snapToGrid/>
          <w:kern w:val="3"/>
          <w:sz w:val="24"/>
          <w:szCs w:val="24"/>
        </w:rPr>
        <w:t>單位：新臺幣千元：%</w:t>
      </w:r>
    </w:p>
    <w:tbl>
      <w:tblPr>
        <w:tblW w:w="8483" w:type="dxa"/>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0"/>
        <w:gridCol w:w="2121"/>
        <w:gridCol w:w="2121"/>
        <w:gridCol w:w="2121"/>
      </w:tblGrid>
      <w:tr w:rsidR="00F95C91" w:rsidRPr="00DA4E61" w:rsidTr="00DE17FA">
        <w:trPr>
          <w:trHeight w:val="27"/>
          <w:tblHeader/>
        </w:trPr>
        <w:tc>
          <w:tcPr>
            <w:tcW w:w="2120" w:type="dxa"/>
            <w:vAlign w:val="center"/>
            <w:hideMark/>
          </w:tcPr>
          <w:p w:rsidR="00F95C91" w:rsidRPr="00DA4E61" w:rsidRDefault="00F95C91" w:rsidP="00DE17FA">
            <w:pPr>
              <w:pStyle w:val="142"/>
              <w:jc w:val="center"/>
              <w:rPr>
                <w:snapToGrid/>
              </w:rPr>
            </w:pPr>
            <w:r w:rsidRPr="00DA4E61">
              <w:rPr>
                <w:rFonts w:hint="eastAsia"/>
              </w:rPr>
              <w:t>年度</w:t>
            </w:r>
          </w:p>
        </w:tc>
        <w:tc>
          <w:tcPr>
            <w:tcW w:w="2121" w:type="dxa"/>
            <w:vAlign w:val="center"/>
            <w:hideMark/>
          </w:tcPr>
          <w:p w:rsidR="00F95C91" w:rsidRPr="00DA4E61" w:rsidRDefault="00F95C91" w:rsidP="00DE17FA">
            <w:pPr>
              <w:pStyle w:val="142"/>
              <w:jc w:val="center"/>
              <w:rPr>
                <w:rFonts w:hint="eastAsia"/>
              </w:rPr>
            </w:pPr>
            <w:r w:rsidRPr="00DA4E61">
              <w:rPr>
                <w:rFonts w:hint="eastAsia"/>
              </w:rPr>
              <w:t>預算數</w:t>
            </w:r>
          </w:p>
        </w:tc>
        <w:tc>
          <w:tcPr>
            <w:tcW w:w="2121" w:type="dxa"/>
            <w:vAlign w:val="center"/>
            <w:hideMark/>
          </w:tcPr>
          <w:p w:rsidR="00F95C91" w:rsidRPr="00DA4E61" w:rsidRDefault="00F95C91" w:rsidP="00DE17FA">
            <w:pPr>
              <w:pStyle w:val="142"/>
              <w:jc w:val="center"/>
              <w:rPr>
                <w:rFonts w:hint="eastAsia"/>
              </w:rPr>
            </w:pPr>
            <w:r w:rsidRPr="00DA4E61">
              <w:rPr>
                <w:rFonts w:hint="eastAsia"/>
              </w:rPr>
              <w:t>決算數</w:t>
            </w:r>
          </w:p>
        </w:tc>
        <w:tc>
          <w:tcPr>
            <w:tcW w:w="2121" w:type="dxa"/>
            <w:vAlign w:val="center"/>
            <w:hideMark/>
          </w:tcPr>
          <w:p w:rsidR="00F95C91" w:rsidRPr="00DA4E61" w:rsidRDefault="00F95C91" w:rsidP="00DE17FA">
            <w:pPr>
              <w:pStyle w:val="142"/>
              <w:jc w:val="center"/>
              <w:rPr>
                <w:rFonts w:hint="eastAsia"/>
              </w:rPr>
            </w:pPr>
            <w:r w:rsidRPr="00DA4E61">
              <w:rPr>
                <w:rFonts w:hint="eastAsia"/>
              </w:rPr>
              <w:t>執行率</w:t>
            </w:r>
          </w:p>
        </w:tc>
      </w:tr>
      <w:tr w:rsidR="00F95C91" w:rsidRPr="00DA4E61" w:rsidTr="00DE17FA">
        <w:trPr>
          <w:trHeight w:val="211"/>
        </w:trPr>
        <w:tc>
          <w:tcPr>
            <w:tcW w:w="2120" w:type="dxa"/>
            <w:vAlign w:val="center"/>
            <w:hideMark/>
          </w:tcPr>
          <w:p w:rsidR="00F95C91" w:rsidRPr="00DA4E61" w:rsidRDefault="00F95C91" w:rsidP="00DE17FA">
            <w:pPr>
              <w:pStyle w:val="142"/>
              <w:jc w:val="center"/>
            </w:pPr>
            <w:r w:rsidRPr="00DA4E61">
              <w:t>109</w:t>
            </w:r>
            <w:r w:rsidRPr="00DA4E61">
              <w:rPr>
                <w:rFonts w:hint="eastAsia"/>
              </w:rPr>
              <w:t>年度</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30,000</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11,193</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37</w:t>
            </w:r>
            <w:r w:rsidRPr="00DA4E61">
              <w:rPr>
                <w:rFonts w:hint="eastAsia"/>
                <w:bCs/>
                <w:sz w:val="22"/>
                <w:szCs w:val="22"/>
              </w:rPr>
              <w:t>.31</w:t>
            </w:r>
          </w:p>
        </w:tc>
      </w:tr>
      <w:tr w:rsidR="00F95C91" w:rsidRPr="00DA4E61" w:rsidTr="00DE17FA">
        <w:trPr>
          <w:trHeight w:val="211"/>
        </w:trPr>
        <w:tc>
          <w:tcPr>
            <w:tcW w:w="2120" w:type="dxa"/>
            <w:vAlign w:val="center"/>
            <w:hideMark/>
          </w:tcPr>
          <w:p w:rsidR="00F95C91" w:rsidRPr="00DA4E61" w:rsidRDefault="00F95C91" w:rsidP="00DE17FA">
            <w:pPr>
              <w:pStyle w:val="142"/>
              <w:jc w:val="center"/>
              <w:rPr>
                <w:rFonts w:hint="eastAsia"/>
              </w:rPr>
            </w:pPr>
            <w:r w:rsidRPr="00DA4E61">
              <w:lastRenderedPageBreak/>
              <w:t>110</w:t>
            </w:r>
            <w:r w:rsidRPr="00DA4E61">
              <w:rPr>
                <w:rFonts w:hint="eastAsia"/>
              </w:rPr>
              <w:t>年度</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30,000</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11,414</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38</w:t>
            </w:r>
            <w:r w:rsidRPr="00DA4E61">
              <w:rPr>
                <w:rFonts w:hint="eastAsia"/>
                <w:bCs/>
                <w:sz w:val="22"/>
                <w:szCs w:val="22"/>
              </w:rPr>
              <w:t>.05</w:t>
            </w:r>
          </w:p>
        </w:tc>
      </w:tr>
      <w:tr w:rsidR="00F95C91" w:rsidRPr="00DA4E61" w:rsidTr="00DE17FA">
        <w:trPr>
          <w:trHeight w:val="211"/>
        </w:trPr>
        <w:tc>
          <w:tcPr>
            <w:tcW w:w="2120" w:type="dxa"/>
            <w:vAlign w:val="center"/>
            <w:hideMark/>
          </w:tcPr>
          <w:p w:rsidR="00F95C91" w:rsidRPr="00DA4E61" w:rsidRDefault="00F95C91" w:rsidP="00DE17FA">
            <w:pPr>
              <w:pStyle w:val="142"/>
              <w:jc w:val="center"/>
            </w:pPr>
            <w:r w:rsidRPr="00DA4E61">
              <w:t>111</w:t>
            </w:r>
            <w:r w:rsidRPr="00DA4E61">
              <w:rPr>
                <w:rFonts w:hint="eastAsia"/>
              </w:rPr>
              <w:t>年度</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30,000</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12,588</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4</w:t>
            </w:r>
            <w:r w:rsidRPr="00DA4E61">
              <w:rPr>
                <w:rFonts w:hint="eastAsia"/>
                <w:bCs/>
                <w:sz w:val="22"/>
                <w:szCs w:val="22"/>
              </w:rPr>
              <w:t>1.96</w:t>
            </w:r>
          </w:p>
        </w:tc>
      </w:tr>
      <w:tr w:rsidR="00F95C91" w:rsidRPr="00DA4E61" w:rsidTr="00DE17FA">
        <w:trPr>
          <w:trHeight w:val="211"/>
        </w:trPr>
        <w:tc>
          <w:tcPr>
            <w:tcW w:w="2120" w:type="dxa"/>
            <w:vAlign w:val="center"/>
            <w:hideMark/>
          </w:tcPr>
          <w:p w:rsidR="00F95C91" w:rsidRPr="00DA4E61" w:rsidRDefault="00F95C91" w:rsidP="00DE17FA">
            <w:pPr>
              <w:pStyle w:val="142"/>
              <w:jc w:val="center"/>
            </w:pPr>
            <w:r w:rsidRPr="00DA4E61">
              <w:t>112</w:t>
            </w:r>
            <w:r w:rsidRPr="00DA4E61">
              <w:rPr>
                <w:rFonts w:hint="eastAsia"/>
              </w:rPr>
              <w:t>年度</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30,000</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10,648</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35</w:t>
            </w:r>
            <w:r w:rsidRPr="00DA4E61">
              <w:rPr>
                <w:rFonts w:hint="eastAsia"/>
                <w:bCs/>
                <w:sz w:val="22"/>
                <w:szCs w:val="22"/>
              </w:rPr>
              <w:t>.49</w:t>
            </w:r>
          </w:p>
        </w:tc>
      </w:tr>
      <w:tr w:rsidR="00F95C91" w:rsidRPr="00DA4E61" w:rsidTr="00DE17FA">
        <w:trPr>
          <w:trHeight w:val="212"/>
        </w:trPr>
        <w:tc>
          <w:tcPr>
            <w:tcW w:w="2120" w:type="dxa"/>
            <w:vAlign w:val="center"/>
            <w:hideMark/>
          </w:tcPr>
          <w:p w:rsidR="00F95C91" w:rsidRPr="00DA4E61" w:rsidRDefault="00F95C91" w:rsidP="00DE17FA">
            <w:pPr>
              <w:pStyle w:val="142"/>
              <w:jc w:val="center"/>
            </w:pPr>
            <w:r w:rsidRPr="00DA4E61">
              <w:t>113</w:t>
            </w:r>
            <w:r w:rsidRPr="00DA4E61">
              <w:rPr>
                <w:rFonts w:hint="eastAsia"/>
              </w:rPr>
              <w:t>年度</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20,000</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11,878</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59</w:t>
            </w:r>
            <w:r w:rsidRPr="00DA4E61">
              <w:rPr>
                <w:rFonts w:hint="eastAsia"/>
                <w:bCs/>
                <w:sz w:val="22"/>
                <w:szCs w:val="22"/>
              </w:rPr>
              <w:t>.39</w:t>
            </w:r>
          </w:p>
        </w:tc>
      </w:tr>
    </w:tbl>
    <w:p w:rsidR="00F95C91" w:rsidRPr="00DA4E61" w:rsidRDefault="00F95C91" w:rsidP="00DE17FA">
      <w:pPr>
        <w:pStyle w:val="142"/>
        <w:rPr>
          <w:rFonts w:hint="eastAsia"/>
          <w:snapToGrid/>
        </w:rPr>
      </w:pPr>
      <w:r w:rsidRPr="00DA4E61">
        <w:rPr>
          <w:snapToGrid/>
        </w:rPr>
        <w:t>資料來源：</w:t>
      </w:r>
      <w:r>
        <w:rPr>
          <w:rFonts w:hint="eastAsia"/>
          <w:snapToGrid/>
          <w:lang w:eastAsia="zh-HK"/>
        </w:rPr>
        <w:t>國土署</w:t>
      </w:r>
      <w:r w:rsidRPr="00DA4E61">
        <w:rPr>
          <w:rFonts w:hAnsi="標楷體" w:hint="eastAsia"/>
          <w:snapToGrid/>
        </w:rPr>
        <w:t>；</w:t>
      </w:r>
      <w:r w:rsidRPr="00DA4E61">
        <w:rPr>
          <w:rFonts w:hint="eastAsia"/>
          <w:snapToGrid/>
        </w:rPr>
        <w:t>本中心整理。</w:t>
      </w:r>
    </w:p>
    <w:p w:rsidR="00F95C91" w:rsidRPr="00DA4E61" w:rsidRDefault="00F95C91" w:rsidP="00DE17FA">
      <w:pPr>
        <w:pStyle w:val="a7"/>
        <w:ind w:left="849" w:hanging="283"/>
        <w:rPr>
          <w:rFonts w:hAnsi="標楷體"/>
          <w:b/>
          <w:bCs/>
        </w:rPr>
      </w:pPr>
      <w:r w:rsidRPr="00DA4E61">
        <w:rPr>
          <w:rFonts w:hAnsi="標楷體"/>
          <w:b/>
          <w:bCs/>
        </w:rPr>
        <w:t>(</w:t>
      </w:r>
      <w:r w:rsidRPr="00DA4E61">
        <w:rPr>
          <w:rFonts w:hAnsi="標楷體" w:hint="eastAsia"/>
          <w:b/>
          <w:bCs/>
        </w:rPr>
        <w:t>二)實際</w:t>
      </w:r>
      <w:r>
        <w:rPr>
          <w:rFonts w:hAnsi="標楷體" w:hint="eastAsia"/>
          <w:b/>
          <w:bCs/>
        </w:rPr>
        <w:t>補助</w:t>
      </w:r>
      <w:r w:rsidRPr="00DA4E61">
        <w:rPr>
          <w:rFonts w:hAnsi="標楷體" w:hint="eastAsia"/>
          <w:b/>
          <w:bCs/>
        </w:rPr>
        <w:t>情形與市場需求</w:t>
      </w:r>
      <w:r w:rsidRPr="00DA4E61">
        <w:rPr>
          <w:rFonts w:hAnsi="標楷體" w:cs="新細明體" w:hint="eastAsia"/>
          <w:b/>
          <w:bCs/>
        </w:rPr>
        <w:t>存</w:t>
      </w:r>
      <w:r w:rsidRPr="00DA4E61">
        <w:rPr>
          <w:rFonts w:hAnsi="標楷體" w:hint="eastAsia"/>
          <w:b/>
          <w:bCs/>
        </w:rPr>
        <w:t>有</w:t>
      </w:r>
      <w:r>
        <w:rPr>
          <w:rFonts w:hAnsi="標楷體" w:hint="eastAsia"/>
          <w:b/>
          <w:bCs/>
        </w:rPr>
        <w:t>落</w:t>
      </w:r>
      <w:r w:rsidRPr="00DA4E61">
        <w:rPr>
          <w:rFonts w:hAnsi="標楷體" w:hint="eastAsia"/>
          <w:b/>
          <w:bCs/>
        </w:rPr>
        <w:t>差，允宜研謀改善</w:t>
      </w:r>
    </w:p>
    <w:p w:rsidR="00F95C91" w:rsidRPr="00DA4E61" w:rsidRDefault="00F95C91" w:rsidP="00DE17FA">
      <w:pPr>
        <w:pStyle w:val="22"/>
        <w:ind w:left="850" w:firstLine="566"/>
        <w:rPr>
          <w:rFonts w:hint="eastAsia"/>
        </w:rPr>
      </w:pPr>
      <w:r>
        <w:rPr>
          <w:rFonts w:hint="eastAsia"/>
        </w:rPr>
        <w:t>中央都更基金</w:t>
      </w:r>
      <w:r w:rsidRPr="00DA4E61">
        <w:rPr>
          <w:rFonts w:hint="eastAsia"/>
        </w:rPr>
        <w:t>提供111至113年度各地方政府辦理危老重建計畫費用補助執行情形</w:t>
      </w:r>
      <w:r>
        <w:rPr>
          <w:rFonts w:hint="eastAsia"/>
        </w:rPr>
        <w:t>，</w:t>
      </w:r>
      <w:r w:rsidRPr="00DA4E61">
        <w:rPr>
          <w:rFonts w:hint="eastAsia"/>
        </w:rPr>
        <w:t>與市場需求間存有</w:t>
      </w:r>
      <w:r>
        <w:rPr>
          <w:rFonts w:hint="eastAsia"/>
        </w:rPr>
        <w:t>落</w:t>
      </w:r>
      <w:r w:rsidRPr="00DA4E61">
        <w:rPr>
          <w:rFonts w:hint="eastAsia"/>
        </w:rPr>
        <w:t>差，謹說明如次:</w:t>
      </w:r>
    </w:p>
    <w:p w:rsidR="00F95C91" w:rsidRPr="00DA4E61" w:rsidRDefault="00F95C91" w:rsidP="00DE17FA">
      <w:pPr>
        <w:pStyle w:val="1231"/>
        <w:ind w:left="1133" w:hanging="283"/>
        <w:rPr>
          <w:rFonts w:hint="eastAsia"/>
          <w:snapToGrid/>
        </w:rPr>
      </w:pPr>
      <w:r>
        <w:rPr>
          <w:rFonts w:hAnsi="標楷體" w:hint="eastAsia"/>
          <w:b/>
          <w:bCs/>
        </w:rPr>
        <w:t>1.</w:t>
      </w:r>
      <w:r w:rsidRPr="00DA4E61">
        <w:rPr>
          <w:rFonts w:hAnsi="標楷體" w:hint="eastAsia"/>
          <w:b/>
          <w:bCs/>
        </w:rPr>
        <w:t>近年來全國屋齡老化情勢加速，另以</w:t>
      </w:r>
      <w:r w:rsidRPr="00DA4E61">
        <w:rPr>
          <w:rFonts w:hAnsi="標楷體"/>
          <w:b/>
          <w:bCs/>
        </w:rPr>
        <w:t>新北</w:t>
      </w:r>
      <w:r w:rsidRPr="00DA4E61">
        <w:rPr>
          <w:rFonts w:hAnsi="標楷體" w:hint="eastAsia"/>
          <w:b/>
          <w:bCs/>
        </w:rPr>
        <w:t>市、臺北市及高</w:t>
      </w:r>
      <w:r w:rsidRPr="00DA4E61">
        <w:rPr>
          <w:rStyle w:val="1232"/>
          <w:rFonts w:hint="eastAsia"/>
          <w:b/>
          <w:bCs/>
        </w:rPr>
        <w:t>雄市老宅數量最多：</w:t>
      </w:r>
      <w:r w:rsidRPr="00DA4E61">
        <w:rPr>
          <w:rStyle w:val="1232"/>
          <w:rFonts w:hint="eastAsia"/>
        </w:rPr>
        <w:t>據內政部社會經濟資料整合平台統計，我國屋齡超過30年以上房屋(下稱老宅)數量占全國住宅數量之比重，由109年度49.21%逐年成長至113年度55.19%</w:t>
      </w:r>
      <w:r>
        <w:rPr>
          <w:rStyle w:val="1232"/>
          <w:rFonts w:hint="eastAsia"/>
        </w:rPr>
        <w:t>(</w:t>
      </w:r>
      <w:r w:rsidRPr="00DA4E61">
        <w:rPr>
          <w:rStyle w:val="1232"/>
          <w:rFonts w:hint="eastAsia"/>
        </w:rPr>
        <w:t>共計增加5.98個百分點</w:t>
      </w:r>
      <w:r>
        <w:rPr>
          <w:rStyle w:val="1232"/>
          <w:rFonts w:hint="eastAsia"/>
        </w:rPr>
        <w:t>)</w:t>
      </w:r>
      <w:r w:rsidRPr="00DA4E61">
        <w:rPr>
          <w:rStyle w:val="1232"/>
          <w:rFonts w:hint="eastAsia"/>
        </w:rPr>
        <w:t>，其中113</w:t>
      </w:r>
      <w:r w:rsidRPr="00DA4E61">
        <w:rPr>
          <w:rStyle w:val="1232"/>
        </w:rPr>
        <w:t>年</w:t>
      </w:r>
      <w:r w:rsidRPr="00DA4E61">
        <w:rPr>
          <w:rStyle w:val="1232"/>
          <w:rFonts w:hint="eastAsia"/>
        </w:rPr>
        <w:t>度較111年度增加4.2個百分點(詳表2)，顯示近3年來我國屋齡老化情勢加速</w:t>
      </w:r>
      <w:r>
        <w:rPr>
          <w:rStyle w:val="1232"/>
          <w:rFonts w:hint="eastAsia"/>
        </w:rPr>
        <w:t>。</w:t>
      </w:r>
      <w:r w:rsidRPr="00DA4E61">
        <w:rPr>
          <w:rStyle w:val="1232"/>
          <w:rFonts w:hint="eastAsia"/>
        </w:rPr>
        <w:t>另以市縣別觀察，111至113年度各市縣老宅數量占全國老宅數量比重，最高三名依序</w:t>
      </w:r>
      <w:r w:rsidRPr="00DA4E61">
        <w:rPr>
          <w:rStyle w:val="1232"/>
        </w:rPr>
        <w:t>為新北</w:t>
      </w:r>
      <w:r w:rsidRPr="00DA4E61">
        <w:rPr>
          <w:rStyle w:val="1232"/>
          <w:rFonts w:hint="eastAsia"/>
        </w:rPr>
        <w:t>市、臺北市及高雄市，其113年度占比分別為16.94%、12.81%及12.50%(詳表3)。</w:t>
      </w:r>
    </w:p>
    <w:p w:rsidR="00F95C91" w:rsidRDefault="00F95C91" w:rsidP="00DE17FA">
      <w:pPr>
        <w:pStyle w:val="1231"/>
        <w:ind w:left="1133" w:hanging="283"/>
        <w:rPr>
          <w:rFonts w:hAnsi="標楷體"/>
        </w:rPr>
      </w:pPr>
      <w:r w:rsidRPr="00DA4E61">
        <w:rPr>
          <w:rFonts w:hAnsi="標楷體" w:hint="eastAsia"/>
          <w:b/>
          <w:bCs/>
        </w:rPr>
        <w:t>2.近年來實際補助</w:t>
      </w:r>
      <w:r>
        <w:rPr>
          <w:rFonts w:hAnsi="標楷體" w:hint="eastAsia"/>
          <w:b/>
          <w:bCs/>
        </w:rPr>
        <w:t>金額</w:t>
      </w:r>
      <w:r w:rsidRPr="00DA4E61">
        <w:rPr>
          <w:rFonts w:hAnsi="標楷體" w:hint="eastAsia"/>
          <w:b/>
          <w:bCs/>
        </w:rPr>
        <w:t>最高前二名為臺中市及臺南市</w:t>
      </w:r>
      <w:r w:rsidRPr="00DA4E61">
        <w:rPr>
          <w:rFonts w:ascii="新細明體" w:eastAsia="新細明體" w:hAnsi="新細明體" w:hint="eastAsia"/>
          <w:b/>
          <w:bCs/>
        </w:rPr>
        <w:t>：</w:t>
      </w:r>
      <w:r w:rsidRPr="00DA4E61">
        <w:rPr>
          <w:rFonts w:hAnsi="標楷體" w:hint="eastAsia"/>
        </w:rPr>
        <w:t>據</w:t>
      </w:r>
      <w:r>
        <w:rPr>
          <w:rFonts w:hAnsi="標楷體" w:hint="eastAsia"/>
        </w:rPr>
        <w:t>國土署</w:t>
      </w:r>
      <w:r w:rsidRPr="00DA4E61">
        <w:rPr>
          <w:rFonts w:hAnsi="標楷體" w:hint="eastAsia"/>
        </w:rPr>
        <w:t>說明，</w:t>
      </w:r>
      <w:r w:rsidRPr="00DA4E61">
        <w:rPr>
          <w:rFonts w:hAnsi="標楷體"/>
        </w:rPr>
        <w:t>111至113年度</w:t>
      </w:r>
      <w:r w:rsidRPr="00DA4E61">
        <w:rPr>
          <w:rFonts w:hAnsi="標楷體" w:hint="eastAsia"/>
        </w:rPr>
        <w:t>對</w:t>
      </w:r>
      <w:r w:rsidRPr="00DA4E61">
        <w:rPr>
          <w:rFonts w:hAnsi="標楷體"/>
        </w:rPr>
        <w:t>地方政府</w:t>
      </w:r>
      <w:r w:rsidRPr="00DA4E61">
        <w:rPr>
          <w:rFonts w:hAnsi="標楷體" w:hint="eastAsia"/>
        </w:rPr>
        <w:t>提供</w:t>
      </w:r>
      <w:r w:rsidRPr="00DA4E61">
        <w:rPr>
          <w:rFonts w:hAnsi="標楷體"/>
        </w:rPr>
        <w:t>危老重建計畫費用</w:t>
      </w:r>
      <w:r w:rsidRPr="00DA4E61">
        <w:rPr>
          <w:rFonts w:hAnsi="標楷體" w:hint="eastAsia"/>
        </w:rPr>
        <w:t>補助金額分別</w:t>
      </w:r>
      <w:r w:rsidRPr="00DA4E61">
        <w:rPr>
          <w:rFonts w:hAnsi="標楷體"/>
        </w:rPr>
        <w:t>為1,258萬8千元</w:t>
      </w:r>
      <w:r w:rsidRPr="00DA4E61">
        <w:rPr>
          <w:rFonts w:hAnsi="標楷體" w:hint="eastAsia"/>
        </w:rPr>
        <w:t>(補助15件)</w:t>
      </w:r>
      <w:r w:rsidRPr="00DA4E61">
        <w:rPr>
          <w:rFonts w:hAnsi="標楷體"/>
        </w:rPr>
        <w:t>、1,064萬8千元</w:t>
      </w:r>
      <w:r w:rsidRPr="00DA4E61">
        <w:rPr>
          <w:rFonts w:hAnsi="標楷體" w:hint="eastAsia"/>
        </w:rPr>
        <w:t>(14件)</w:t>
      </w:r>
      <w:r w:rsidRPr="00DA4E61">
        <w:rPr>
          <w:rFonts w:hAnsi="標楷體"/>
        </w:rPr>
        <w:t>及1,187萬8千元</w:t>
      </w:r>
      <w:r w:rsidRPr="00DA4E61">
        <w:rPr>
          <w:rFonts w:hAnsi="標楷體" w:hint="eastAsia"/>
        </w:rPr>
        <w:t>(14件)</w:t>
      </w:r>
      <w:r w:rsidRPr="00DA4E61">
        <w:rPr>
          <w:rFonts w:hAnsi="標楷體"/>
        </w:rPr>
        <w:t>，</w:t>
      </w:r>
      <w:r w:rsidRPr="00DA4E61">
        <w:rPr>
          <w:rFonts w:hAnsi="標楷體" w:hint="eastAsia"/>
        </w:rPr>
        <w:t>該期間整體補助金額及案件數</w:t>
      </w:r>
      <w:r w:rsidRPr="00DA4E61">
        <w:rPr>
          <w:rFonts w:hAnsi="標楷體"/>
        </w:rPr>
        <w:t>無顯</w:t>
      </w:r>
      <w:r w:rsidRPr="00DA4E61">
        <w:rPr>
          <w:rFonts w:hAnsi="標楷體" w:hint="eastAsia"/>
        </w:rPr>
        <w:t>著</w:t>
      </w:r>
      <w:r w:rsidRPr="00DA4E61">
        <w:rPr>
          <w:rFonts w:hAnsi="標楷體"/>
        </w:rPr>
        <w:t>成長</w:t>
      </w:r>
      <w:r w:rsidRPr="00DA4E61">
        <w:rPr>
          <w:rFonts w:hAnsi="標楷體" w:hint="eastAsia"/>
        </w:rPr>
        <w:t>，另</w:t>
      </w:r>
      <w:r w:rsidRPr="00DA4E61">
        <w:rPr>
          <w:rFonts w:hAnsi="標楷體"/>
        </w:rPr>
        <w:t>以市縣別</w:t>
      </w:r>
      <w:r w:rsidRPr="00DA4E61">
        <w:rPr>
          <w:rFonts w:hAnsi="標楷體" w:hint="eastAsia"/>
        </w:rPr>
        <w:t>觀察</w:t>
      </w:r>
      <w:r w:rsidRPr="00DA4E61">
        <w:rPr>
          <w:rFonts w:hAnsi="標楷體"/>
        </w:rPr>
        <w:t>，</w:t>
      </w:r>
      <w:r>
        <w:rPr>
          <w:rFonts w:hAnsi="標楷體" w:hint="eastAsia"/>
        </w:rPr>
        <w:t>中央都更基金</w:t>
      </w:r>
      <w:r w:rsidRPr="00DA4E61">
        <w:rPr>
          <w:rFonts w:hAnsi="標楷體" w:hint="eastAsia"/>
        </w:rPr>
        <w:t>對各地方</w:t>
      </w:r>
      <w:r w:rsidRPr="00DA4E61">
        <w:rPr>
          <w:rFonts w:hAnsi="標楷體"/>
        </w:rPr>
        <w:t>政府</w:t>
      </w:r>
      <w:r w:rsidRPr="00DA4E61">
        <w:rPr>
          <w:rFonts w:hAnsi="標楷體" w:hint="eastAsia"/>
        </w:rPr>
        <w:t>提供補助金額</w:t>
      </w:r>
      <w:r w:rsidRPr="00DA4E61">
        <w:rPr>
          <w:rFonts w:hAnsi="標楷體"/>
        </w:rPr>
        <w:t>占全年度</w:t>
      </w:r>
      <w:r w:rsidRPr="00DA4E61">
        <w:rPr>
          <w:rFonts w:hAnsi="標楷體" w:hint="eastAsia"/>
        </w:rPr>
        <w:t>補助金額之</w:t>
      </w:r>
      <w:r w:rsidRPr="00DA4E61">
        <w:rPr>
          <w:rFonts w:hAnsi="標楷體"/>
        </w:rPr>
        <w:t>比重</w:t>
      </w:r>
      <w:r w:rsidRPr="00DA4E61">
        <w:rPr>
          <w:rFonts w:hAnsi="標楷體" w:hint="eastAsia"/>
        </w:rPr>
        <w:t>，111至112年度</w:t>
      </w:r>
      <w:r w:rsidRPr="00DA4E61">
        <w:rPr>
          <w:rFonts w:hAnsi="標楷體"/>
        </w:rPr>
        <w:t>最高三名</w:t>
      </w:r>
      <w:r w:rsidRPr="00DA4E61">
        <w:rPr>
          <w:rFonts w:hAnsi="標楷體" w:hint="eastAsia"/>
        </w:rPr>
        <w:t>依序</w:t>
      </w:r>
      <w:r w:rsidRPr="00DA4E61">
        <w:rPr>
          <w:rFonts w:hAnsi="標楷體"/>
        </w:rPr>
        <w:t>為臺中</w:t>
      </w:r>
      <w:r w:rsidRPr="00DA4E61">
        <w:rPr>
          <w:rFonts w:hAnsi="標楷體" w:hint="eastAsia"/>
        </w:rPr>
        <w:t>市</w:t>
      </w:r>
      <w:r w:rsidRPr="00DA4E61">
        <w:rPr>
          <w:rFonts w:hAnsi="標楷體"/>
        </w:rPr>
        <w:t>、臺南</w:t>
      </w:r>
      <w:r w:rsidRPr="00DA4E61">
        <w:rPr>
          <w:rFonts w:hAnsi="標楷體" w:hint="eastAsia"/>
        </w:rPr>
        <w:t>市</w:t>
      </w:r>
      <w:r w:rsidRPr="00DA4E61">
        <w:rPr>
          <w:rFonts w:hAnsi="標楷體"/>
        </w:rPr>
        <w:t>及新北市，113年度</w:t>
      </w:r>
      <w:r w:rsidRPr="00DA4E61">
        <w:rPr>
          <w:rFonts w:hAnsi="標楷體" w:hint="eastAsia"/>
        </w:rPr>
        <w:t>依序</w:t>
      </w:r>
      <w:r w:rsidRPr="00DA4E61">
        <w:rPr>
          <w:rFonts w:hAnsi="標楷體"/>
        </w:rPr>
        <w:t>為臺中</w:t>
      </w:r>
      <w:r w:rsidRPr="00DA4E61">
        <w:rPr>
          <w:rFonts w:hAnsi="標楷體" w:hint="eastAsia"/>
        </w:rPr>
        <w:t>市(34.85%)</w:t>
      </w:r>
      <w:r w:rsidRPr="00DA4E61">
        <w:rPr>
          <w:rFonts w:hAnsi="標楷體"/>
        </w:rPr>
        <w:t>、臺南</w:t>
      </w:r>
      <w:r>
        <w:rPr>
          <w:rFonts w:hAnsi="標楷體" w:hint="eastAsia"/>
        </w:rPr>
        <w:t>市</w:t>
      </w:r>
      <w:r w:rsidRPr="00DA4E61">
        <w:rPr>
          <w:rFonts w:hAnsi="標楷體" w:hint="eastAsia"/>
        </w:rPr>
        <w:t>(17.05</w:t>
      </w:r>
      <w:r w:rsidRPr="00DA4E61">
        <w:rPr>
          <w:rFonts w:hAnsi="標楷體"/>
        </w:rPr>
        <w:t>%)及高雄市</w:t>
      </w:r>
      <w:r w:rsidRPr="00DA4E61">
        <w:rPr>
          <w:rFonts w:hAnsi="標楷體" w:hint="eastAsia"/>
        </w:rPr>
        <w:t>(</w:t>
      </w:r>
      <w:r w:rsidRPr="00DA4E61">
        <w:rPr>
          <w:rFonts w:hAnsi="標楷體"/>
        </w:rPr>
        <w:t>15.15%)(</w:t>
      </w:r>
      <w:r w:rsidRPr="00DA4E61">
        <w:rPr>
          <w:rFonts w:hAnsi="標楷體" w:hint="eastAsia"/>
        </w:rPr>
        <w:t>詳表4)</w:t>
      </w:r>
      <w:r w:rsidRPr="00DA4E61">
        <w:rPr>
          <w:rFonts w:hAnsi="標楷體"/>
        </w:rPr>
        <w:t>，故</w:t>
      </w:r>
      <w:r w:rsidRPr="00DA4E61">
        <w:rPr>
          <w:rFonts w:hAnsi="標楷體" w:hint="eastAsia"/>
        </w:rPr>
        <w:t>實際補助情形</w:t>
      </w:r>
      <w:r w:rsidRPr="00DA4E61">
        <w:rPr>
          <w:rFonts w:hAnsi="標楷體"/>
        </w:rPr>
        <w:t>與市場需求</w:t>
      </w:r>
      <w:r w:rsidRPr="00DA4E61">
        <w:rPr>
          <w:rFonts w:hAnsi="標楷體" w:hint="eastAsia"/>
        </w:rPr>
        <w:t>間存有</w:t>
      </w:r>
      <w:r>
        <w:rPr>
          <w:rFonts w:hAnsi="標楷體" w:hint="eastAsia"/>
        </w:rPr>
        <w:t>落</w:t>
      </w:r>
      <w:r w:rsidRPr="00DA4E61">
        <w:rPr>
          <w:rFonts w:hAnsi="標楷體"/>
        </w:rPr>
        <w:t>差。</w:t>
      </w:r>
    </w:p>
    <w:p w:rsidR="007D6432" w:rsidRDefault="007D6432" w:rsidP="00DE17FA">
      <w:pPr>
        <w:pStyle w:val="1231"/>
        <w:ind w:left="1133" w:hanging="283"/>
        <w:rPr>
          <w:rFonts w:hAnsi="標楷體"/>
        </w:rPr>
      </w:pPr>
    </w:p>
    <w:p w:rsidR="007D6432" w:rsidRPr="00302AF7" w:rsidRDefault="007D6432" w:rsidP="00DE17FA">
      <w:pPr>
        <w:pStyle w:val="1231"/>
        <w:ind w:left="1133" w:hanging="283"/>
        <w:rPr>
          <w:rFonts w:hAnsi="標楷體" w:hint="eastAsia"/>
        </w:rPr>
      </w:pPr>
    </w:p>
    <w:p w:rsidR="00F95C91" w:rsidRPr="00DA4E61" w:rsidRDefault="00F95C91" w:rsidP="00DE17FA">
      <w:pPr>
        <w:suppressAutoHyphens/>
        <w:autoSpaceDN w:val="0"/>
        <w:ind w:leftChars="0" w:left="0" w:firstLineChars="0" w:firstLine="0"/>
        <w:textAlignment w:val="baseline"/>
        <w:rPr>
          <w:b/>
          <w:snapToGrid/>
        </w:rPr>
      </w:pPr>
      <w:r w:rsidRPr="00DA4E61">
        <w:rPr>
          <w:rFonts w:hAnsi="標楷體" w:cs="細明體" w:hint="eastAsia"/>
          <w:b/>
          <w:snapToGrid/>
          <w:kern w:val="3"/>
          <w:szCs w:val="24"/>
        </w:rPr>
        <w:t>表2 109至113年度全國</w:t>
      </w:r>
      <w:r w:rsidRPr="00DA4E61">
        <w:rPr>
          <w:rFonts w:hint="eastAsia"/>
          <w:b/>
          <w:snapToGrid/>
        </w:rPr>
        <w:t>房屋稅籍住宅屋齡超過30年以上數量統計表</w:t>
      </w:r>
    </w:p>
    <w:p w:rsidR="00F95C91" w:rsidRPr="00DA4E61" w:rsidRDefault="00F95C91" w:rsidP="00DE17FA">
      <w:pPr>
        <w:pStyle w:val="142"/>
        <w:jc w:val="right"/>
        <w:rPr>
          <w:rFonts w:hAnsi="標楷體" w:cs="細明體" w:hint="eastAsia"/>
          <w:b/>
          <w:snapToGrid/>
          <w:kern w:val="3"/>
          <w:szCs w:val="24"/>
        </w:rPr>
      </w:pPr>
      <w:r w:rsidRPr="00DA4E61">
        <w:rPr>
          <w:rFonts w:hint="eastAsia"/>
          <w:snapToGrid/>
        </w:rPr>
        <w:t xml:space="preserve">                                                    單位:間</w:t>
      </w:r>
      <w:r w:rsidRPr="00DA4E61">
        <w:rPr>
          <w:rFonts w:hAnsi="標楷體" w:hint="eastAsia"/>
          <w:snapToGrid/>
        </w:rPr>
        <w:t>；</w:t>
      </w:r>
      <w:r w:rsidRPr="00DA4E61">
        <w:rPr>
          <w:rFonts w:hint="eastAsia"/>
          <w:snapToGrid/>
        </w:rPr>
        <w:t>%</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38"/>
        <w:gridCol w:w="1332"/>
        <w:gridCol w:w="1332"/>
        <w:gridCol w:w="1333"/>
        <w:gridCol w:w="1332"/>
        <w:gridCol w:w="1333"/>
      </w:tblGrid>
      <w:tr w:rsidR="00F95C91" w:rsidRPr="00DA4E61" w:rsidTr="00DE17FA">
        <w:trPr>
          <w:trHeight w:val="324"/>
          <w:tblHeader/>
        </w:trPr>
        <w:tc>
          <w:tcPr>
            <w:tcW w:w="1838" w:type="dxa"/>
            <w:shd w:val="clear" w:color="auto" w:fill="auto"/>
            <w:noWrap/>
            <w:vAlign w:val="center"/>
            <w:hideMark/>
          </w:tcPr>
          <w:p w:rsidR="00F95C91" w:rsidRPr="00DA4E61" w:rsidRDefault="00F95C91" w:rsidP="00DE17FA">
            <w:pPr>
              <w:pStyle w:val="142"/>
              <w:jc w:val="center"/>
              <w:rPr>
                <w:snapToGrid/>
              </w:rPr>
            </w:pPr>
            <w:r w:rsidRPr="00DA4E61">
              <w:rPr>
                <w:rFonts w:hint="eastAsia"/>
                <w:snapToGrid/>
              </w:rPr>
              <w:t>類別</w:t>
            </w:r>
          </w:p>
        </w:tc>
        <w:tc>
          <w:tcPr>
            <w:tcW w:w="1332"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109年度</w:t>
            </w:r>
          </w:p>
        </w:tc>
        <w:tc>
          <w:tcPr>
            <w:tcW w:w="1332"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110年度</w:t>
            </w:r>
          </w:p>
        </w:tc>
        <w:tc>
          <w:tcPr>
            <w:tcW w:w="1333"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111年度</w:t>
            </w:r>
          </w:p>
        </w:tc>
        <w:tc>
          <w:tcPr>
            <w:tcW w:w="1332"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112年度</w:t>
            </w:r>
          </w:p>
        </w:tc>
        <w:tc>
          <w:tcPr>
            <w:tcW w:w="1333"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113年度</w:t>
            </w:r>
          </w:p>
        </w:tc>
      </w:tr>
      <w:tr w:rsidR="00F95C91" w:rsidRPr="00DA4E61" w:rsidTr="00DE17FA">
        <w:trPr>
          <w:trHeight w:val="324"/>
        </w:trPr>
        <w:tc>
          <w:tcPr>
            <w:tcW w:w="1838" w:type="dxa"/>
            <w:shd w:val="clear" w:color="auto" w:fill="auto"/>
            <w:noWrap/>
            <w:vAlign w:val="center"/>
            <w:hideMark/>
          </w:tcPr>
          <w:p w:rsidR="00F95C91" w:rsidRPr="00DA4E61" w:rsidRDefault="00F95C91" w:rsidP="00DE17FA">
            <w:pPr>
              <w:pStyle w:val="142"/>
              <w:jc w:val="both"/>
              <w:rPr>
                <w:rFonts w:hint="eastAsia"/>
                <w:snapToGrid/>
              </w:rPr>
            </w:pPr>
            <w:r w:rsidRPr="00DA4E61">
              <w:rPr>
                <w:rFonts w:hint="eastAsia"/>
                <w:snapToGrid/>
              </w:rPr>
              <w:t>屋齡</w:t>
            </w:r>
            <w:r>
              <w:rPr>
                <w:rFonts w:hint="eastAsia"/>
                <w:snapToGrid/>
              </w:rPr>
              <w:t>超過</w:t>
            </w:r>
            <w:r w:rsidRPr="00DA4E61">
              <w:rPr>
                <w:rFonts w:hint="eastAsia"/>
                <w:snapToGrid/>
              </w:rPr>
              <w:t xml:space="preserve">30年以上住宅數量 </w:t>
            </w:r>
            <w:r w:rsidRPr="00DA4E61">
              <w:rPr>
                <w:snapToGrid/>
              </w:rPr>
              <w:t>A</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4,362,298</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4,489,649</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4,625,173</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4,833,381</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5,153,575</w:t>
            </w:r>
          </w:p>
        </w:tc>
      </w:tr>
      <w:tr w:rsidR="00F95C91" w:rsidRPr="00DA4E61" w:rsidTr="00DE17FA">
        <w:trPr>
          <w:trHeight w:val="324"/>
        </w:trPr>
        <w:tc>
          <w:tcPr>
            <w:tcW w:w="1838" w:type="dxa"/>
            <w:shd w:val="clear" w:color="auto" w:fill="auto"/>
            <w:noWrap/>
            <w:vAlign w:val="center"/>
            <w:hideMark/>
          </w:tcPr>
          <w:p w:rsidR="00F95C91" w:rsidRPr="00DA4E61" w:rsidRDefault="00F95C91" w:rsidP="00DE17FA">
            <w:pPr>
              <w:pStyle w:val="142"/>
              <w:jc w:val="both"/>
              <w:rPr>
                <w:rFonts w:hint="eastAsia"/>
                <w:snapToGrid/>
              </w:rPr>
            </w:pPr>
            <w:r w:rsidRPr="00DA4E61">
              <w:rPr>
                <w:rFonts w:hint="eastAsia"/>
                <w:snapToGrid/>
              </w:rPr>
              <w:t xml:space="preserve">全國住宅數量 </w:t>
            </w:r>
            <w:r w:rsidRPr="00DA4E61">
              <w:rPr>
                <w:snapToGrid/>
              </w:rPr>
              <w:t>B</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8,865,220</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8,965,080</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9,069,989</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9,190,160</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9,337,920</w:t>
            </w:r>
          </w:p>
        </w:tc>
      </w:tr>
      <w:tr w:rsidR="00F95C91" w:rsidRPr="00DA4E61" w:rsidTr="00DE17FA">
        <w:trPr>
          <w:trHeight w:val="324"/>
        </w:trPr>
        <w:tc>
          <w:tcPr>
            <w:tcW w:w="1838" w:type="dxa"/>
            <w:shd w:val="clear" w:color="auto" w:fill="auto"/>
            <w:noWrap/>
            <w:vAlign w:val="center"/>
            <w:hideMark/>
          </w:tcPr>
          <w:p w:rsidR="00F95C91" w:rsidRPr="00DA4E61" w:rsidRDefault="00F95C91" w:rsidP="00DE17FA">
            <w:pPr>
              <w:pStyle w:val="142"/>
              <w:jc w:val="both"/>
              <w:rPr>
                <w:rFonts w:hint="eastAsia"/>
                <w:snapToGrid/>
              </w:rPr>
            </w:pPr>
            <w:r w:rsidRPr="00DA4E61">
              <w:rPr>
                <w:rFonts w:hint="eastAsia"/>
                <w:snapToGrid/>
              </w:rPr>
              <w:t>比重A</w:t>
            </w:r>
            <w:r w:rsidRPr="00DA4E61">
              <w:rPr>
                <w:snapToGrid/>
              </w:rPr>
              <w:t>/B</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49.21</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50.08</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50.99</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52.59</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55.19</w:t>
            </w:r>
          </w:p>
        </w:tc>
      </w:tr>
    </w:tbl>
    <w:p w:rsidR="00F95C91" w:rsidRPr="00DA4E61" w:rsidRDefault="00F95C91" w:rsidP="00DE17FA">
      <w:pPr>
        <w:pStyle w:val="142"/>
        <w:ind w:leftChars="-5" w:left="1063" w:hangingChars="443" w:hanging="1077"/>
        <w:jc w:val="both"/>
        <w:rPr>
          <w:rFonts w:hAnsi="標楷體" w:hint="eastAsia"/>
          <w:snapToGrid/>
        </w:rPr>
      </w:pPr>
      <w:r w:rsidRPr="00DA4E61">
        <w:rPr>
          <w:rFonts w:hAnsi="標楷體" w:hint="eastAsia"/>
          <w:snapToGrid/>
        </w:rPr>
        <w:t>說　　明：本報所列各年度統計資料為各年度第4季統計資料。</w:t>
      </w:r>
    </w:p>
    <w:p w:rsidR="00F95C91" w:rsidRPr="00DA4E61" w:rsidRDefault="00F95C91" w:rsidP="00DE17FA">
      <w:pPr>
        <w:pStyle w:val="142"/>
        <w:ind w:leftChars="-5" w:left="1178" w:hangingChars="490" w:hanging="1192"/>
        <w:jc w:val="both"/>
        <w:rPr>
          <w:rFonts w:hAnsi="標楷體"/>
          <w:snapToGrid/>
        </w:rPr>
      </w:pPr>
      <w:r w:rsidRPr="00DA4E61">
        <w:rPr>
          <w:rFonts w:hAnsi="標楷體" w:hint="eastAsia"/>
          <w:snapToGrid/>
        </w:rPr>
        <w:t>資料來源：內政部社會經濟資料整合平台(行政區房屋稅籍住宅類數量依屋齡區分統計)；本中心整理。</w:t>
      </w:r>
    </w:p>
    <w:p w:rsidR="00F95C91" w:rsidRDefault="00F95C91" w:rsidP="00DE17FA">
      <w:pPr>
        <w:suppressAutoHyphens/>
        <w:autoSpaceDN w:val="0"/>
        <w:ind w:leftChars="0" w:left="624" w:hangingChars="220" w:hanging="624"/>
        <w:textAlignment w:val="baseline"/>
        <w:rPr>
          <w:b/>
          <w:snapToGrid/>
        </w:rPr>
      </w:pPr>
      <w:r w:rsidRPr="00DA4E61">
        <w:rPr>
          <w:rFonts w:hAnsi="標楷體" w:cs="細明體" w:hint="eastAsia"/>
          <w:b/>
          <w:snapToGrid/>
          <w:kern w:val="3"/>
          <w:szCs w:val="24"/>
        </w:rPr>
        <w:t>表3 109至113年度</w:t>
      </w:r>
      <w:r>
        <w:rPr>
          <w:rFonts w:hAnsi="標楷體" w:cs="細明體" w:hint="eastAsia"/>
          <w:b/>
          <w:snapToGrid/>
          <w:kern w:val="3"/>
          <w:szCs w:val="24"/>
        </w:rPr>
        <w:t>各市縣</w:t>
      </w:r>
      <w:r w:rsidRPr="00DA4E61">
        <w:rPr>
          <w:rFonts w:hint="eastAsia"/>
          <w:b/>
          <w:snapToGrid/>
        </w:rPr>
        <w:t>房屋稅籍住宅屋齡超過30年以上</w:t>
      </w:r>
      <w:r>
        <w:rPr>
          <w:rFonts w:hint="eastAsia"/>
          <w:b/>
          <w:snapToGrid/>
        </w:rPr>
        <w:t>之數量</w:t>
      </w:r>
      <w:r w:rsidRPr="00DA4E61">
        <w:rPr>
          <w:rFonts w:hint="eastAsia"/>
          <w:b/>
          <w:snapToGrid/>
        </w:rPr>
        <w:t>占全國同類</w:t>
      </w:r>
      <w:r>
        <w:rPr>
          <w:rFonts w:hint="eastAsia"/>
          <w:b/>
          <w:snapToGrid/>
        </w:rPr>
        <w:t>住宅數量</w:t>
      </w:r>
      <w:r w:rsidRPr="00DA4E61">
        <w:rPr>
          <w:rFonts w:hint="eastAsia"/>
          <w:b/>
          <w:snapToGrid/>
        </w:rPr>
        <w:t xml:space="preserve">比重一覽表 </w:t>
      </w:r>
      <w:r>
        <w:rPr>
          <w:rFonts w:hint="eastAsia"/>
          <w:b/>
          <w:snapToGrid/>
        </w:rPr>
        <w:t xml:space="preserve">                         </w:t>
      </w:r>
      <w:r w:rsidRPr="00DA4E61">
        <w:rPr>
          <w:rFonts w:hint="eastAsia"/>
          <w:snapToGrid/>
          <w:sz w:val="24"/>
          <w:szCs w:val="24"/>
        </w:rPr>
        <w:t>單位:%</w:t>
      </w:r>
    </w:p>
    <w:tbl>
      <w:tblPr>
        <w:tblW w:w="848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40"/>
        <w:gridCol w:w="1408"/>
        <w:gridCol w:w="1408"/>
        <w:gridCol w:w="1408"/>
        <w:gridCol w:w="1408"/>
        <w:gridCol w:w="1408"/>
      </w:tblGrid>
      <w:tr w:rsidR="00F95C91" w:rsidRPr="00DA4E61" w:rsidTr="00AD011D">
        <w:trPr>
          <w:trHeight w:val="450"/>
        </w:trPr>
        <w:tc>
          <w:tcPr>
            <w:tcW w:w="1440" w:type="dxa"/>
            <w:shd w:val="clear" w:color="auto" w:fill="auto"/>
            <w:noWrap/>
            <w:vAlign w:val="center"/>
            <w:hideMark/>
          </w:tcPr>
          <w:p w:rsidR="00F95C91" w:rsidRPr="00DA4E61" w:rsidRDefault="00F95C91" w:rsidP="00DE17FA">
            <w:pPr>
              <w:pStyle w:val="142"/>
              <w:jc w:val="center"/>
              <w:rPr>
                <w:rFonts w:hint="eastAsia"/>
                <w:snapToGrid/>
              </w:rPr>
            </w:pPr>
            <w:r>
              <w:rPr>
                <w:rFonts w:hint="eastAsia"/>
                <w:snapToGrid/>
              </w:rPr>
              <w:t>市</w:t>
            </w:r>
            <w:r w:rsidRPr="00DA4E61">
              <w:rPr>
                <w:rFonts w:hint="eastAsia"/>
                <w:snapToGrid/>
              </w:rPr>
              <w:t>縣名稱</w:t>
            </w:r>
          </w:p>
        </w:tc>
        <w:tc>
          <w:tcPr>
            <w:tcW w:w="1408"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109年度</w:t>
            </w:r>
          </w:p>
        </w:tc>
        <w:tc>
          <w:tcPr>
            <w:tcW w:w="1408"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110年度</w:t>
            </w:r>
          </w:p>
        </w:tc>
        <w:tc>
          <w:tcPr>
            <w:tcW w:w="1408"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111年度</w:t>
            </w:r>
          </w:p>
        </w:tc>
        <w:tc>
          <w:tcPr>
            <w:tcW w:w="1408"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112年度</w:t>
            </w:r>
          </w:p>
        </w:tc>
        <w:tc>
          <w:tcPr>
            <w:tcW w:w="1408"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113年度</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b/>
                <w:bCs/>
                <w:snapToGrid/>
              </w:rPr>
            </w:pPr>
            <w:r w:rsidRPr="00DA4E61">
              <w:rPr>
                <w:rFonts w:hint="eastAsia"/>
                <w:b/>
                <w:bCs/>
                <w:snapToGrid/>
              </w:rPr>
              <w:t>臺北市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14.54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14.30</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14.02</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13.53</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12.81</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b/>
                <w:bCs/>
                <w:snapToGrid/>
              </w:rPr>
            </w:pPr>
            <w:r w:rsidRPr="00DA4E61">
              <w:rPr>
                <w:rFonts w:hint="eastAsia"/>
                <w:b/>
                <w:bCs/>
                <w:snapToGrid/>
              </w:rPr>
              <w:t>新北市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17.33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17.31</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17.25</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17.17</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16.94</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桃園市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6.69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6.72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6.79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6.97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7.27</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臺中市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9.34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9.52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10.15</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10.66</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臺南市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7.99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8.07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8.06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8.21</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8.35</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b/>
                <w:bCs/>
                <w:snapToGrid/>
              </w:rPr>
            </w:pPr>
            <w:r w:rsidRPr="00DA4E61">
              <w:rPr>
                <w:rFonts w:hint="eastAsia"/>
                <w:b/>
                <w:bCs/>
                <w:snapToGrid/>
              </w:rPr>
              <w:t>高雄市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12.53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12.56</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12.54</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12.52</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12.50</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基隆市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1.75</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新竹縣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1.67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1.69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1.71</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1.80</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新竹市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1.44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1.46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1.50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1.50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1.53</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苗栗縣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2.50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2.50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2.47</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彰化縣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5.30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5.33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5.36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5.35</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5.31</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南投縣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2.12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2.12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2.12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2.11</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2.10</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雲林縣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3.28</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3.25</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3.23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3.21</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3.20</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嘉義縣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2.54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2.51</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2.48</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2.46</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嘉義市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1.19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1.28</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1.34</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屏東縣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3.81</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宜蘭縣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2.27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2.26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2.23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2.22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2.23</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花蓮縣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1.75</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1.71</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臺東縣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1.19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1.16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1.13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1.11</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澎湖縣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0.49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0.48</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0.47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0.46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0.44</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連江縣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0.04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0.04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0.04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0.04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0.03</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金門縣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0.19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0.19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0.19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0.18</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0.18</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snapToGrid/>
              </w:rPr>
            </w:pPr>
            <w:r w:rsidRPr="00DA4E61">
              <w:rPr>
                <w:rFonts w:hint="eastAsia"/>
                <w:snapToGrid/>
              </w:rPr>
              <w:t xml:space="preserve">　合計</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100.00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100.00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100.00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100.00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100.00</w:t>
            </w:r>
          </w:p>
        </w:tc>
      </w:tr>
    </w:tbl>
    <w:p w:rsidR="00F95C91" w:rsidRPr="00DA4E61" w:rsidRDefault="00F95C91" w:rsidP="00DE17FA">
      <w:pPr>
        <w:pStyle w:val="142"/>
        <w:ind w:left="1204" w:hangingChars="495" w:hanging="1204"/>
        <w:jc w:val="both"/>
        <w:rPr>
          <w:snapToGrid/>
        </w:rPr>
      </w:pPr>
      <w:r w:rsidRPr="00DA4E61">
        <w:rPr>
          <w:rFonts w:hint="eastAsia"/>
          <w:snapToGrid/>
        </w:rPr>
        <w:t>說    明：本表所列比重=各</w:t>
      </w:r>
      <w:r>
        <w:rPr>
          <w:rFonts w:hint="eastAsia"/>
          <w:snapToGrid/>
        </w:rPr>
        <w:t>市縣房屋稅籍住宅</w:t>
      </w:r>
      <w:r w:rsidRPr="00DA4E61">
        <w:rPr>
          <w:rFonts w:hint="eastAsia"/>
          <w:snapToGrid/>
        </w:rPr>
        <w:t>屋齡超過30年以上之數量/全國</w:t>
      </w:r>
      <w:r>
        <w:rPr>
          <w:rFonts w:hint="eastAsia"/>
          <w:snapToGrid/>
        </w:rPr>
        <w:t>同類住宅</w:t>
      </w:r>
      <w:r w:rsidRPr="00DA4E61">
        <w:rPr>
          <w:rFonts w:hint="eastAsia"/>
          <w:snapToGrid/>
        </w:rPr>
        <w:t>數量</w:t>
      </w:r>
      <w:r w:rsidRPr="00DA4E61">
        <w:rPr>
          <w:rFonts w:hAnsi="標楷體" w:hint="eastAsia"/>
          <w:snapToGrid/>
        </w:rPr>
        <w:t>；</w:t>
      </w:r>
      <w:r w:rsidRPr="00DA4E61">
        <w:rPr>
          <w:rFonts w:hint="eastAsia"/>
          <w:snapToGrid/>
        </w:rPr>
        <w:t>本表採各年度第4季統計資料計算</w:t>
      </w:r>
      <w:r w:rsidRPr="00DA4E61">
        <w:rPr>
          <w:rFonts w:hAnsi="標楷體" w:hint="eastAsia"/>
          <w:snapToGrid/>
        </w:rPr>
        <w:t>；</w:t>
      </w:r>
      <w:r w:rsidRPr="00DA4E61">
        <w:rPr>
          <w:rFonts w:hint="eastAsia"/>
          <w:snapToGrid/>
        </w:rPr>
        <w:t>本表細數之和與合計數或略有出入係4捨5入</w:t>
      </w:r>
      <w:r>
        <w:rPr>
          <w:rFonts w:hint="eastAsia"/>
          <w:snapToGrid/>
        </w:rPr>
        <w:t>所致</w:t>
      </w:r>
      <w:r w:rsidRPr="00DA4E61">
        <w:rPr>
          <w:rFonts w:hint="eastAsia"/>
          <w:snapToGrid/>
        </w:rPr>
        <w:t>。</w:t>
      </w:r>
    </w:p>
    <w:p w:rsidR="00F95C91" w:rsidRDefault="00F95C91" w:rsidP="00DE17FA">
      <w:pPr>
        <w:pStyle w:val="142"/>
        <w:ind w:left="1204" w:hangingChars="495" w:hanging="1204"/>
        <w:jc w:val="both"/>
        <w:rPr>
          <w:rFonts w:hint="eastAsia"/>
          <w:snapToGrid/>
        </w:rPr>
      </w:pPr>
      <w:r w:rsidRPr="00DA4E61">
        <w:rPr>
          <w:rFonts w:hint="eastAsia"/>
          <w:snapToGrid/>
        </w:rPr>
        <w:lastRenderedPageBreak/>
        <w:t>資料來源：內政部社會經濟資料整合平台(行政區房屋稅籍住宅類數量依屋齡區分統計)；本中心整理。</w:t>
      </w:r>
    </w:p>
    <w:p w:rsidR="00F95C91" w:rsidRPr="00DA4E61" w:rsidRDefault="00F95C91" w:rsidP="00DE17FA">
      <w:pPr>
        <w:suppressAutoHyphens/>
        <w:autoSpaceDN w:val="0"/>
        <w:ind w:leftChars="-4" w:left="780" w:hangingChars="279" w:hanging="791"/>
        <w:textAlignment w:val="baseline"/>
        <w:rPr>
          <w:b/>
          <w:snapToGrid/>
          <w:sz w:val="24"/>
          <w:szCs w:val="24"/>
        </w:rPr>
      </w:pPr>
      <w:r w:rsidRPr="00DA4E61">
        <w:rPr>
          <w:rFonts w:hAnsi="標楷體" w:cs="細明體" w:hint="eastAsia"/>
          <w:b/>
          <w:snapToGrid/>
          <w:kern w:val="3"/>
          <w:szCs w:val="24"/>
        </w:rPr>
        <w:t>表4　111至113年度</w:t>
      </w:r>
      <w:r>
        <w:rPr>
          <w:rFonts w:hAnsi="標楷體" w:cs="細明體" w:hint="eastAsia"/>
          <w:b/>
          <w:snapToGrid/>
          <w:kern w:val="3"/>
          <w:szCs w:val="24"/>
        </w:rPr>
        <w:t>中央都更基金提供</w:t>
      </w:r>
      <w:r w:rsidRPr="00DA4E61">
        <w:rPr>
          <w:rFonts w:hAnsi="標楷體" w:cs="細明體" w:hint="eastAsia"/>
          <w:b/>
          <w:snapToGrid/>
          <w:kern w:val="3"/>
          <w:szCs w:val="24"/>
        </w:rPr>
        <w:t>地方政府</w:t>
      </w:r>
      <w:r>
        <w:rPr>
          <w:rFonts w:hAnsi="標楷體" w:cs="細明體" w:hint="eastAsia"/>
          <w:b/>
          <w:snapToGrid/>
          <w:kern w:val="3"/>
          <w:szCs w:val="24"/>
        </w:rPr>
        <w:t>補助</w:t>
      </w:r>
      <w:r w:rsidRPr="00DA4E61">
        <w:rPr>
          <w:rFonts w:hAnsi="標楷體" w:cs="細明體" w:hint="eastAsia"/>
          <w:b/>
          <w:snapToGrid/>
          <w:kern w:val="3"/>
          <w:szCs w:val="24"/>
        </w:rPr>
        <w:t>危老重建計畫費用</w:t>
      </w:r>
      <w:r w:rsidRPr="00DA4E61">
        <w:rPr>
          <w:rFonts w:hint="eastAsia"/>
          <w:b/>
          <w:snapToGrid/>
        </w:rPr>
        <w:t xml:space="preserve">明細表                        </w:t>
      </w:r>
      <w:r>
        <w:rPr>
          <w:rFonts w:hint="eastAsia"/>
          <w:b/>
          <w:snapToGrid/>
        </w:rPr>
        <w:t xml:space="preserve">    </w:t>
      </w:r>
      <w:r w:rsidRPr="00DA4E61">
        <w:rPr>
          <w:rFonts w:hint="eastAsia"/>
          <w:b/>
          <w:snapToGrid/>
        </w:rPr>
        <w:t xml:space="preserve">   </w:t>
      </w:r>
      <w:r w:rsidRPr="00DA4E61">
        <w:rPr>
          <w:snapToGrid/>
          <w:sz w:val="24"/>
          <w:szCs w:val="24"/>
        </w:rPr>
        <w:t>單位：新臺幣千元：%</w:t>
      </w:r>
    </w:p>
    <w:tbl>
      <w:tblPr>
        <w:tblW w:w="851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36"/>
        <w:gridCol w:w="852"/>
        <w:gridCol w:w="853"/>
        <w:gridCol w:w="853"/>
        <w:gridCol w:w="852"/>
        <w:gridCol w:w="853"/>
        <w:gridCol w:w="853"/>
        <w:gridCol w:w="852"/>
        <w:gridCol w:w="853"/>
        <w:gridCol w:w="853"/>
      </w:tblGrid>
      <w:tr w:rsidR="00F95C91" w:rsidRPr="00DA4E61" w:rsidTr="00DE17FA">
        <w:trPr>
          <w:trHeight w:val="284"/>
          <w:tblHeader/>
        </w:trPr>
        <w:tc>
          <w:tcPr>
            <w:tcW w:w="836" w:type="dxa"/>
            <w:vMerge w:val="restart"/>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snapToGrid/>
                <w:kern w:val="0"/>
                <w:sz w:val="24"/>
                <w:szCs w:val="24"/>
              </w:rPr>
            </w:pPr>
            <w:r w:rsidRPr="00DA4E61">
              <w:rPr>
                <w:rFonts w:hAnsi="標楷體" w:cs="新細明體" w:hint="eastAsia"/>
                <w:snapToGrid/>
                <w:kern w:val="0"/>
                <w:sz w:val="24"/>
                <w:szCs w:val="24"/>
              </w:rPr>
              <w:t>縣市別</w:t>
            </w:r>
          </w:p>
        </w:tc>
        <w:tc>
          <w:tcPr>
            <w:tcW w:w="2558" w:type="dxa"/>
            <w:gridSpan w:val="3"/>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111年度</w:t>
            </w:r>
          </w:p>
        </w:tc>
        <w:tc>
          <w:tcPr>
            <w:tcW w:w="2558" w:type="dxa"/>
            <w:gridSpan w:val="3"/>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112年度</w:t>
            </w:r>
          </w:p>
        </w:tc>
        <w:tc>
          <w:tcPr>
            <w:tcW w:w="2558" w:type="dxa"/>
            <w:gridSpan w:val="3"/>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113年度</w:t>
            </w:r>
          </w:p>
        </w:tc>
      </w:tr>
      <w:tr w:rsidR="00F95C91" w:rsidRPr="00DA4E61" w:rsidTr="00DE17FA">
        <w:trPr>
          <w:trHeight w:val="274"/>
          <w:tblHeader/>
        </w:trPr>
        <w:tc>
          <w:tcPr>
            <w:tcW w:w="836" w:type="dxa"/>
            <w:vMerge/>
            <w:vAlign w:val="center"/>
            <w:hideMark/>
          </w:tcPr>
          <w:p w:rsidR="00F95C91" w:rsidRPr="00DA4E61" w:rsidRDefault="00F95C91" w:rsidP="00524265">
            <w:pPr>
              <w:widowControl/>
              <w:spacing w:line="280" w:lineRule="exact"/>
              <w:ind w:leftChars="0" w:left="0" w:firstLineChars="0" w:firstLine="0"/>
              <w:jc w:val="left"/>
              <w:rPr>
                <w:rFonts w:hAnsi="標楷體" w:cs="新細明體"/>
                <w:snapToGrid/>
                <w:kern w:val="0"/>
                <w:sz w:val="24"/>
                <w:szCs w:val="24"/>
              </w:rPr>
            </w:pP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snapToGrid/>
                <w:kern w:val="0"/>
                <w:sz w:val="24"/>
                <w:szCs w:val="24"/>
              </w:rPr>
            </w:pPr>
            <w:r w:rsidRPr="00DA4E61">
              <w:rPr>
                <w:rFonts w:hAnsi="標楷體" w:cs="新細明體" w:hint="eastAsia"/>
                <w:snapToGrid/>
                <w:kern w:val="0"/>
                <w:sz w:val="24"/>
                <w:szCs w:val="24"/>
              </w:rPr>
              <w:t>件數</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金額</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比重</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件數</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金額</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比重</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件數</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金額</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比重</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hint="eastAsia"/>
                <w:snapToGrid/>
                <w:kern w:val="0"/>
                <w:sz w:val="24"/>
                <w:szCs w:val="24"/>
              </w:rPr>
            </w:pPr>
            <w:r w:rsidRPr="00DA4E61">
              <w:rPr>
                <w:rFonts w:hAnsi="標楷體" w:cs="新細明體" w:hint="eastAsia"/>
                <w:snapToGrid/>
                <w:kern w:val="0"/>
                <w:sz w:val="24"/>
                <w:szCs w:val="24"/>
              </w:rPr>
              <w:t>臺北市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550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4.37</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395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3.71</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778</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6.55</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b/>
                <w:bCs/>
                <w:snapToGrid/>
                <w:kern w:val="0"/>
                <w:sz w:val="24"/>
                <w:szCs w:val="24"/>
              </w:rPr>
            </w:pPr>
            <w:r w:rsidRPr="00DA4E61">
              <w:rPr>
                <w:rFonts w:hAnsi="標楷體" w:cs="新細明體" w:hint="eastAsia"/>
                <w:b/>
                <w:bCs/>
                <w:snapToGrid/>
                <w:kern w:val="0"/>
                <w:sz w:val="24"/>
                <w:szCs w:val="24"/>
              </w:rPr>
              <w:t>新北市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1,620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12.87</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1,380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12.96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1,320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11.11</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桃園市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540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4.29</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295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2.77</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420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3.54</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b/>
                <w:bCs/>
                <w:snapToGrid/>
                <w:kern w:val="0"/>
                <w:sz w:val="24"/>
                <w:szCs w:val="24"/>
              </w:rPr>
            </w:pPr>
            <w:r w:rsidRPr="00DA4E61">
              <w:rPr>
                <w:rFonts w:hAnsi="標楷體" w:cs="新細明體" w:hint="eastAsia"/>
                <w:b/>
                <w:bCs/>
                <w:snapToGrid/>
                <w:kern w:val="0"/>
                <w:sz w:val="24"/>
                <w:szCs w:val="24"/>
              </w:rPr>
              <w:t>臺中市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4,320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34.32</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3,840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36.06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4,140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34.85</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b/>
                <w:bCs/>
                <w:snapToGrid/>
                <w:kern w:val="0"/>
                <w:sz w:val="24"/>
                <w:szCs w:val="24"/>
              </w:rPr>
            </w:pPr>
            <w:r w:rsidRPr="00DA4E61">
              <w:rPr>
                <w:rFonts w:hAnsi="標楷體" w:cs="新細明體" w:hint="eastAsia"/>
                <w:b/>
                <w:bCs/>
                <w:snapToGrid/>
                <w:kern w:val="0"/>
                <w:sz w:val="24"/>
                <w:szCs w:val="24"/>
              </w:rPr>
              <w:t>臺南市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2,580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20.50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2,100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19.72</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2,025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17.05</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b/>
                <w:bCs/>
                <w:snapToGrid/>
                <w:kern w:val="0"/>
                <w:sz w:val="24"/>
                <w:szCs w:val="24"/>
              </w:rPr>
            </w:pPr>
            <w:r w:rsidRPr="00DA4E61">
              <w:rPr>
                <w:rFonts w:hAnsi="標楷體" w:cs="新細明體" w:hint="eastAsia"/>
                <w:b/>
                <w:bCs/>
                <w:snapToGrid/>
                <w:kern w:val="0"/>
                <w:sz w:val="24"/>
                <w:szCs w:val="24"/>
              </w:rPr>
              <w:t>高雄市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1,080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8.58</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1,320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12.40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1,800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15.15</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基隆市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新竹縣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新竹市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330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2.62</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359</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3.37</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5.56</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苗栗縣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0.95</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0.56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彰化縣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0.56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南投縣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雲林縣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240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1.91</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0.51</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嘉義縣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110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1.03</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55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0.46</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嘉義市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893</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7.09</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299</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2.81</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300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2.53</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屏東縣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0.48</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0.51</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宜蘭縣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0.48</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240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2.25</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花蓮縣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0.95</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180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1.52</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臺東縣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55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0.44</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澎湖縣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0.16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70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0.66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0.17</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連江縣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金門縣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1.13</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0.51</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合計</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12,588</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14</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10,648</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14</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11,878</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100.00</w:t>
            </w:r>
          </w:p>
        </w:tc>
      </w:tr>
    </w:tbl>
    <w:p w:rsidR="00F95C91" w:rsidRPr="00DA4E61" w:rsidRDefault="00F95C91" w:rsidP="00DE17FA">
      <w:pPr>
        <w:pStyle w:val="142"/>
        <w:ind w:left="1233" w:hangingChars="507" w:hanging="1233"/>
        <w:jc w:val="both"/>
        <w:rPr>
          <w:rFonts w:hint="eastAsia"/>
          <w:snapToGrid/>
        </w:rPr>
      </w:pPr>
      <w:r w:rsidRPr="00DA4E61">
        <w:rPr>
          <w:rFonts w:hint="eastAsia"/>
          <w:snapToGrid/>
        </w:rPr>
        <w:t>說　　明：本表</w:t>
      </w:r>
      <w:r>
        <w:rPr>
          <w:rFonts w:hint="eastAsia"/>
          <w:snapToGrid/>
        </w:rPr>
        <w:t>比重</w:t>
      </w:r>
      <w:r w:rsidRPr="00DA4E61">
        <w:rPr>
          <w:rFonts w:hint="eastAsia"/>
          <w:snapToGrid/>
        </w:rPr>
        <w:t>細數之和與合計數或略有出入，係4捨5入至新臺幣千元之故。</w:t>
      </w:r>
    </w:p>
    <w:p w:rsidR="00F95C91" w:rsidRPr="00DA4E61" w:rsidRDefault="00F95C91" w:rsidP="00DE17FA">
      <w:pPr>
        <w:pStyle w:val="142"/>
        <w:rPr>
          <w:rFonts w:hint="eastAsia"/>
          <w:snapToGrid/>
        </w:rPr>
      </w:pPr>
      <w:r w:rsidRPr="00DA4E61">
        <w:rPr>
          <w:snapToGrid/>
        </w:rPr>
        <w:t>資料來源：</w:t>
      </w:r>
      <w:r>
        <w:rPr>
          <w:rFonts w:hint="eastAsia"/>
          <w:snapToGrid/>
          <w:lang w:eastAsia="zh-HK"/>
        </w:rPr>
        <w:t>國土署</w:t>
      </w:r>
      <w:r w:rsidRPr="00DA4E61">
        <w:rPr>
          <w:rFonts w:hAnsi="標楷體" w:hint="eastAsia"/>
          <w:snapToGrid/>
        </w:rPr>
        <w:t>；</w:t>
      </w:r>
      <w:r w:rsidRPr="00DA4E61">
        <w:rPr>
          <w:rFonts w:hint="eastAsia"/>
          <w:snapToGrid/>
        </w:rPr>
        <w:t>本中心整理。</w:t>
      </w:r>
    </w:p>
    <w:p w:rsidR="00F95C91" w:rsidRPr="00DA4E61" w:rsidRDefault="00F95C91" w:rsidP="00AD011D">
      <w:pPr>
        <w:spacing w:line="460" w:lineRule="exact"/>
        <w:ind w:left="566" w:firstLine="566"/>
        <w:rPr>
          <w:snapToGrid/>
        </w:rPr>
      </w:pPr>
      <w:r w:rsidRPr="00DA4E61">
        <w:rPr>
          <w:snapToGrid/>
        </w:rPr>
        <w:t>綜上</w:t>
      </w:r>
      <w:r w:rsidRPr="00DA4E61">
        <w:rPr>
          <w:rFonts w:hint="eastAsia"/>
          <w:snapToGrid/>
        </w:rPr>
        <w:t>，據內政部統計資料，我國屋齡超過30年以上住宅占全國住宅比重</w:t>
      </w:r>
      <w:r>
        <w:rPr>
          <w:rFonts w:hint="eastAsia"/>
          <w:snapToGrid/>
        </w:rPr>
        <w:t>，</w:t>
      </w:r>
      <w:r w:rsidRPr="00DA4E61">
        <w:rPr>
          <w:rFonts w:hint="eastAsia"/>
          <w:snapToGrid/>
        </w:rPr>
        <w:t>於111至113年間增加4</w:t>
      </w:r>
      <w:r>
        <w:rPr>
          <w:rFonts w:hint="eastAsia"/>
          <w:snapToGrid/>
        </w:rPr>
        <w:t>.2</w:t>
      </w:r>
      <w:r w:rsidRPr="00DA4E61">
        <w:rPr>
          <w:rFonts w:hint="eastAsia"/>
          <w:snapToGrid/>
        </w:rPr>
        <w:t>個百分點，</w:t>
      </w:r>
      <w:r w:rsidRPr="00DA4E61">
        <w:rPr>
          <w:rStyle w:val="1232"/>
          <w:rFonts w:hint="eastAsia"/>
        </w:rPr>
        <w:t>屋齡老化有加速之勢，</w:t>
      </w:r>
      <w:r>
        <w:rPr>
          <w:rStyle w:val="1232"/>
          <w:rFonts w:hint="eastAsia"/>
        </w:rPr>
        <w:t>且同期間</w:t>
      </w:r>
      <w:r w:rsidRPr="00DA4E61">
        <w:rPr>
          <w:rStyle w:val="1232"/>
          <w:rFonts w:hint="eastAsia"/>
        </w:rPr>
        <w:t>全國老宅</w:t>
      </w:r>
      <w:r w:rsidRPr="00DA4E61">
        <w:rPr>
          <w:rFonts w:hint="eastAsia"/>
          <w:snapToGrid/>
        </w:rPr>
        <w:t>數量最多前三名依序為新北市、臺北市及高雄市，惟</w:t>
      </w:r>
      <w:r>
        <w:rPr>
          <w:snapToGrid/>
        </w:rPr>
        <w:t>中央都更基金</w:t>
      </w:r>
      <w:r w:rsidRPr="00DA4E61">
        <w:rPr>
          <w:rFonts w:hint="eastAsia"/>
          <w:snapToGrid/>
        </w:rPr>
        <w:t>補助危老建物重建計畫費用之</w:t>
      </w:r>
      <w:r>
        <w:rPr>
          <w:rFonts w:hint="eastAsia"/>
          <w:snapToGrid/>
        </w:rPr>
        <w:t>預算</w:t>
      </w:r>
      <w:r w:rsidRPr="00DA4E61">
        <w:rPr>
          <w:rFonts w:hint="eastAsia"/>
          <w:snapToGrid/>
        </w:rPr>
        <w:t>執行</w:t>
      </w:r>
      <w:r>
        <w:rPr>
          <w:rFonts w:hint="eastAsia"/>
          <w:snapToGrid/>
        </w:rPr>
        <w:t>率偏低</w:t>
      </w:r>
      <w:r w:rsidRPr="00DA4E61">
        <w:rPr>
          <w:rFonts w:hint="eastAsia"/>
          <w:snapToGrid/>
        </w:rPr>
        <w:t>，整體補助金額及案件數量未明顯增加，</w:t>
      </w:r>
      <w:r>
        <w:rPr>
          <w:rFonts w:hint="eastAsia"/>
          <w:snapToGrid/>
        </w:rPr>
        <w:t>且</w:t>
      </w:r>
      <w:r w:rsidRPr="00DA4E61">
        <w:rPr>
          <w:rFonts w:hint="eastAsia"/>
          <w:snapToGrid/>
        </w:rPr>
        <w:t>補助金額最高</w:t>
      </w:r>
      <w:r>
        <w:rPr>
          <w:rFonts w:hint="eastAsia"/>
          <w:snapToGrid/>
        </w:rPr>
        <w:t>前</w:t>
      </w:r>
      <w:r w:rsidRPr="00DA4E61">
        <w:rPr>
          <w:rFonts w:hint="eastAsia"/>
          <w:snapToGrid/>
        </w:rPr>
        <w:t>二名為臺中市及臺南市，實際執行結果與市場需求間</w:t>
      </w:r>
      <w:r>
        <w:rPr>
          <w:rFonts w:hint="eastAsia"/>
          <w:snapToGrid/>
        </w:rPr>
        <w:t>亦</w:t>
      </w:r>
      <w:r w:rsidRPr="00DA4E61">
        <w:rPr>
          <w:rFonts w:hint="eastAsia"/>
          <w:snapToGrid/>
        </w:rPr>
        <w:t>存有</w:t>
      </w:r>
      <w:r>
        <w:rPr>
          <w:rFonts w:hint="eastAsia"/>
          <w:snapToGrid/>
        </w:rPr>
        <w:t>落</w:t>
      </w:r>
      <w:r w:rsidRPr="00DA4E61">
        <w:rPr>
          <w:rFonts w:hint="eastAsia"/>
          <w:snapToGrid/>
        </w:rPr>
        <w:t>差</w:t>
      </w:r>
      <w:r w:rsidRPr="00DA4E61">
        <w:rPr>
          <w:snapToGrid/>
        </w:rPr>
        <w:t>，允宜</w:t>
      </w:r>
      <w:r w:rsidRPr="00DA4E61">
        <w:rPr>
          <w:rFonts w:hint="eastAsia"/>
          <w:snapToGrid/>
        </w:rPr>
        <w:t>研謀改善，以加速危險及老舊建築物之重建</w:t>
      </w:r>
      <w:r w:rsidRPr="00DA4E61">
        <w:rPr>
          <w:snapToGrid/>
        </w:rPr>
        <w:t>，</w:t>
      </w:r>
      <w:r w:rsidRPr="00DA4E61">
        <w:rPr>
          <w:rFonts w:hint="eastAsia"/>
          <w:snapToGrid/>
        </w:rPr>
        <w:t>俾</w:t>
      </w:r>
      <w:r>
        <w:rPr>
          <w:rFonts w:hint="eastAsia"/>
          <w:snapToGrid/>
        </w:rPr>
        <w:t>提升</w:t>
      </w:r>
      <w:r w:rsidRPr="00DA4E61">
        <w:rPr>
          <w:rFonts w:hint="eastAsia"/>
          <w:snapToGrid/>
        </w:rPr>
        <w:t>國民居住環境與生活品質</w:t>
      </w:r>
      <w:r w:rsidRPr="00DA4E61">
        <w:rPr>
          <w:snapToGrid/>
        </w:rPr>
        <w:t>。</w:t>
      </w:r>
    </w:p>
    <w:p w:rsidR="009629E6" w:rsidRPr="00066061" w:rsidRDefault="00F95C91" w:rsidP="00A344A3">
      <w:pPr>
        <w:pStyle w:val="af0"/>
        <w:spacing w:line="460" w:lineRule="exact"/>
        <w:rPr>
          <w:rFonts w:hint="eastAsia"/>
        </w:rPr>
      </w:pPr>
      <w:r w:rsidRPr="00DA4E61">
        <w:rPr>
          <w:rFonts w:hint="eastAsia"/>
        </w:rPr>
        <w:lastRenderedPageBreak/>
        <w:t>(分機：8669 馬佳琪)</w:t>
      </w:r>
      <w:bookmarkStart w:id="26" w:name="_GoBack"/>
      <w:bookmarkEnd w:id="24"/>
      <w:bookmarkEnd w:id="9"/>
      <w:bookmarkEnd w:id="7"/>
      <w:bookmarkEnd w:id="8"/>
      <w:bookmarkEnd w:id="0"/>
      <w:bookmarkEnd w:id="1"/>
      <w:bookmarkEnd w:id="2"/>
      <w:bookmarkEnd w:id="3"/>
      <w:bookmarkEnd w:id="4"/>
      <w:bookmarkEnd w:id="5"/>
      <w:bookmarkEnd w:id="6"/>
      <w:bookmarkEnd w:id="26"/>
    </w:p>
    <w:sectPr w:rsidR="009629E6" w:rsidRPr="00066061"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6DB" w:rsidRDefault="003366DB" w:rsidP="002C78D6">
      <w:pPr>
        <w:spacing w:line="240" w:lineRule="auto"/>
        <w:ind w:left="560" w:firstLine="560"/>
      </w:pPr>
      <w:r>
        <w:separator/>
      </w:r>
    </w:p>
  </w:endnote>
  <w:endnote w:type="continuationSeparator" w:id="0">
    <w:p w:rsidR="003366DB" w:rsidRDefault="00336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6"/>
      <w:ind w:leftChars="0" w:left="0" w:firstLineChars="0" w:firstLine="0"/>
      <w:jc w:val="center"/>
    </w:pPr>
    <w:r>
      <w:fldChar w:fldCharType="begin"/>
    </w:r>
    <w:r>
      <w:instrText>PAGE   \* MERGEFORMAT</w:instrText>
    </w:r>
    <w:r>
      <w:fldChar w:fldCharType="separate"/>
    </w:r>
    <w:r w:rsidR="00A344A3" w:rsidRPr="00A344A3">
      <w:rPr>
        <w:noProof/>
        <w:lang w:val="zh-TW"/>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6DB" w:rsidRDefault="003366DB" w:rsidP="002C78D6">
      <w:pPr>
        <w:spacing w:line="240" w:lineRule="auto"/>
        <w:ind w:left="560" w:firstLine="560"/>
      </w:pPr>
      <w:r>
        <w:separator/>
      </w:r>
    </w:p>
  </w:footnote>
  <w:footnote w:type="continuationSeparator" w:id="0">
    <w:p w:rsidR="003366DB" w:rsidRDefault="003366DB" w:rsidP="002C78D6">
      <w:pPr>
        <w:spacing w:line="240" w:lineRule="auto"/>
        <w:ind w:left="560" w:firstLine="560"/>
      </w:pPr>
      <w:r>
        <w:continuationSeparator/>
      </w:r>
    </w:p>
  </w:footnote>
  <w:footnote w:id="1">
    <w:p w:rsidR="00F95C91" w:rsidRPr="00BE618E" w:rsidRDefault="00F95C91" w:rsidP="00DE17FA">
      <w:pPr>
        <w:pStyle w:val="142"/>
        <w:rPr>
          <w:rFonts w:hint="eastAsia"/>
        </w:rPr>
      </w:pPr>
      <w:r>
        <w:rPr>
          <w:rStyle w:val="afb"/>
        </w:rPr>
        <w:footnoteRef/>
      </w:r>
      <w:r>
        <w:t xml:space="preserve"> </w:t>
      </w:r>
      <w:r>
        <w:rPr>
          <w:rFonts w:hint="eastAsia"/>
        </w:rPr>
        <w:t>依</w:t>
      </w:r>
      <w:r>
        <w:rPr>
          <w:rFonts w:hAnsi="標楷體" w:hint="eastAsia"/>
        </w:rPr>
        <w:t>「</w:t>
      </w:r>
      <w:r>
        <w:rPr>
          <w:rFonts w:hint="eastAsia"/>
        </w:rPr>
        <w:t>內政部補助都市危險及老舊建築物重建計畫作業要點</w:t>
      </w:r>
      <w:r>
        <w:rPr>
          <w:rFonts w:hAnsi="標楷體" w:hint="eastAsia"/>
        </w:rPr>
        <w:t>」</w:t>
      </w:r>
      <w:r>
        <w:rPr>
          <w:rFonts w:hint="eastAsia"/>
        </w:rPr>
        <w:t>第2及第3點規定。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0DB75CEB"/>
    <w:multiLevelType w:val="hybridMultilevel"/>
    <w:tmpl w:val="A5B6CE16"/>
    <w:lvl w:ilvl="0" w:tplc="7BFE3932">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8"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1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ED3F3A"/>
    <w:multiLevelType w:val="hybridMultilevel"/>
    <w:tmpl w:val="F14ECA44"/>
    <w:lvl w:ilvl="0" w:tplc="0DE0C82C">
      <w:start w:val="1"/>
      <w:numFmt w:val="decimal"/>
      <w:lvlText w:val="%1."/>
      <w:lvlJc w:val="left"/>
      <w:pPr>
        <w:ind w:left="1200" w:hanging="360"/>
      </w:pPr>
      <w:rPr>
        <w:rFonts w:hAnsi="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8"/>
  </w:num>
  <w:num w:numId="2">
    <w:abstractNumId w:val="7"/>
  </w:num>
  <w:num w:numId="3">
    <w:abstractNumId w:val="5"/>
  </w:num>
  <w:num w:numId="4">
    <w:abstractNumId w:val="10"/>
  </w:num>
  <w:num w:numId="5">
    <w:abstractNumId w:val="3"/>
  </w:num>
  <w:num w:numId="6">
    <w:abstractNumId w:val="2"/>
  </w:num>
  <w:num w:numId="7">
    <w:abstractNumId w:val="6"/>
  </w:num>
  <w:num w:numId="8">
    <w:abstractNumId w:val="4"/>
  </w:num>
  <w:num w:numId="9">
    <w:abstractNumId w:val="13"/>
  </w:num>
  <w:num w:numId="10">
    <w:abstractNumId w:val="15"/>
  </w:num>
  <w:num w:numId="11">
    <w:abstractNumId w:val="14"/>
  </w:num>
  <w:num w:numId="12">
    <w:abstractNumId w:val="9"/>
  </w:num>
  <w:num w:numId="13">
    <w:abstractNumId w:val="17"/>
  </w:num>
  <w:num w:numId="14">
    <w:abstractNumId w:val="11"/>
  </w:num>
  <w:num w:numId="15">
    <w:abstractNumId w:val="12"/>
  </w:num>
  <w:num w:numId="16">
    <w:abstractNumId w:val="0"/>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01F7E"/>
    <w:rsid w:val="000052DD"/>
    <w:rsid w:val="000147E0"/>
    <w:rsid w:val="00015A17"/>
    <w:rsid w:val="00022512"/>
    <w:rsid w:val="000304AA"/>
    <w:rsid w:val="00031A9F"/>
    <w:rsid w:val="00033095"/>
    <w:rsid w:val="00033160"/>
    <w:rsid w:val="00034832"/>
    <w:rsid w:val="00034D58"/>
    <w:rsid w:val="00035F71"/>
    <w:rsid w:val="000364FE"/>
    <w:rsid w:val="0003780E"/>
    <w:rsid w:val="00040965"/>
    <w:rsid w:val="0004202E"/>
    <w:rsid w:val="00052398"/>
    <w:rsid w:val="000551DF"/>
    <w:rsid w:val="00056065"/>
    <w:rsid w:val="0005621B"/>
    <w:rsid w:val="00061042"/>
    <w:rsid w:val="00061692"/>
    <w:rsid w:val="00062F98"/>
    <w:rsid w:val="00064B21"/>
    <w:rsid w:val="00065809"/>
    <w:rsid w:val="00070946"/>
    <w:rsid w:val="00072DCB"/>
    <w:rsid w:val="00075C70"/>
    <w:rsid w:val="00076588"/>
    <w:rsid w:val="000800D5"/>
    <w:rsid w:val="00081BFF"/>
    <w:rsid w:val="00083176"/>
    <w:rsid w:val="00093271"/>
    <w:rsid w:val="000936EA"/>
    <w:rsid w:val="00093BE8"/>
    <w:rsid w:val="000A0ADA"/>
    <w:rsid w:val="000A1E20"/>
    <w:rsid w:val="000A5D73"/>
    <w:rsid w:val="000A6805"/>
    <w:rsid w:val="000A797E"/>
    <w:rsid w:val="000B44A2"/>
    <w:rsid w:val="000B70F5"/>
    <w:rsid w:val="000C0A26"/>
    <w:rsid w:val="000C7AD8"/>
    <w:rsid w:val="000D1F39"/>
    <w:rsid w:val="000D21EA"/>
    <w:rsid w:val="000D2CC8"/>
    <w:rsid w:val="000D3740"/>
    <w:rsid w:val="000D61A3"/>
    <w:rsid w:val="000D7116"/>
    <w:rsid w:val="000E197C"/>
    <w:rsid w:val="000E469B"/>
    <w:rsid w:val="000E53B7"/>
    <w:rsid w:val="000F2D80"/>
    <w:rsid w:val="000F4F6A"/>
    <w:rsid w:val="000F5C5C"/>
    <w:rsid w:val="000F7282"/>
    <w:rsid w:val="001013C5"/>
    <w:rsid w:val="00102888"/>
    <w:rsid w:val="001054B0"/>
    <w:rsid w:val="00111B71"/>
    <w:rsid w:val="001144A0"/>
    <w:rsid w:val="00115E96"/>
    <w:rsid w:val="00117972"/>
    <w:rsid w:val="0012159B"/>
    <w:rsid w:val="001218F9"/>
    <w:rsid w:val="00124655"/>
    <w:rsid w:val="00125A03"/>
    <w:rsid w:val="001308A9"/>
    <w:rsid w:val="0013098F"/>
    <w:rsid w:val="00131DCB"/>
    <w:rsid w:val="00133280"/>
    <w:rsid w:val="00136907"/>
    <w:rsid w:val="00140197"/>
    <w:rsid w:val="00141F24"/>
    <w:rsid w:val="00142047"/>
    <w:rsid w:val="00143479"/>
    <w:rsid w:val="001467CA"/>
    <w:rsid w:val="00146B3B"/>
    <w:rsid w:val="001507D2"/>
    <w:rsid w:val="00152633"/>
    <w:rsid w:val="00152948"/>
    <w:rsid w:val="00154C04"/>
    <w:rsid w:val="00157D85"/>
    <w:rsid w:val="00161615"/>
    <w:rsid w:val="00163646"/>
    <w:rsid w:val="00163E54"/>
    <w:rsid w:val="00164756"/>
    <w:rsid w:val="001675C8"/>
    <w:rsid w:val="001717FA"/>
    <w:rsid w:val="0017257F"/>
    <w:rsid w:val="0017692C"/>
    <w:rsid w:val="00184D82"/>
    <w:rsid w:val="00187AE2"/>
    <w:rsid w:val="00190EE6"/>
    <w:rsid w:val="001978E8"/>
    <w:rsid w:val="001A0665"/>
    <w:rsid w:val="001A12F6"/>
    <w:rsid w:val="001A4DF9"/>
    <w:rsid w:val="001A7212"/>
    <w:rsid w:val="001A796F"/>
    <w:rsid w:val="001B0767"/>
    <w:rsid w:val="001B13A4"/>
    <w:rsid w:val="001B25CC"/>
    <w:rsid w:val="001C11FA"/>
    <w:rsid w:val="001C2EFF"/>
    <w:rsid w:val="001C6ADB"/>
    <w:rsid w:val="001C6EEE"/>
    <w:rsid w:val="001D1E94"/>
    <w:rsid w:val="001D3865"/>
    <w:rsid w:val="001F0927"/>
    <w:rsid w:val="001F1727"/>
    <w:rsid w:val="001F2146"/>
    <w:rsid w:val="001F45B7"/>
    <w:rsid w:val="001F641F"/>
    <w:rsid w:val="001F6FF0"/>
    <w:rsid w:val="002007EE"/>
    <w:rsid w:val="00202318"/>
    <w:rsid w:val="002023C4"/>
    <w:rsid w:val="00203A5D"/>
    <w:rsid w:val="002050F7"/>
    <w:rsid w:val="00206294"/>
    <w:rsid w:val="00210017"/>
    <w:rsid w:val="00212469"/>
    <w:rsid w:val="00212D83"/>
    <w:rsid w:val="0021727A"/>
    <w:rsid w:val="00217C7C"/>
    <w:rsid w:val="00220F09"/>
    <w:rsid w:val="00222F57"/>
    <w:rsid w:val="002252E4"/>
    <w:rsid w:val="002257EE"/>
    <w:rsid w:val="00232962"/>
    <w:rsid w:val="0023588B"/>
    <w:rsid w:val="002368B1"/>
    <w:rsid w:val="00240AF7"/>
    <w:rsid w:val="00240E19"/>
    <w:rsid w:val="00246CB8"/>
    <w:rsid w:val="0024795F"/>
    <w:rsid w:val="00250E83"/>
    <w:rsid w:val="00251A58"/>
    <w:rsid w:val="00253144"/>
    <w:rsid w:val="002558E3"/>
    <w:rsid w:val="00263260"/>
    <w:rsid w:val="0026559C"/>
    <w:rsid w:val="002659E1"/>
    <w:rsid w:val="00267533"/>
    <w:rsid w:val="00276313"/>
    <w:rsid w:val="00282DCD"/>
    <w:rsid w:val="00283875"/>
    <w:rsid w:val="0028633A"/>
    <w:rsid w:val="002873E8"/>
    <w:rsid w:val="002877CB"/>
    <w:rsid w:val="002903A0"/>
    <w:rsid w:val="00292F5D"/>
    <w:rsid w:val="002942EA"/>
    <w:rsid w:val="00295639"/>
    <w:rsid w:val="002973E3"/>
    <w:rsid w:val="00297ED3"/>
    <w:rsid w:val="002A0B24"/>
    <w:rsid w:val="002A1168"/>
    <w:rsid w:val="002A159D"/>
    <w:rsid w:val="002A4C5C"/>
    <w:rsid w:val="002A59B6"/>
    <w:rsid w:val="002B02AB"/>
    <w:rsid w:val="002B4BAC"/>
    <w:rsid w:val="002C387F"/>
    <w:rsid w:val="002C6712"/>
    <w:rsid w:val="002C771E"/>
    <w:rsid w:val="002C78D6"/>
    <w:rsid w:val="002D23CD"/>
    <w:rsid w:val="002D2BCC"/>
    <w:rsid w:val="002E1D7B"/>
    <w:rsid w:val="002E3182"/>
    <w:rsid w:val="002E358A"/>
    <w:rsid w:val="002E541A"/>
    <w:rsid w:val="00301D86"/>
    <w:rsid w:val="00304E50"/>
    <w:rsid w:val="00306D31"/>
    <w:rsid w:val="00307FC1"/>
    <w:rsid w:val="0031072C"/>
    <w:rsid w:val="00310D15"/>
    <w:rsid w:val="003114F4"/>
    <w:rsid w:val="00313272"/>
    <w:rsid w:val="00313600"/>
    <w:rsid w:val="00322FDB"/>
    <w:rsid w:val="00324D7C"/>
    <w:rsid w:val="00333C1A"/>
    <w:rsid w:val="003366DB"/>
    <w:rsid w:val="003372E2"/>
    <w:rsid w:val="003377B5"/>
    <w:rsid w:val="003378BB"/>
    <w:rsid w:val="00342772"/>
    <w:rsid w:val="00350F1E"/>
    <w:rsid w:val="0035233A"/>
    <w:rsid w:val="00355030"/>
    <w:rsid w:val="00356C99"/>
    <w:rsid w:val="00362624"/>
    <w:rsid w:val="00362FC8"/>
    <w:rsid w:val="003674A7"/>
    <w:rsid w:val="003675E2"/>
    <w:rsid w:val="00373331"/>
    <w:rsid w:val="003734C6"/>
    <w:rsid w:val="00373F68"/>
    <w:rsid w:val="00375680"/>
    <w:rsid w:val="003761E4"/>
    <w:rsid w:val="00381D7A"/>
    <w:rsid w:val="0038296E"/>
    <w:rsid w:val="00396DC1"/>
    <w:rsid w:val="003A2EA0"/>
    <w:rsid w:val="003A33A1"/>
    <w:rsid w:val="003A5384"/>
    <w:rsid w:val="003A577F"/>
    <w:rsid w:val="003B0F48"/>
    <w:rsid w:val="003B0F82"/>
    <w:rsid w:val="003B1ECD"/>
    <w:rsid w:val="003B39EF"/>
    <w:rsid w:val="003B7AAA"/>
    <w:rsid w:val="003B7DA8"/>
    <w:rsid w:val="003C1D25"/>
    <w:rsid w:val="003C458B"/>
    <w:rsid w:val="003C56A6"/>
    <w:rsid w:val="003C62F0"/>
    <w:rsid w:val="003D0C86"/>
    <w:rsid w:val="003D257D"/>
    <w:rsid w:val="003D63B9"/>
    <w:rsid w:val="003E0579"/>
    <w:rsid w:val="003E0C3D"/>
    <w:rsid w:val="003E29EF"/>
    <w:rsid w:val="003E31CC"/>
    <w:rsid w:val="003E5779"/>
    <w:rsid w:val="003F11FF"/>
    <w:rsid w:val="003F16A4"/>
    <w:rsid w:val="003F3409"/>
    <w:rsid w:val="003F384B"/>
    <w:rsid w:val="003F6993"/>
    <w:rsid w:val="003F7268"/>
    <w:rsid w:val="00400B29"/>
    <w:rsid w:val="004116C9"/>
    <w:rsid w:val="00413102"/>
    <w:rsid w:val="004134BF"/>
    <w:rsid w:val="004151EC"/>
    <w:rsid w:val="004155C5"/>
    <w:rsid w:val="004212A8"/>
    <w:rsid w:val="00423156"/>
    <w:rsid w:val="004235F4"/>
    <w:rsid w:val="00426190"/>
    <w:rsid w:val="00427082"/>
    <w:rsid w:val="00427CBF"/>
    <w:rsid w:val="00430468"/>
    <w:rsid w:val="004308C6"/>
    <w:rsid w:val="00432D93"/>
    <w:rsid w:val="0043670B"/>
    <w:rsid w:val="00441E91"/>
    <w:rsid w:val="00443258"/>
    <w:rsid w:val="00444DDC"/>
    <w:rsid w:val="00444F65"/>
    <w:rsid w:val="00445B24"/>
    <w:rsid w:val="00450730"/>
    <w:rsid w:val="00455F9A"/>
    <w:rsid w:val="00461473"/>
    <w:rsid w:val="00466B2A"/>
    <w:rsid w:val="004703F9"/>
    <w:rsid w:val="00470652"/>
    <w:rsid w:val="00473C95"/>
    <w:rsid w:val="00483F22"/>
    <w:rsid w:val="00484B10"/>
    <w:rsid w:val="00485092"/>
    <w:rsid w:val="00486555"/>
    <w:rsid w:val="00493929"/>
    <w:rsid w:val="004A540A"/>
    <w:rsid w:val="004A5A00"/>
    <w:rsid w:val="004A7BBB"/>
    <w:rsid w:val="004B061B"/>
    <w:rsid w:val="004B2FCD"/>
    <w:rsid w:val="004B4781"/>
    <w:rsid w:val="004C1327"/>
    <w:rsid w:val="004C3EC0"/>
    <w:rsid w:val="004C75B0"/>
    <w:rsid w:val="004D2DAA"/>
    <w:rsid w:val="004D388A"/>
    <w:rsid w:val="004E0DA4"/>
    <w:rsid w:val="004E2BA3"/>
    <w:rsid w:val="004E34D6"/>
    <w:rsid w:val="004E6F27"/>
    <w:rsid w:val="004F056A"/>
    <w:rsid w:val="004F5554"/>
    <w:rsid w:val="004F5E5B"/>
    <w:rsid w:val="004F67FC"/>
    <w:rsid w:val="004F7482"/>
    <w:rsid w:val="00502415"/>
    <w:rsid w:val="005057B4"/>
    <w:rsid w:val="00505DF6"/>
    <w:rsid w:val="00505F5B"/>
    <w:rsid w:val="00511C7B"/>
    <w:rsid w:val="0051440A"/>
    <w:rsid w:val="005163BF"/>
    <w:rsid w:val="00521C3D"/>
    <w:rsid w:val="005225D0"/>
    <w:rsid w:val="0052285F"/>
    <w:rsid w:val="00522888"/>
    <w:rsid w:val="0052339C"/>
    <w:rsid w:val="00524265"/>
    <w:rsid w:val="00524C09"/>
    <w:rsid w:val="00531D00"/>
    <w:rsid w:val="00533C65"/>
    <w:rsid w:val="00551B71"/>
    <w:rsid w:val="0055316A"/>
    <w:rsid w:val="00553D1A"/>
    <w:rsid w:val="00555C46"/>
    <w:rsid w:val="0055658A"/>
    <w:rsid w:val="00560AC0"/>
    <w:rsid w:val="00561005"/>
    <w:rsid w:val="0056435F"/>
    <w:rsid w:val="00570781"/>
    <w:rsid w:val="00570FD8"/>
    <w:rsid w:val="005716DE"/>
    <w:rsid w:val="00573864"/>
    <w:rsid w:val="00576EB3"/>
    <w:rsid w:val="00580780"/>
    <w:rsid w:val="00583BBF"/>
    <w:rsid w:val="00583DF9"/>
    <w:rsid w:val="00584C0F"/>
    <w:rsid w:val="005861A2"/>
    <w:rsid w:val="0058709A"/>
    <w:rsid w:val="005871A2"/>
    <w:rsid w:val="00591074"/>
    <w:rsid w:val="00592AF0"/>
    <w:rsid w:val="00593A57"/>
    <w:rsid w:val="00594ADD"/>
    <w:rsid w:val="005A0ADF"/>
    <w:rsid w:val="005A1B42"/>
    <w:rsid w:val="005A2CFD"/>
    <w:rsid w:val="005A7185"/>
    <w:rsid w:val="005A74A1"/>
    <w:rsid w:val="005A7DD3"/>
    <w:rsid w:val="005B4C35"/>
    <w:rsid w:val="005C14E3"/>
    <w:rsid w:val="005D0FDD"/>
    <w:rsid w:val="005D362F"/>
    <w:rsid w:val="005D7D32"/>
    <w:rsid w:val="005E059A"/>
    <w:rsid w:val="005E3162"/>
    <w:rsid w:val="005E59C6"/>
    <w:rsid w:val="005E6848"/>
    <w:rsid w:val="005F327F"/>
    <w:rsid w:val="005F32A1"/>
    <w:rsid w:val="005F48B2"/>
    <w:rsid w:val="005F49CE"/>
    <w:rsid w:val="005F5345"/>
    <w:rsid w:val="005F5388"/>
    <w:rsid w:val="005F5EB5"/>
    <w:rsid w:val="005F66EC"/>
    <w:rsid w:val="00601260"/>
    <w:rsid w:val="00610072"/>
    <w:rsid w:val="0061040B"/>
    <w:rsid w:val="00614589"/>
    <w:rsid w:val="0061627C"/>
    <w:rsid w:val="00617CB6"/>
    <w:rsid w:val="0062006E"/>
    <w:rsid w:val="00620D9C"/>
    <w:rsid w:val="006229E7"/>
    <w:rsid w:val="00633369"/>
    <w:rsid w:val="00645265"/>
    <w:rsid w:val="00650961"/>
    <w:rsid w:val="00653ED6"/>
    <w:rsid w:val="006541C5"/>
    <w:rsid w:val="006553AC"/>
    <w:rsid w:val="0066367D"/>
    <w:rsid w:val="006672BA"/>
    <w:rsid w:val="00673750"/>
    <w:rsid w:val="00674068"/>
    <w:rsid w:val="006740DF"/>
    <w:rsid w:val="00684CAE"/>
    <w:rsid w:val="00686519"/>
    <w:rsid w:val="00695128"/>
    <w:rsid w:val="006A0FE2"/>
    <w:rsid w:val="006A5010"/>
    <w:rsid w:val="006A6669"/>
    <w:rsid w:val="006B0681"/>
    <w:rsid w:val="006B16A8"/>
    <w:rsid w:val="006D1E9C"/>
    <w:rsid w:val="006D5D18"/>
    <w:rsid w:val="006D7306"/>
    <w:rsid w:val="006E1715"/>
    <w:rsid w:val="006E4944"/>
    <w:rsid w:val="006F087B"/>
    <w:rsid w:val="006F2588"/>
    <w:rsid w:val="007015A1"/>
    <w:rsid w:val="00701D67"/>
    <w:rsid w:val="007049D0"/>
    <w:rsid w:val="00715CD8"/>
    <w:rsid w:val="00716732"/>
    <w:rsid w:val="007239E0"/>
    <w:rsid w:val="0072696C"/>
    <w:rsid w:val="007270BA"/>
    <w:rsid w:val="00730912"/>
    <w:rsid w:val="00737073"/>
    <w:rsid w:val="00744408"/>
    <w:rsid w:val="00750D70"/>
    <w:rsid w:val="00760ED1"/>
    <w:rsid w:val="00762BB0"/>
    <w:rsid w:val="00765862"/>
    <w:rsid w:val="00765CB1"/>
    <w:rsid w:val="00766004"/>
    <w:rsid w:val="00766E0A"/>
    <w:rsid w:val="00767D81"/>
    <w:rsid w:val="007723E3"/>
    <w:rsid w:val="00772D54"/>
    <w:rsid w:val="00775B83"/>
    <w:rsid w:val="00776CA4"/>
    <w:rsid w:val="00777700"/>
    <w:rsid w:val="007824BA"/>
    <w:rsid w:val="0078295D"/>
    <w:rsid w:val="00783625"/>
    <w:rsid w:val="00790660"/>
    <w:rsid w:val="00795C96"/>
    <w:rsid w:val="007B20ED"/>
    <w:rsid w:val="007B2665"/>
    <w:rsid w:val="007C3808"/>
    <w:rsid w:val="007C4B06"/>
    <w:rsid w:val="007D0031"/>
    <w:rsid w:val="007D1B87"/>
    <w:rsid w:val="007D3A9E"/>
    <w:rsid w:val="007D3AD8"/>
    <w:rsid w:val="007D4AB6"/>
    <w:rsid w:val="007D6432"/>
    <w:rsid w:val="007D6A1B"/>
    <w:rsid w:val="007E46A4"/>
    <w:rsid w:val="007F1D2B"/>
    <w:rsid w:val="007F67EA"/>
    <w:rsid w:val="007F694D"/>
    <w:rsid w:val="00800C53"/>
    <w:rsid w:val="0080438B"/>
    <w:rsid w:val="00806D90"/>
    <w:rsid w:val="00820059"/>
    <w:rsid w:val="008233ED"/>
    <w:rsid w:val="0083579B"/>
    <w:rsid w:val="00835D95"/>
    <w:rsid w:val="00837644"/>
    <w:rsid w:val="00841B10"/>
    <w:rsid w:val="008454E6"/>
    <w:rsid w:val="0085047B"/>
    <w:rsid w:val="00860542"/>
    <w:rsid w:val="008610B8"/>
    <w:rsid w:val="00861D2C"/>
    <w:rsid w:val="00866136"/>
    <w:rsid w:val="00866FC7"/>
    <w:rsid w:val="00870169"/>
    <w:rsid w:val="00871950"/>
    <w:rsid w:val="00874122"/>
    <w:rsid w:val="00875D54"/>
    <w:rsid w:val="00877967"/>
    <w:rsid w:val="00880B9C"/>
    <w:rsid w:val="00881E7C"/>
    <w:rsid w:val="008869E6"/>
    <w:rsid w:val="00890F7F"/>
    <w:rsid w:val="008914E1"/>
    <w:rsid w:val="008932BE"/>
    <w:rsid w:val="00897944"/>
    <w:rsid w:val="008A1980"/>
    <w:rsid w:val="008A348A"/>
    <w:rsid w:val="008A541D"/>
    <w:rsid w:val="008B2039"/>
    <w:rsid w:val="008B2B87"/>
    <w:rsid w:val="008B2EB5"/>
    <w:rsid w:val="008C06EB"/>
    <w:rsid w:val="008C1C0E"/>
    <w:rsid w:val="008C1C45"/>
    <w:rsid w:val="008C21F3"/>
    <w:rsid w:val="008C7A3E"/>
    <w:rsid w:val="008D0797"/>
    <w:rsid w:val="008D76E3"/>
    <w:rsid w:val="008D7980"/>
    <w:rsid w:val="008D799A"/>
    <w:rsid w:val="008D7C2C"/>
    <w:rsid w:val="008E382F"/>
    <w:rsid w:val="008E51D0"/>
    <w:rsid w:val="008E7EE3"/>
    <w:rsid w:val="008F6667"/>
    <w:rsid w:val="008F70EA"/>
    <w:rsid w:val="00902F74"/>
    <w:rsid w:val="00905075"/>
    <w:rsid w:val="009172C5"/>
    <w:rsid w:val="009210F8"/>
    <w:rsid w:val="00921350"/>
    <w:rsid w:val="00923EB5"/>
    <w:rsid w:val="0092466E"/>
    <w:rsid w:val="00932060"/>
    <w:rsid w:val="009324C3"/>
    <w:rsid w:val="00942981"/>
    <w:rsid w:val="009429A3"/>
    <w:rsid w:val="00942CCA"/>
    <w:rsid w:val="00944547"/>
    <w:rsid w:val="00945DA5"/>
    <w:rsid w:val="00957D8E"/>
    <w:rsid w:val="0096280A"/>
    <w:rsid w:val="009629E6"/>
    <w:rsid w:val="0096341F"/>
    <w:rsid w:val="00963423"/>
    <w:rsid w:val="00964093"/>
    <w:rsid w:val="0096693E"/>
    <w:rsid w:val="00971139"/>
    <w:rsid w:val="009753F5"/>
    <w:rsid w:val="009829D8"/>
    <w:rsid w:val="00984537"/>
    <w:rsid w:val="0098541B"/>
    <w:rsid w:val="009868F3"/>
    <w:rsid w:val="0099093C"/>
    <w:rsid w:val="0099506B"/>
    <w:rsid w:val="0099546C"/>
    <w:rsid w:val="009A1729"/>
    <w:rsid w:val="009A2CA9"/>
    <w:rsid w:val="009A603D"/>
    <w:rsid w:val="009B03BB"/>
    <w:rsid w:val="009B10D1"/>
    <w:rsid w:val="009B5DA2"/>
    <w:rsid w:val="009C385B"/>
    <w:rsid w:val="009C5CEA"/>
    <w:rsid w:val="009C6B05"/>
    <w:rsid w:val="009D3A05"/>
    <w:rsid w:val="009D3EB4"/>
    <w:rsid w:val="009E1D10"/>
    <w:rsid w:val="009E2263"/>
    <w:rsid w:val="009E5461"/>
    <w:rsid w:val="00A02627"/>
    <w:rsid w:val="00A02B0A"/>
    <w:rsid w:val="00A110CC"/>
    <w:rsid w:val="00A123A3"/>
    <w:rsid w:val="00A13382"/>
    <w:rsid w:val="00A133EB"/>
    <w:rsid w:val="00A2369B"/>
    <w:rsid w:val="00A25AEC"/>
    <w:rsid w:val="00A25BD2"/>
    <w:rsid w:val="00A26A4E"/>
    <w:rsid w:val="00A27A8D"/>
    <w:rsid w:val="00A27E97"/>
    <w:rsid w:val="00A344A3"/>
    <w:rsid w:val="00A3487F"/>
    <w:rsid w:val="00A3658C"/>
    <w:rsid w:val="00A37556"/>
    <w:rsid w:val="00A40721"/>
    <w:rsid w:val="00A40882"/>
    <w:rsid w:val="00A42591"/>
    <w:rsid w:val="00A54A41"/>
    <w:rsid w:val="00A5615A"/>
    <w:rsid w:val="00A56FDB"/>
    <w:rsid w:val="00A57752"/>
    <w:rsid w:val="00A70E07"/>
    <w:rsid w:val="00A71438"/>
    <w:rsid w:val="00A74AA2"/>
    <w:rsid w:val="00A75121"/>
    <w:rsid w:val="00A7767D"/>
    <w:rsid w:val="00A82343"/>
    <w:rsid w:val="00A8396E"/>
    <w:rsid w:val="00A86A11"/>
    <w:rsid w:val="00A91E5D"/>
    <w:rsid w:val="00A9750C"/>
    <w:rsid w:val="00AA3AF5"/>
    <w:rsid w:val="00AA583A"/>
    <w:rsid w:val="00AB3B5A"/>
    <w:rsid w:val="00AB46F2"/>
    <w:rsid w:val="00AC6B0C"/>
    <w:rsid w:val="00AC702F"/>
    <w:rsid w:val="00AD011D"/>
    <w:rsid w:val="00AD0C71"/>
    <w:rsid w:val="00AD132F"/>
    <w:rsid w:val="00AD30F8"/>
    <w:rsid w:val="00AD7076"/>
    <w:rsid w:val="00AE41D0"/>
    <w:rsid w:val="00AE53F5"/>
    <w:rsid w:val="00AE7C86"/>
    <w:rsid w:val="00AF1178"/>
    <w:rsid w:val="00AF77A6"/>
    <w:rsid w:val="00AF7917"/>
    <w:rsid w:val="00B02ED1"/>
    <w:rsid w:val="00B0309A"/>
    <w:rsid w:val="00B03528"/>
    <w:rsid w:val="00B06067"/>
    <w:rsid w:val="00B1251A"/>
    <w:rsid w:val="00B1313B"/>
    <w:rsid w:val="00B145D6"/>
    <w:rsid w:val="00B147DB"/>
    <w:rsid w:val="00B17E63"/>
    <w:rsid w:val="00B20B8B"/>
    <w:rsid w:val="00B27964"/>
    <w:rsid w:val="00B317EB"/>
    <w:rsid w:val="00B3211B"/>
    <w:rsid w:val="00B34E03"/>
    <w:rsid w:val="00B35CBF"/>
    <w:rsid w:val="00B534FE"/>
    <w:rsid w:val="00B53AA2"/>
    <w:rsid w:val="00B53D20"/>
    <w:rsid w:val="00B54E69"/>
    <w:rsid w:val="00B550EB"/>
    <w:rsid w:val="00B60369"/>
    <w:rsid w:val="00B60DEE"/>
    <w:rsid w:val="00B62FC1"/>
    <w:rsid w:val="00B70C83"/>
    <w:rsid w:val="00B71441"/>
    <w:rsid w:val="00B749B3"/>
    <w:rsid w:val="00B76FA1"/>
    <w:rsid w:val="00B77527"/>
    <w:rsid w:val="00B77708"/>
    <w:rsid w:val="00B8091F"/>
    <w:rsid w:val="00B80D40"/>
    <w:rsid w:val="00B82FB0"/>
    <w:rsid w:val="00B83852"/>
    <w:rsid w:val="00B83DE1"/>
    <w:rsid w:val="00B84EDF"/>
    <w:rsid w:val="00B85995"/>
    <w:rsid w:val="00B87A76"/>
    <w:rsid w:val="00B91B63"/>
    <w:rsid w:val="00B92FA6"/>
    <w:rsid w:val="00BA0576"/>
    <w:rsid w:val="00BA1881"/>
    <w:rsid w:val="00BA2164"/>
    <w:rsid w:val="00BA70C1"/>
    <w:rsid w:val="00BB0638"/>
    <w:rsid w:val="00BB0F0F"/>
    <w:rsid w:val="00BB28F8"/>
    <w:rsid w:val="00BB2AE8"/>
    <w:rsid w:val="00BB3F50"/>
    <w:rsid w:val="00BC2483"/>
    <w:rsid w:val="00BC34E9"/>
    <w:rsid w:val="00BC5AAA"/>
    <w:rsid w:val="00BC61A7"/>
    <w:rsid w:val="00BD0D5F"/>
    <w:rsid w:val="00BD5300"/>
    <w:rsid w:val="00BE2181"/>
    <w:rsid w:val="00BE3084"/>
    <w:rsid w:val="00BE3B5B"/>
    <w:rsid w:val="00BE4874"/>
    <w:rsid w:val="00BE64F2"/>
    <w:rsid w:val="00BE7377"/>
    <w:rsid w:val="00BF1181"/>
    <w:rsid w:val="00BF2897"/>
    <w:rsid w:val="00BF2DEC"/>
    <w:rsid w:val="00BF7516"/>
    <w:rsid w:val="00C03A9E"/>
    <w:rsid w:val="00C0426F"/>
    <w:rsid w:val="00C06F8F"/>
    <w:rsid w:val="00C119CD"/>
    <w:rsid w:val="00C21094"/>
    <w:rsid w:val="00C23C12"/>
    <w:rsid w:val="00C2514D"/>
    <w:rsid w:val="00C36A3E"/>
    <w:rsid w:val="00C436C5"/>
    <w:rsid w:val="00C469D9"/>
    <w:rsid w:val="00C501D1"/>
    <w:rsid w:val="00C52594"/>
    <w:rsid w:val="00C53518"/>
    <w:rsid w:val="00C53C44"/>
    <w:rsid w:val="00C54F20"/>
    <w:rsid w:val="00C60C11"/>
    <w:rsid w:val="00C60CB7"/>
    <w:rsid w:val="00C61D76"/>
    <w:rsid w:val="00C62CCD"/>
    <w:rsid w:val="00C66AAC"/>
    <w:rsid w:val="00C744A4"/>
    <w:rsid w:val="00C74DC8"/>
    <w:rsid w:val="00C76D74"/>
    <w:rsid w:val="00C86AE9"/>
    <w:rsid w:val="00C87359"/>
    <w:rsid w:val="00C966F8"/>
    <w:rsid w:val="00CA1F6F"/>
    <w:rsid w:val="00CA66E2"/>
    <w:rsid w:val="00CB1033"/>
    <w:rsid w:val="00CB1D97"/>
    <w:rsid w:val="00CB5AA4"/>
    <w:rsid w:val="00CB78CF"/>
    <w:rsid w:val="00CC0A2F"/>
    <w:rsid w:val="00CC1EAC"/>
    <w:rsid w:val="00CC3AA1"/>
    <w:rsid w:val="00CD2030"/>
    <w:rsid w:val="00CD32FD"/>
    <w:rsid w:val="00CD6DCD"/>
    <w:rsid w:val="00CE0E5D"/>
    <w:rsid w:val="00CE137F"/>
    <w:rsid w:val="00CE471A"/>
    <w:rsid w:val="00CE5092"/>
    <w:rsid w:val="00CF16A3"/>
    <w:rsid w:val="00CF290F"/>
    <w:rsid w:val="00CF3E83"/>
    <w:rsid w:val="00D005B7"/>
    <w:rsid w:val="00D00E54"/>
    <w:rsid w:val="00D0217D"/>
    <w:rsid w:val="00D037C9"/>
    <w:rsid w:val="00D05309"/>
    <w:rsid w:val="00D14B0C"/>
    <w:rsid w:val="00D14F98"/>
    <w:rsid w:val="00D14FC0"/>
    <w:rsid w:val="00D2469F"/>
    <w:rsid w:val="00D24A9A"/>
    <w:rsid w:val="00D352CA"/>
    <w:rsid w:val="00D36781"/>
    <w:rsid w:val="00D4395E"/>
    <w:rsid w:val="00D43D18"/>
    <w:rsid w:val="00D43E22"/>
    <w:rsid w:val="00D43F14"/>
    <w:rsid w:val="00D477CF"/>
    <w:rsid w:val="00D516C8"/>
    <w:rsid w:val="00D52A24"/>
    <w:rsid w:val="00D57EDE"/>
    <w:rsid w:val="00D61D2E"/>
    <w:rsid w:val="00D62A77"/>
    <w:rsid w:val="00D66A08"/>
    <w:rsid w:val="00D66A39"/>
    <w:rsid w:val="00D67FE0"/>
    <w:rsid w:val="00D73693"/>
    <w:rsid w:val="00D777D0"/>
    <w:rsid w:val="00D8170A"/>
    <w:rsid w:val="00D82DF2"/>
    <w:rsid w:val="00D84C4B"/>
    <w:rsid w:val="00D87DC1"/>
    <w:rsid w:val="00D925BC"/>
    <w:rsid w:val="00D92D7B"/>
    <w:rsid w:val="00D94764"/>
    <w:rsid w:val="00DA0C58"/>
    <w:rsid w:val="00DA189F"/>
    <w:rsid w:val="00DA3678"/>
    <w:rsid w:val="00DA39CA"/>
    <w:rsid w:val="00DA7232"/>
    <w:rsid w:val="00DA7F7B"/>
    <w:rsid w:val="00DB5FE3"/>
    <w:rsid w:val="00DB65CE"/>
    <w:rsid w:val="00DC07BD"/>
    <w:rsid w:val="00DC44A0"/>
    <w:rsid w:val="00DC468D"/>
    <w:rsid w:val="00DD1A6A"/>
    <w:rsid w:val="00DD1DD0"/>
    <w:rsid w:val="00DD2B3E"/>
    <w:rsid w:val="00DD315A"/>
    <w:rsid w:val="00DD5BBE"/>
    <w:rsid w:val="00DE0729"/>
    <w:rsid w:val="00DE17FA"/>
    <w:rsid w:val="00DE1C93"/>
    <w:rsid w:val="00DE238F"/>
    <w:rsid w:val="00DE36BC"/>
    <w:rsid w:val="00DE5433"/>
    <w:rsid w:val="00E0167F"/>
    <w:rsid w:val="00E05D86"/>
    <w:rsid w:val="00E0696F"/>
    <w:rsid w:val="00E133B6"/>
    <w:rsid w:val="00E14831"/>
    <w:rsid w:val="00E14872"/>
    <w:rsid w:val="00E174FF"/>
    <w:rsid w:val="00E229DE"/>
    <w:rsid w:val="00E230C5"/>
    <w:rsid w:val="00E354DF"/>
    <w:rsid w:val="00E36BD0"/>
    <w:rsid w:val="00E420C3"/>
    <w:rsid w:val="00E4264D"/>
    <w:rsid w:val="00E459A6"/>
    <w:rsid w:val="00E45E76"/>
    <w:rsid w:val="00E500E6"/>
    <w:rsid w:val="00E5181F"/>
    <w:rsid w:val="00E52659"/>
    <w:rsid w:val="00E5757D"/>
    <w:rsid w:val="00E609D9"/>
    <w:rsid w:val="00E667B2"/>
    <w:rsid w:val="00E7075D"/>
    <w:rsid w:val="00E72061"/>
    <w:rsid w:val="00E72829"/>
    <w:rsid w:val="00E732F2"/>
    <w:rsid w:val="00E743CA"/>
    <w:rsid w:val="00E828F7"/>
    <w:rsid w:val="00E848CF"/>
    <w:rsid w:val="00E8797F"/>
    <w:rsid w:val="00E87B3B"/>
    <w:rsid w:val="00E90940"/>
    <w:rsid w:val="00E91F8C"/>
    <w:rsid w:val="00E9485E"/>
    <w:rsid w:val="00E961F6"/>
    <w:rsid w:val="00E97A3D"/>
    <w:rsid w:val="00EA01AE"/>
    <w:rsid w:val="00EA2D75"/>
    <w:rsid w:val="00EA335A"/>
    <w:rsid w:val="00EB06FE"/>
    <w:rsid w:val="00EB0B93"/>
    <w:rsid w:val="00EB13FF"/>
    <w:rsid w:val="00EB20CA"/>
    <w:rsid w:val="00EB6704"/>
    <w:rsid w:val="00EC3738"/>
    <w:rsid w:val="00EC4D1E"/>
    <w:rsid w:val="00EC5A3B"/>
    <w:rsid w:val="00ED04DC"/>
    <w:rsid w:val="00ED0957"/>
    <w:rsid w:val="00ED2F39"/>
    <w:rsid w:val="00ED4C8E"/>
    <w:rsid w:val="00EE051B"/>
    <w:rsid w:val="00EE67B8"/>
    <w:rsid w:val="00EF1D4C"/>
    <w:rsid w:val="00EF39D6"/>
    <w:rsid w:val="00EF65A7"/>
    <w:rsid w:val="00F009D6"/>
    <w:rsid w:val="00F0238C"/>
    <w:rsid w:val="00F03BEC"/>
    <w:rsid w:val="00F05F22"/>
    <w:rsid w:val="00F118DA"/>
    <w:rsid w:val="00F1465F"/>
    <w:rsid w:val="00F151B1"/>
    <w:rsid w:val="00F22C73"/>
    <w:rsid w:val="00F22ED6"/>
    <w:rsid w:val="00F2670E"/>
    <w:rsid w:val="00F277C7"/>
    <w:rsid w:val="00F309C9"/>
    <w:rsid w:val="00F311C2"/>
    <w:rsid w:val="00F3255B"/>
    <w:rsid w:val="00F32987"/>
    <w:rsid w:val="00F329D2"/>
    <w:rsid w:val="00F353B3"/>
    <w:rsid w:val="00F35FF0"/>
    <w:rsid w:val="00F40D1A"/>
    <w:rsid w:val="00F46584"/>
    <w:rsid w:val="00F47D77"/>
    <w:rsid w:val="00F51AB1"/>
    <w:rsid w:val="00F535F9"/>
    <w:rsid w:val="00F54579"/>
    <w:rsid w:val="00F56426"/>
    <w:rsid w:val="00F568D1"/>
    <w:rsid w:val="00F56927"/>
    <w:rsid w:val="00F569A5"/>
    <w:rsid w:val="00F643BA"/>
    <w:rsid w:val="00F6597D"/>
    <w:rsid w:val="00F66C16"/>
    <w:rsid w:val="00F67BF7"/>
    <w:rsid w:val="00F75063"/>
    <w:rsid w:val="00F756D0"/>
    <w:rsid w:val="00F77537"/>
    <w:rsid w:val="00F77DE7"/>
    <w:rsid w:val="00F801B0"/>
    <w:rsid w:val="00F87740"/>
    <w:rsid w:val="00F90497"/>
    <w:rsid w:val="00F90578"/>
    <w:rsid w:val="00F923AC"/>
    <w:rsid w:val="00F929FF"/>
    <w:rsid w:val="00F95C91"/>
    <w:rsid w:val="00F95E4C"/>
    <w:rsid w:val="00FA0B29"/>
    <w:rsid w:val="00FA2A13"/>
    <w:rsid w:val="00FA4E0F"/>
    <w:rsid w:val="00FB272A"/>
    <w:rsid w:val="00FB3AC2"/>
    <w:rsid w:val="00FB6107"/>
    <w:rsid w:val="00FC0DBB"/>
    <w:rsid w:val="00FC2EBA"/>
    <w:rsid w:val="00FC3056"/>
    <w:rsid w:val="00FC522A"/>
    <w:rsid w:val="00FD1D39"/>
    <w:rsid w:val="00FD6888"/>
    <w:rsid w:val="00FE1BA3"/>
    <w:rsid w:val="00FE3599"/>
    <w:rsid w:val="00FE620F"/>
    <w:rsid w:val="00FF1188"/>
    <w:rsid w:val="00FF1284"/>
    <w:rsid w:val="00FF4184"/>
    <w:rsid w:val="00FF67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8DF9C75-74B0-4EA7-A4DE-EEC458B2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800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link w:val="af3"/>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uiPriority w:val="9"/>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4">
    <w:name w:val="header"/>
    <w:basedOn w:val="a1"/>
    <w:link w:val="af5"/>
    <w:unhideWhenUsed/>
    <w:rsid w:val="00485092"/>
    <w:pPr>
      <w:tabs>
        <w:tab w:val="center" w:pos="4153"/>
        <w:tab w:val="right" w:pos="8306"/>
      </w:tabs>
      <w:snapToGrid w:val="0"/>
    </w:pPr>
    <w:rPr>
      <w:sz w:val="20"/>
      <w:szCs w:val="20"/>
    </w:rPr>
  </w:style>
  <w:style w:type="character" w:customStyle="1" w:styleId="af5">
    <w:name w:val="頁首 字元"/>
    <w:link w:val="af4"/>
    <w:rsid w:val="00485092"/>
    <w:rPr>
      <w:rFonts w:ascii="標楷體" w:eastAsia="標楷體"/>
      <w:snapToGrid w:val="0"/>
      <w:kern w:val="2"/>
    </w:rPr>
  </w:style>
  <w:style w:type="paragraph" w:styleId="af6">
    <w:name w:val="footer"/>
    <w:basedOn w:val="a1"/>
    <w:link w:val="af7"/>
    <w:uiPriority w:val="99"/>
    <w:unhideWhenUsed/>
    <w:rsid w:val="00485092"/>
    <w:pPr>
      <w:tabs>
        <w:tab w:val="center" w:pos="4153"/>
        <w:tab w:val="right" w:pos="8306"/>
      </w:tabs>
      <w:snapToGrid w:val="0"/>
    </w:pPr>
    <w:rPr>
      <w:sz w:val="20"/>
      <w:szCs w:val="20"/>
    </w:rPr>
  </w:style>
  <w:style w:type="character" w:customStyle="1" w:styleId="af7">
    <w:name w:val="頁尾 字元"/>
    <w:link w:val="af6"/>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8">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a"/>
    <w:uiPriority w:val="99"/>
    <w:unhideWhenUsed/>
    <w:rsid w:val="00485092"/>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9"/>
    <w:uiPriority w:val="99"/>
    <w:qFormat/>
    <w:rsid w:val="00485092"/>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c">
    <w:name w:val="Balloon Text"/>
    <w:basedOn w:val="a1"/>
    <w:link w:val="afd"/>
    <w:uiPriority w:val="99"/>
    <w:semiHidden/>
    <w:unhideWhenUsed/>
    <w:rsid w:val="00485092"/>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485092"/>
    <w:rPr>
      <w:rFonts w:ascii="Cambria" w:hAnsi="Cambria"/>
      <w:snapToGrid w:val="0"/>
      <w:kern w:val="2"/>
      <w:sz w:val="18"/>
      <w:szCs w:val="18"/>
    </w:rPr>
  </w:style>
  <w:style w:type="table" w:styleId="afe">
    <w:name w:val="Table Grid"/>
    <w:basedOn w:val="a3"/>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e"/>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e"/>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0">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1">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2">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3">
    <w:name w:val="Body Text"/>
    <w:basedOn w:val="a1"/>
    <w:link w:val="aff4"/>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4">
    <w:name w:val="本文 字元"/>
    <w:link w:val="aff3"/>
    <w:rsid w:val="00485092"/>
    <w:rPr>
      <w:rFonts w:ascii="Arial" w:hAnsi="Arial"/>
      <w:spacing w:val="-5"/>
      <w:sz w:val="18"/>
    </w:rPr>
  </w:style>
  <w:style w:type="character" w:customStyle="1" w:styleId="aff5">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6">
    <w:name w:val="Emphasis"/>
    <w:uiPriority w:val="20"/>
    <w:qFormat/>
    <w:rsid w:val="00485092"/>
    <w:rPr>
      <w:b w:val="0"/>
      <w:bCs w:val="0"/>
      <w:i w:val="0"/>
      <w:iCs w:val="0"/>
      <w:color w:val="CC0033"/>
    </w:rPr>
  </w:style>
  <w:style w:type="paragraph" w:styleId="HTML">
    <w:name w:val="HTML Preformatted"/>
    <w:basedOn w:val="a1"/>
    <w:link w:val="HTML0"/>
    <w:uiPriority w:val="99"/>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uiPriority w:val="99"/>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7">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1"/>
    <w:link w:val="aff9"/>
    <w:rsid w:val="00485092"/>
    <w:pPr>
      <w:wordWrap w:val="0"/>
      <w:spacing w:line="340" w:lineRule="exact"/>
      <w:ind w:leftChars="0" w:left="100" w:hangingChars="100" w:hanging="100"/>
    </w:pPr>
    <w:rPr>
      <w:rFonts w:hAnsi="標楷體"/>
      <w:snapToGrid/>
      <w:sz w:val="22"/>
      <w:szCs w:val="22"/>
    </w:rPr>
  </w:style>
  <w:style w:type="character" w:customStyle="1" w:styleId="aff9">
    <w:name w:val="(一) 字元"/>
    <w:link w:val="aff8"/>
    <w:rsid w:val="00485092"/>
    <w:rPr>
      <w:rFonts w:ascii="標楷體" w:eastAsia="標楷體" w:hAnsi="標楷體"/>
      <w:kern w:val="2"/>
      <w:sz w:val="22"/>
      <w:szCs w:val="22"/>
    </w:rPr>
  </w:style>
  <w:style w:type="paragraph" w:customStyle="1" w:styleId="affa">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c">
    <w:name w:val="Salutation"/>
    <w:basedOn w:val="a1"/>
    <w:next w:val="a1"/>
    <w:link w:val="affd"/>
    <w:uiPriority w:val="99"/>
    <w:unhideWhenUsed/>
    <w:rsid w:val="00485092"/>
    <w:rPr>
      <w:rFonts w:hAnsi="標楷體"/>
      <w:color w:val="0070C0"/>
    </w:rPr>
  </w:style>
  <w:style w:type="character" w:customStyle="1" w:styleId="affd">
    <w:name w:val="問候 字元"/>
    <w:link w:val="affc"/>
    <w:uiPriority w:val="99"/>
    <w:rsid w:val="00485092"/>
    <w:rPr>
      <w:rFonts w:ascii="標楷體" w:eastAsia="標楷體" w:hAnsi="標楷體"/>
      <w:snapToGrid w:val="0"/>
      <w:color w:val="0070C0"/>
      <w:kern w:val="2"/>
      <w:sz w:val="28"/>
      <w:szCs w:val="28"/>
    </w:rPr>
  </w:style>
  <w:style w:type="paragraph" w:styleId="affe">
    <w:name w:val="Closing"/>
    <w:basedOn w:val="a1"/>
    <w:link w:val="afff"/>
    <w:uiPriority w:val="99"/>
    <w:unhideWhenUsed/>
    <w:rsid w:val="00485092"/>
    <w:pPr>
      <w:ind w:leftChars="1800" w:left="100"/>
    </w:pPr>
    <w:rPr>
      <w:rFonts w:hAnsi="標楷體"/>
      <w:color w:val="0070C0"/>
    </w:rPr>
  </w:style>
  <w:style w:type="character" w:customStyle="1" w:styleId="afff">
    <w:name w:val="結語 字元"/>
    <w:link w:val="affe"/>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0">
    <w:name w:val="FollowedHyperlink"/>
    <w:uiPriority w:val="99"/>
    <w:unhideWhenUsed/>
    <w:rsid w:val="00485092"/>
    <w:rPr>
      <w:color w:val="954F72"/>
      <w:u w:val="single"/>
    </w:rPr>
  </w:style>
  <w:style w:type="table" w:customStyle="1" w:styleId="32">
    <w:name w:val="表格格線3"/>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2">
    <w:name w:val="註腳文字(標準)"/>
    <w:basedOn w:val="a1"/>
    <w:link w:val="afff3"/>
    <w:qFormat/>
    <w:rsid w:val="00485092"/>
    <w:pPr>
      <w:snapToGrid w:val="0"/>
      <w:spacing w:line="280" w:lineRule="exact"/>
      <w:ind w:leftChars="0" w:left="181" w:firstLineChars="0" w:hanging="181"/>
    </w:pPr>
    <w:rPr>
      <w:sz w:val="24"/>
      <w:szCs w:val="24"/>
    </w:rPr>
  </w:style>
  <w:style w:type="character" w:customStyle="1" w:styleId="afff3">
    <w:name w:val="註腳文字(標準) 字元"/>
    <w:link w:val="afff2"/>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4">
    <w:name w:val="List Paragraph"/>
    <w:basedOn w:val="a1"/>
    <w:link w:val="afff5"/>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6">
    <w:name w:val="Title"/>
    <w:basedOn w:val="a1"/>
    <w:next w:val="a1"/>
    <w:link w:val="afff7"/>
    <w:uiPriority w:val="10"/>
    <w:qFormat/>
    <w:rsid w:val="00485092"/>
    <w:pPr>
      <w:spacing w:before="240" w:after="60"/>
      <w:jc w:val="center"/>
      <w:outlineLvl w:val="0"/>
    </w:pPr>
    <w:rPr>
      <w:rFonts w:ascii="Cambria" w:eastAsia="新細明體" w:hAnsi="Cambria"/>
      <w:b/>
      <w:bCs/>
      <w:sz w:val="32"/>
      <w:szCs w:val="32"/>
    </w:rPr>
  </w:style>
  <w:style w:type="character" w:customStyle="1" w:styleId="afff7">
    <w:name w:val="標題 字元"/>
    <w:link w:val="afff6"/>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8">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9">
    <w:name w:val="annotation text"/>
    <w:basedOn w:val="a1"/>
    <w:link w:val="afffa"/>
    <w:rsid w:val="00485092"/>
    <w:pPr>
      <w:jc w:val="left"/>
    </w:pPr>
  </w:style>
  <w:style w:type="character" w:customStyle="1" w:styleId="afffa">
    <w:name w:val="註解文字 字元"/>
    <w:link w:val="afff9"/>
    <w:rsid w:val="00485092"/>
    <w:rPr>
      <w:rFonts w:ascii="標楷體" w:eastAsia="標楷體"/>
      <w:snapToGrid w:val="0"/>
      <w:kern w:val="2"/>
      <w:sz w:val="28"/>
      <w:szCs w:val="28"/>
    </w:rPr>
  </w:style>
  <w:style w:type="paragraph" w:styleId="afffb">
    <w:name w:val="annotation subject"/>
    <w:basedOn w:val="afff9"/>
    <w:next w:val="afff9"/>
    <w:link w:val="afffc"/>
    <w:rsid w:val="00485092"/>
    <w:rPr>
      <w:b/>
      <w:bCs/>
    </w:rPr>
  </w:style>
  <w:style w:type="character" w:customStyle="1" w:styleId="afffc">
    <w:name w:val="註解主旨 字元"/>
    <w:link w:val="afffb"/>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5">
    <w:name w:val="清單段落 字元"/>
    <w:link w:val="afff4"/>
    <w:uiPriority w:val="34"/>
    <w:locked/>
    <w:rsid w:val="00485092"/>
    <w:rPr>
      <w:rFonts w:ascii="Calibri" w:hAnsi="Calibri"/>
      <w:kern w:val="2"/>
      <w:sz w:val="24"/>
      <w:szCs w:val="22"/>
    </w:rPr>
  </w:style>
  <w:style w:type="paragraph" w:styleId="afffd">
    <w:name w:val="caption"/>
    <w:basedOn w:val="a1"/>
    <w:next w:val="a1"/>
    <w:semiHidden/>
    <w:unhideWhenUsed/>
    <w:qFormat/>
    <w:rsid w:val="00485092"/>
    <w:rPr>
      <w:sz w:val="20"/>
      <w:szCs w:val="20"/>
    </w:rPr>
  </w:style>
  <w:style w:type="table" w:customStyle="1" w:styleId="110">
    <w:name w:val="表格格線11"/>
    <w:basedOn w:val="a3"/>
    <w:next w:val="afe"/>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e"/>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annotation reference"/>
    <w:uiPriority w:val="99"/>
    <w:semiHidden/>
    <w:unhideWhenUsed/>
    <w:rsid w:val="00485092"/>
    <w:rPr>
      <w:sz w:val="18"/>
      <w:szCs w:val="18"/>
    </w:rPr>
  </w:style>
  <w:style w:type="paragraph" w:styleId="affff0">
    <w:name w:val="Body Text Indent"/>
    <w:basedOn w:val="a1"/>
    <w:link w:val="affff1"/>
    <w:rsid w:val="00485092"/>
    <w:pPr>
      <w:ind w:left="566" w:firstLine="566"/>
    </w:pPr>
  </w:style>
  <w:style w:type="character" w:customStyle="1" w:styleId="affff1">
    <w:name w:val="本文縮排 字元"/>
    <w:link w:val="affff0"/>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e"/>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Signature"/>
    <w:basedOn w:val="a1"/>
    <w:link w:val="affff3"/>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3">
    <w:name w:val="簽名 字元"/>
    <w:link w:val="affff2"/>
    <w:rsid w:val="00485092"/>
    <w:rPr>
      <w:spacing w:val="-5"/>
      <w:sz w:val="18"/>
      <w:szCs w:val="18"/>
    </w:rPr>
  </w:style>
  <w:style w:type="paragraph" w:styleId="affff4">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5"/>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5">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6">
    <w:name w:val="Date"/>
    <w:basedOn w:val="a1"/>
    <w:next w:val="a1"/>
    <w:link w:val="affff7"/>
    <w:uiPriority w:val="99"/>
    <w:semiHidden/>
    <w:unhideWhenUsed/>
    <w:rsid w:val="00485092"/>
    <w:pPr>
      <w:jc w:val="right"/>
    </w:pPr>
  </w:style>
  <w:style w:type="character" w:customStyle="1" w:styleId="affff7">
    <w:name w:val="日期 字元"/>
    <w:link w:val="affff6"/>
    <w:uiPriority w:val="99"/>
    <w:semiHidden/>
    <w:rsid w:val="00485092"/>
    <w:rPr>
      <w:rFonts w:ascii="標楷體" w:eastAsia="標楷體"/>
      <w:snapToGrid w:val="0"/>
      <w:kern w:val="2"/>
      <w:sz w:val="28"/>
      <w:szCs w:val="28"/>
    </w:rPr>
  </w:style>
  <w:style w:type="table" w:customStyle="1" w:styleId="120">
    <w:name w:val="表格格線12"/>
    <w:basedOn w:val="a3"/>
    <w:next w:val="afe"/>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 w:type="paragraph" w:customStyle="1" w:styleId="28">
    <w:name w:val=" 字元 字元2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11">
    <w:name w:val="1.1內文"/>
    <w:basedOn w:val="a1"/>
    <w:rsid w:val="00E1487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E14872"/>
    <w:rPr>
      <w:sz w:val="20"/>
      <w:szCs w:val="20"/>
    </w:rPr>
  </w:style>
  <w:style w:type="character" w:customStyle="1" w:styleId="CharacterStyle3">
    <w:name w:val="Character Style 3"/>
    <w:rsid w:val="00E14872"/>
    <w:rPr>
      <w:sz w:val="25"/>
      <w:szCs w:val="25"/>
    </w:rPr>
  </w:style>
  <w:style w:type="paragraph" w:customStyle="1" w:styleId="1e">
    <w:name w:val="字元 字元1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字元 字元"/>
    <w:basedOn w:val="a1"/>
    <w:semiHidden/>
    <w:rsid w:val="00E1487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E14872"/>
  </w:style>
  <w:style w:type="character" w:customStyle="1" w:styleId="af3">
    <w:name w:val="前言(一)(二)(三) 字元"/>
    <w:link w:val="af2"/>
    <w:rsid w:val="00E14872"/>
    <w:rPr>
      <w:rFonts w:ascii="標楷體" w:eastAsia="標楷體"/>
      <w:snapToGrid w:val="0"/>
      <w:kern w:val="2"/>
      <w:sz w:val="28"/>
      <w:szCs w:val="28"/>
    </w:rPr>
  </w:style>
  <w:style w:type="table" w:customStyle="1" w:styleId="6">
    <w:name w:val="表格格線6"/>
    <w:basedOn w:val="a3"/>
    <w:next w:val="afe"/>
    <w:rsid w:val="004270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217521636">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 w:id="188856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16DAF-24EB-40E7-A0AD-C0DB70421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5</Pages>
  <Words>600</Words>
  <Characters>3422</Characters>
  <Application>Microsoft Office Word</Application>
  <DocSecurity>0</DocSecurity>
  <Lines>28</Lines>
  <Paragraphs>8</Paragraphs>
  <ScaleCrop>false</ScaleCrop>
  <Company>HOME</Company>
  <LinksUpToDate>false</LinksUpToDate>
  <CharactersWithSpaces>4014</CharactersWithSpaces>
  <SharedDoc>false</SharedDoc>
  <HLinks>
    <vt:vector size="48" baseType="variant">
      <vt:variant>
        <vt:i4>1835061</vt:i4>
      </vt:variant>
      <vt:variant>
        <vt:i4>44</vt:i4>
      </vt:variant>
      <vt:variant>
        <vt:i4>0</vt:i4>
      </vt:variant>
      <vt:variant>
        <vt:i4>5</vt:i4>
      </vt:variant>
      <vt:variant>
        <vt:lpwstr/>
      </vt:variant>
      <vt:variant>
        <vt:lpwstr>_Toc224719271</vt:lpwstr>
      </vt:variant>
      <vt:variant>
        <vt:i4>1835061</vt:i4>
      </vt:variant>
      <vt:variant>
        <vt:i4>38</vt:i4>
      </vt:variant>
      <vt:variant>
        <vt:i4>0</vt:i4>
      </vt:variant>
      <vt:variant>
        <vt:i4>5</vt:i4>
      </vt:variant>
      <vt:variant>
        <vt:lpwstr/>
      </vt:variant>
      <vt:variant>
        <vt:lpwstr>_Toc224719270</vt:lpwstr>
      </vt:variant>
      <vt:variant>
        <vt:i4>1900597</vt:i4>
      </vt:variant>
      <vt:variant>
        <vt:i4>32</vt:i4>
      </vt:variant>
      <vt:variant>
        <vt:i4>0</vt:i4>
      </vt:variant>
      <vt:variant>
        <vt:i4>5</vt:i4>
      </vt:variant>
      <vt:variant>
        <vt:lpwstr/>
      </vt:variant>
      <vt:variant>
        <vt:lpwstr>_Toc224719269</vt:lpwstr>
      </vt:variant>
      <vt:variant>
        <vt:i4>1900597</vt:i4>
      </vt:variant>
      <vt:variant>
        <vt:i4>26</vt:i4>
      </vt:variant>
      <vt:variant>
        <vt:i4>0</vt:i4>
      </vt:variant>
      <vt:variant>
        <vt:i4>5</vt:i4>
      </vt:variant>
      <vt:variant>
        <vt:lpwstr/>
      </vt:variant>
      <vt:variant>
        <vt:lpwstr>_Toc224719268</vt:lpwstr>
      </vt:variant>
      <vt:variant>
        <vt:i4>1900597</vt:i4>
      </vt:variant>
      <vt:variant>
        <vt:i4>20</vt:i4>
      </vt:variant>
      <vt:variant>
        <vt:i4>0</vt:i4>
      </vt:variant>
      <vt:variant>
        <vt:i4>5</vt:i4>
      </vt:variant>
      <vt:variant>
        <vt:lpwstr/>
      </vt:variant>
      <vt:variant>
        <vt:lpwstr>_Toc224719267</vt:lpwstr>
      </vt:variant>
      <vt:variant>
        <vt:i4>1900597</vt:i4>
      </vt:variant>
      <vt:variant>
        <vt:i4>14</vt:i4>
      </vt:variant>
      <vt:variant>
        <vt:i4>0</vt:i4>
      </vt:variant>
      <vt:variant>
        <vt:i4>5</vt:i4>
      </vt:variant>
      <vt:variant>
        <vt:lpwstr/>
      </vt:variant>
      <vt:variant>
        <vt:lpwstr>_Toc224719266</vt:lpwstr>
      </vt:variant>
      <vt:variant>
        <vt:i4>1900597</vt:i4>
      </vt:variant>
      <vt:variant>
        <vt:i4>8</vt:i4>
      </vt:variant>
      <vt:variant>
        <vt:i4>0</vt:i4>
      </vt:variant>
      <vt:variant>
        <vt:i4>5</vt:i4>
      </vt:variant>
      <vt:variant>
        <vt:lpwstr/>
      </vt:variant>
      <vt:variant>
        <vt:lpwstr>_Toc224719265</vt:lpwstr>
      </vt:variant>
      <vt:variant>
        <vt:i4>1900597</vt:i4>
      </vt:variant>
      <vt:variant>
        <vt:i4>2</vt:i4>
      </vt:variant>
      <vt:variant>
        <vt:i4>0</vt:i4>
      </vt:variant>
      <vt:variant>
        <vt:i4>5</vt:i4>
      </vt:variant>
      <vt:variant>
        <vt:lpwstr/>
      </vt:variant>
      <vt:variant>
        <vt:lpwstr>_Toc224719264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2026-03-18T01:39:00Z</cp:lastPrinted>
  <dcterms:created xsi:type="dcterms:W3CDTF">2026-03-19T07:35:00Z</dcterms:created>
  <dcterms:modified xsi:type="dcterms:W3CDTF">2026-03-19T07:35:00Z</dcterms:modified>
</cp:coreProperties>
</file>