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5E4A" w:rsidRPr="00445FA9" w:rsidRDefault="00DB5E4A" w:rsidP="00726D48">
      <w:pPr>
        <w:spacing w:line="480" w:lineRule="exact"/>
        <w:ind w:leftChars="0" w:left="0" w:right="-146" w:firstLineChars="0" w:firstLine="0"/>
        <w:rPr>
          <w:rFonts w:hAnsi="標楷體" w:hint="eastAsia"/>
          <w:b/>
          <w:bCs/>
          <w:sz w:val="36"/>
        </w:rPr>
      </w:pPr>
      <w:bookmarkStart w:id="0" w:name="_Toc515182153"/>
      <w:bookmarkStart w:id="1" w:name="_Toc60191644"/>
      <w:bookmarkStart w:id="2" w:name="_Toc27444258"/>
      <w:bookmarkStart w:id="3" w:name="_Toc61115175"/>
      <w:bookmarkStart w:id="4" w:name="_Toc92186426"/>
      <w:bookmarkStart w:id="5" w:name="_Toc96427247"/>
      <w:bookmarkStart w:id="6" w:name="_Toc97040678"/>
      <w:bookmarkStart w:id="7" w:name="_GoBack"/>
      <w:bookmarkEnd w:id="7"/>
      <w:r w:rsidRPr="00445FA9">
        <w:rPr>
          <w:rFonts w:hAnsi="標楷體" w:hint="eastAsia"/>
          <w:b/>
          <w:bCs/>
          <w:sz w:val="36"/>
        </w:rPr>
        <w:t>臺灣港務股份有限公司113年度營業決算評估報告</w:t>
      </w:r>
    </w:p>
    <w:p w:rsidR="00DB5E4A" w:rsidRPr="00445FA9" w:rsidRDefault="00DB5E4A" w:rsidP="001806D6">
      <w:pPr>
        <w:pStyle w:val="14"/>
        <w:ind w:leftChars="100" w:left="567" w:hangingChars="100" w:hanging="284"/>
        <w:rPr>
          <w:rFonts w:hint="eastAsia"/>
        </w:rPr>
      </w:pPr>
      <w:bookmarkStart w:id="8" w:name="_Toc96427248"/>
      <w:bookmarkStart w:id="9" w:name="_Toc97040679"/>
      <w:bookmarkStart w:id="10" w:name="_Toc147031011"/>
      <w:bookmarkStart w:id="11" w:name="_Toc277684682"/>
      <w:bookmarkStart w:id="12" w:name="_Toc279072980"/>
      <w:bookmarkStart w:id="13" w:name="_Toc403037969"/>
      <w:bookmarkStart w:id="14" w:name="_Toc433377090"/>
      <w:bookmarkStart w:id="15" w:name="_Toc466622932"/>
      <w:bookmarkStart w:id="16" w:name="_Toc431661176"/>
      <w:bookmarkStart w:id="17" w:name="_Toc431725917"/>
      <w:bookmarkStart w:id="18" w:name="_Toc499305075"/>
      <w:bookmarkStart w:id="19" w:name="_Toc500925830"/>
      <w:bookmarkStart w:id="20" w:name="_Toc496025580"/>
      <w:bookmarkStart w:id="21" w:name="_Toc499305061"/>
      <w:bookmarkStart w:id="22" w:name="_Toc500925827"/>
      <w:bookmarkStart w:id="23" w:name="_Toc511204946"/>
      <w:bookmarkStart w:id="24" w:name="_Toc530470195"/>
      <w:bookmarkStart w:id="25" w:name="_Toc33172149"/>
      <w:bookmarkStart w:id="26" w:name="_Toc118275458"/>
      <w:bookmarkStart w:id="27" w:name="_Toc215144284"/>
      <w:bookmarkStart w:id="28" w:name="_Toc224719729"/>
      <w:bookmarkEnd w:id="2"/>
      <w:bookmarkEnd w:id="3"/>
      <w:bookmarkEnd w:id="4"/>
      <w:bookmarkEnd w:id="5"/>
      <w:bookmarkEnd w:id="6"/>
      <w:r w:rsidRPr="00445FA9">
        <w:rPr>
          <w:rFonts w:hint="eastAsia"/>
        </w:rPr>
        <w:t>三、台源公司受疫情影響調整</w:t>
      </w:r>
      <w:r w:rsidR="00BE0078">
        <w:rPr>
          <w:rFonts w:hint="eastAsia"/>
        </w:rPr>
        <w:t>投資</w:t>
      </w:r>
      <w:r w:rsidRPr="00445FA9">
        <w:rPr>
          <w:rFonts w:hint="eastAsia"/>
        </w:rPr>
        <w:t>方向</w:t>
      </w:r>
      <w:bookmarkEnd w:id="27"/>
      <w:r w:rsidRPr="00445FA9">
        <w:rPr>
          <w:rFonts w:hint="eastAsia"/>
        </w:rPr>
        <w:t>，允宜督促該公司</w:t>
      </w:r>
      <w:r w:rsidR="00A5516C" w:rsidRPr="00445FA9">
        <w:rPr>
          <w:rFonts w:hint="eastAsia"/>
        </w:rPr>
        <w:t>朝</w:t>
      </w:r>
      <w:r w:rsidRPr="00445FA9">
        <w:rPr>
          <w:rFonts w:hint="eastAsia"/>
        </w:rPr>
        <w:t>原訂計畫</w:t>
      </w:r>
      <w:r w:rsidR="00A5516C" w:rsidRPr="00445FA9">
        <w:rPr>
          <w:rFonts w:hint="eastAsia"/>
        </w:rPr>
        <w:t>目標</w:t>
      </w:r>
      <w:r w:rsidRPr="00445FA9">
        <w:rPr>
          <w:rFonts w:hint="eastAsia"/>
        </w:rPr>
        <w:t>辦理，俾</w:t>
      </w:r>
      <w:r w:rsidR="00765188" w:rsidRPr="00445FA9">
        <w:rPr>
          <w:rFonts w:hint="eastAsia"/>
        </w:rPr>
        <w:t>順利</w:t>
      </w:r>
      <w:r w:rsidRPr="00445FA9">
        <w:rPr>
          <w:rFonts w:hint="eastAsia"/>
        </w:rPr>
        <w:t>提升我國航運戰略地位</w:t>
      </w:r>
      <w:bookmarkEnd w:id="28"/>
    </w:p>
    <w:p w:rsidR="00DB5E4A" w:rsidRPr="00445FA9" w:rsidRDefault="00DB5E4A" w:rsidP="00DA2601">
      <w:pPr>
        <w:ind w:left="567" w:firstLine="567"/>
        <w:rPr>
          <w:rFonts w:hAnsi="標楷體"/>
        </w:rPr>
      </w:pPr>
      <w:r w:rsidRPr="00445FA9">
        <w:rPr>
          <w:rFonts w:hAnsi="標楷體" w:hint="eastAsia"/>
        </w:rPr>
        <w:t>港務公司113年度「營業外收入-採用權益法認列之子公司、關聯企業及合資利益之份額」下台源國際控股股份有限公司(下稱台源公司)按權益法認列之投資利益</w:t>
      </w:r>
      <w:bookmarkStart w:id="29" w:name="_Hlk211759355"/>
      <w:r w:rsidRPr="00445FA9">
        <w:rPr>
          <w:rFonts w:hAnsi="標楷體" w:hint="eastAsia"/>
        </w:rPr>
        <w:t>決算數1</w:t>
      </w:r>
      <w:r w:rsidRPr="00445FA9">
        <w:rPr>
          <w:rFonts w:hAnsi="標楷體"/>
        </w:rPr>
        <w:t>,</w:t>
      </w:r>
      <w:r w:rsidRPr="00445FA9">
        <w:rPr>
          <w:rFonts w:hAnsi="標楷體" w:hint="eastAsia"/>
        </w:rPr>
        <w:t>168萬</w:t>
      </w:r>
      <w:r w:rsidRPr="00445FA9">
        <w:rPr>
          <w:rFonts w:hAnsi="標楷體"/>
        </w:rPr>
        <w:t>1</w:t>
      </w:r>
      <w:r w:rsidRPr="00445FA9">
        <w:rPr>
          <w:rFonts w:hAnsi="標楷體" w:hint="eastAsia"/>
        </w:rPr>
        <w:t>千元</w:t>
      </w:r>
      <w:bookmarkEnd w:id="29"/>
      <w:r w:rsidRPr="00445FA9">
        <w:rPr>
          <w:rFonts w:hAnsi="標楷體" w:hint="eastAsia"/>
        </w:rPr>
        <w:t>，</w:t>
      </w:r>
      <w:r w:rsidR="00DA2601" w:rsidRPr="00445FA9">
        <w:rPr>
          <w:rFonts w:hAnsi="標楷體" w:cs="新細明體" w:hint="eastAsia"/>
        </w:rPr>
        <w:t>較預算數220萬元增加948萬1千元</w:t>
      </w:r>
      <w:r w:rsidR="009E064E" w:rsidRPr="00445FA9">
        <w:rPr>
          <w:rFonts w:hAnsi="標楷體" w:cs="新細明體" w:hint="eastAsia"/>
        </w:rPr>
        <w:t>(增幅</w:t>
      </w:r>
      <w:r w:rsidR="00B73A51">
        <w:rPr>
          <w:rFonts w:hAnsi="標楷體" w:cs="新細明體" w:hint="eastAsia"/>
        </w:rPr>
        <w:t>4</w:t>
      </w:r>
      <w:r w:rsidR="009E064E" w:rsidRPr="00445FA9">
        <w:rPr>
          <w:rFonts w:hAnsi="標楷體" w:cs="新細明體" w:hint="eastAsia"/>
        </w:rPr>
        <w:t>30.95%)</w:t>
      </w:r>
      <w:r w:rsidR="00DA2601" w:rsidRPr="00445FA9">
        <w:rPr>
          <w:rFonts w:hAnsi="標楷體" w:cs="新細明體" w:hint="eastAsia"/>
        </w:rPr>
        <w:t>，</w:t>
      </w:r>
      <w:r w:rsidRPr="00445FA9">
        <w:rPr>
          <w:rFonts w:hAnsi="標楷體" w:hint="eastAsia"/>
        </w:rPr>
        <w:t>另「資金轉投資及其盈虧明細表」下</w:t>
      </w:r>
      <w:r w:rsidR="00354BF3">
        <w:rPr>
          <w:rFonts w:hAnsi="標楷體" w:hint="eastAsia"/>
        </w:rPr>
        <w:t>113年底</w:t>
      </w:r>
      <w:r w:rsidRPr="00445FA9">
        <w:rPr>
          <w:rFonts w:hAnsi="標楷體" w:hint="eastAsia"/>
        </w:rPr>
        <w:t>對台源公司投資淨值</w:t>
      </w:r>
      <w:r w:rsidR="00DA2601" w:rsidRPr="00445FA9">
        <w:rPr>
          <w:rFonts w:hAnsi="標楷體" w:hint="eastAsia"/>
        </w:rPr>
        <w:t>決算數</w:t>
      </w:r>
      <w:r w:rsidRPr="00445FA9">
        <w:rPr>
          <w:rFonts w:hAnsi="標楷體" w:hint="eastAsia"/>
        </w:rPr>
        <w:t>1億3</w:t>
      </w:r>
      <w:r w:rsidRPr="00445FA9">
        <w:rPr>
          <w:rFonts w:hAnsi="標楷體"/>
        </w:rPr>
        <w:t>,</w:t>
      </w:r>
      <w:r w:rsidRPr="00445FA9">
        <w:rPr>
          <w:rFonts w:hAnsi="標楷體" w:hint="eastAsia"/>
        </w:rPr>
        <w:t>934萬4千</w:t>
      </w:r>
      <w:r w:rsidRPr="00445FA9">
        <w:rPr>
          <w:rFonts w:hAnsi="標楷體"/>
        </w:rPr>
        <w:t>元，</w:t>
      </w:r>
      <w:r w:rsidRPr="00445FA9">
        <w:rPr>
          <w:rFonts w:hAnsi="標楷體" w:hint="eastAsia"/>
          <w:lang w:eastAsia="zh-HK"/>
        </w:rPr>
        <w:t>經查</w:t>
      </w:r>
      <w:r w:rsidRPr="00445FA9">
        <w:rPr>
          <w:rFonts w:hAnsi="標楷體" w:hint="eastAsia"/>
        </w:rPr>
        <w:t>：</w:t>
      </w:r>
    </w:p>
    <w:p w:rsidR="00DB5E4A" w:rsidRPr="00445FA9" w:rsidRDefault="00DB5E4A" w:rsidP="00BD6BF3">
      <w:pPr>
        <w:pStyle w:val="afa"/>
        <w:ind w:left="851" w:hanging="284"/>
        <w:rPr>
          <w:b/>
          <w:bCs/>
        </w:rPr>
      </w:pPr>
      <w:r w:rsidRPr="00445FA9">
        <w:rPr>
          <w:rFonts w:hint="eastAsia"/>
          <w:b/>
          <w:bCs/>
        </w:rPr>
        <w:t>(一)台源公司主要成立目的</w:t>
      </w:r>
      <w:r w:rsidR="00DA2601" w:rsidRPr="00445FA9">
        <w:rPr>
          <w:rFonts w:hint="eastAsia"/>
          <w:b/>
          <w:bCs/>
        </w:rPr>
        <w:t>為推動新南向國家航運網路連結</w:t>
      </w:r>
    </w:p>
    <w:p w:rsidR="00DB5E4A" w:rsidRPr="00445FA9" w:rsidRDefault="00DB5E4A" w:rsidP="00A5516C">
      <w:pPr>
        <w:pStyle w:val="2"/>
        <w:ind w:left="850" w:firstLine="567"/>
      </w:pPr>
      <w:r w:rsidRPr="00445FA9">
        <w:rPr>
          <w:rFonts w:hint="eastAsia"/>
        </w:rPr>
        <w:t>港務公司</w:t>
      </w:r>
      <w:r w:rsidR="00A5516C" w:rsidRPr="00445FA9">
        <w:rPr>
          <w:rFonts w:hint="eastAsia"/>
        </w:rPr>
        <w:t>為</w:t>
      </w:r>
      <w:r w:rsidRPr="00445FA9">
        <w:rPr>
          <w:rFonts w:hint="eastAsia"/>
        </w:rPr>
        <w:t>配合新南向政策拓展海外市場及國際化布局，</w:t>
      </w:r>
      <w:r w:rsidR="00A5516C" w:rsidRPr="00445FA9">
        <w:rPr>
          <w:rFonts w:hint="eastAsia"/>
        </w:rPr>
        <w:t>於</w:t>
      </w:r>
      <w:r w:rsidRPr="00445FA9">
        <w:rPr>
          <w:rFonts w:hint="eastAsia"/>
        </w:rPr>
        <w:t>107年10月與國內航港及物流等公民營業者</w:t>
      </w:r>
      <w:r w:rsidRPr="00445FA9">
        <w:rPr>
          <w:rStyle w:val="aff2"/>
        </w:rPr>
        <w:footnoteReference w:id="1"/>
      </w:r>
      <w:r w:rsidRPr="00445FA9">
        <w:rPr>
          <w:rFonts w:hint="eastAsia"/>
        </w:rPr>
        <w:t>合資成立台源公司，以</w:t>
      </w:r>
      <w:r w:rsidR="00DA2601" w:rsidRPr="00445FA9">
        <w:rPr>
          <w:rFonts w:hint="eastAsia"/>
        </w:rPr>
        <w:t>推</w:t>
      </w:r>
      <w:bookmarkStart w:id="31" w:name="_Hlk224139232"/>
      <w:r w:rsidR="00DA2601" w:rsidRPr="00445FA9">
        <w:rPr>
          <w:rFonts w:hint="eastAsia"/>
        </w:rPr>
        <w:t>動</w:t>
      </w:r>
      <w:r w:rsidRPr="00445FA9">
        <w:rPr>
          <w:rFonts w:hint="eastAsia"/>
        </w:rPr>
        <w:t>新南向國家航運網路連結</w:t>
      </w:r>
      <w:bookmarkEnd w:id="31"/>
      <w:r w:rsidRPr="00445FA9">
        <w:rPr>
          <w:rFonts w:hint="eastAsia"/>
        </w:rPr>
        <w:t>，截至113年底</w:t>
      </w:r>
      <w:r w:rsidR="00A5516C" w:rsidRPr="00445FA9">
        <w:rPr>
          <w:rFonts w:hint="eastAsia"/>
        </w:rPr>
        <w:t>，</w:t>
      </w:r>
      <w:r w:rsidRPr="00445FA9">
        <w:rPr>
          <w:rFonts w:hint="eastAsia"/>
        </w:rPr>
        <w:t>港務公司持股36%，並為台源公司最大股東，</w:t>
      </w:r>
      <w:r w:rsidR="00A5516C" w:rsidRPr="00445FA9">
        <w:rPr>
          <w:rFonts w:hint="eastAsia"/>
        </w:rPr>
        <w:t>謹</w:t>
      </w:r>
      <w:r w:rsidRPr="00445FA9">
        <w:rPr>
          <w:rFonts w:hint="eastAsia"/>
        </w:rPr>
        <w:t>說明如</w:t>
      </w:r>
      <w:r w:rsidR="00A5516C" w:rsidRPr="00445FA9">
        <w:rPr>
          <w:rFonts w:hint="eastAsia"/>
        </w:rPr>
        <w:t>次</w:t>
      </w:r>
      <w:r w:rsidRPr="00445FA9">
        <w:rPr>
          <w:rFonts w:hint="eastAsia"/>
        </w:rPr>
        <w:t>:</w:t>
      </w:r>
    </w:p>
    <w:p w:rsidR="00DB5E4A" w:rsidRPr="00445FA9" w:rsidRDefault="00DB5E4A" w:rsidP="003F3278">
      <w:pPr>
        <w:pStyle w:val="123"/>
        <w:numPr>
          <w:ilvl w:val="0"/>
          <w:numId w:val="14"/>
        </w:numPr>
        <w:ind w:leftChars="0" w:firstLineChars="0"/>
        <w:rPr>
          <w:rStyle w:val="1230"/>
        </w:rPr>
      </w:pPr>
      <w:r w:rsidRPr="00445FA9">
        <w:rPr>
          <w:rStyle w:val="1230"/>
          <w:rFonts w:hint="eastAsia"/>
          <w:b/>
          <w:bCs/>
        </w:rPr>
        <w:t>原計畫自108年起陸續於泰國、越南及菲律賓成立合資公司</w:t>
      </w:r>
      <w:r w:rsidR="00B73A51">
        <w:rPr>
          <w:rStyle w:val="1230"/>
          <w:rFonts w:ascii="新細明體" w:eastAsia="新細明體" w:hAnsi="新細明體" w:hint="eastAsia"/>
          <w:b/>
          <w:bCs/>
        </w:rPr>
        <w:t>：</w:t>
      </w:r>
    </w:p>
    <w:p w:rsidR="00DB5E4A" w:rsidRPr="00445FA9" w:rsidRDefault="00DB5E4A" w:rsidP="008336E8">
      <w:pPr>
        <w:pStyle w:val="123"/>
        <w:ind w:leftChars="0" w:left="1210" w:firstLineChars="0" w:firstLine="0"/>
      </w:pPr>
      <w:r w:rsidRPr="00445FA9">
        <w:rPr>
          <w:rFonts w:hint="eastAsia"/>
        </w:rPr>
        <w:t>據台源公司計畫書</w:t>
      </w:r>
      <w:r w:rsidRPr="00445FA9">
        <w:rPr>
          <w:rStyle w:val="aff2"/>
        </w:rPr>
        <w:footnoteReference w:id="2"/>
      </w:r>
      <w:r w:rsidRPr="00445FA9">
        <w:rPr>
          <w:rFonts w:hint="eastAsia"/>
        </w:rPr>
        <w:t>，</w:t>
      </w:r>
      <w:r w:rsidR="00B73A51">
        <w:rPr>
          <w:rFonts w:hint="eastAsia"/>
        </w:rPr>
        <w:t>規劃</w:t>
      </w:r>
      <w:r w:rsidRPr="00445FA9">
        <w:rPr>
          <w:rFonts w:hint="eastAsia"/>
        </w:rPr>
        <w:t>於</w:t>
      </w:r>
      <w:r w:rsidRPr="00445FA9">
        <w:t>新南向</w:t>
      </w:r>
      <w:r w:rsidRPr="00445FA9">
        <w:rPr>
          <w:rFonts w:hint="eastAsia"/>
        </w:rPr>
        <w:t>國家港口轉投資或成立</w:t>
      </w:r>
      <w:r w:rsidRPr="00445FA9">
        <w:t>當地公司</w:t>
      </w:r>
      <w:r w:rsidRPr="00445FA9">
        <w:rPr>
          <w:rStyle w:val="aff2"/>
        </w:rPr>
        <w:footnoteReference w:id="3"/>
      </w:r>
      <w:r w:rsidRPr="00445FA9">
        <w:t>，</w:t>
      </w:r>
      <w:r w:rsidRPr="00445FA9">
        <w:rPr>
          <w:rFonts w:hint="eastAsia"/>
        </w:rPr>
        <w:t>用以經營</w:t>
      </w:r>
      <w:r w:rsidRPr="00445FA9">
        <w:t>貨櫃堆場</w:t>
      </w:r>
      <w:r w:rsidRPr="00445FA9">
        <w:rPr>
          <w:rFonts w:hint="eastAsia"/>
        </w:rPr>
        <w:t>及一般倉儲業務，預計</w:t>
      </w:r>
      <w:r w:rsidRPr="00445FA9">
        <w:t>108</w:t>
      </w:r>
      <w:r w:rsidRPr="00445FA9">
        <w:rPr>
          <w:rFonts w:hint="eastAsia"/>
        </w:rPr>
        <w:t>年於印尼雅加達成立第1個據點後，往後每半年分別於泰國、越南及菲律賓成立合資公司</w:t>
      </w:r>
      <w:r w:rsidRPr="00445FA9">
        <w:rPr>
          <w:rStyle w:val="aff2"/>
        </w:rPr>
        <w:footnoteReference w:id="4"/>
      </w:r>
      <w:r w:rsidRPr="00445FA9">
        <w:rPr>
          <w:rFonts w:hint="eastAsia"/>
        </w:rPr>
        <w:t>。</w:t>
      </w:r>
    </w:p>
    <w:p w:rsidR="00DB5E4A" w:rsidRPr="00445FA9" w:rsidRDefault="00DB5E4A" w:rsidP="00405AED">
      <w:pPr>
        <w:pStyle w:val="123"/>
        <w:numPr>
          <w:ilvl w:val="0"/>
          <w:numId w:val="14"/>
        </w:numPr>
        <w:ind w:leftChars="0" w:firstLineChars="0"/>
        <w:rPr>
          <w:b/>
          <w:bCs/>
        </w:rPr>
      </w:pPr>
      <w:r w:rsidRPr="00445FA9">
        <w:rPr>
          <w:rStyle w:val="1230"/>
          <w:rFonts w:hint="eastAsia"/>
          <w:b/>
          <w:bCs/>
        </w:rPr>
        <w:lastRenderedPageBreak/>
        <w:t>截至113年底</w:t>
      </w:r>
      <w:r w:rsidR="003A2CA2" w:rsidRPr="00445FA9">
        <w:rPr>
          <w:rStyle w:val="1230"/>
          <w:rFonts w:hint="eastAsia"/>
          <w:b/>
          <w:bCs/>
        </w:rPr>
        <w:t>，新南向國家</w:t>
      </w:r>
      <w:r w:rsidRPr="00445FA9">
        <w:rPr>
          <w:rStyle w:val="1230"/>
          <w:rFonts w:hint="eastAsia"/>
          <w:b/>
          <w:bCs/>
        </w:rPr>
        <w:t>轉投資事業僅</w:t>
      </w:r>
      <w:r w:rsidR="004765D5" w:rsidRPr="00445FA9">
        <w:rPr>
          <w:rStyle w:val="1230"/>
          <w:rFonts w:hint="eastAsia"/>
          <w:b/>
          <w:bCs/>
        </w:rPr>
        <w:t>餘</w:t>
      </w:r>
      <w:r w:rsidR="00570217">
        <w:rPr>
          <w:rStyle w:val="1230"/>
          <w:rFonts w:hint="eastAsia"/>
          <w:b/>
          <w:bCs/>
        </w:rPr>
        <w:t>台源印尼</w:t>
      </w:r>
      <w:r w:rsidRPr="00445FA9">
        <w:rPr>
          <w:b/>
          <w:bCs/>
        </w:rPr>
        <w:t>公司</w:t>
      </w:r>
      <w:r w:rsidRPr="00445FA9">
        <w:rPr>
          <w:rStyle w:val="aff2"/>
        </w:rPr>
        <w:footnoteReference w:id="5"/>
      </w:r>
      <w:r w:rsidRPr="00445FA9">
        <w:rPr>
          <w:rFonts w:ascii="新細明體" w:eastAsia="新細明體" w:hAnsi="新細明體" w:hint="eastAsia"/>
          <w:b/>
          <w:bCs/>
        </w:rPr>
        <w:t>：</w:t>
      </w:r>
      <w:r w:rsidRPr="00445FA9">
        <w:rPr>
          <w:rFonts w:hint="eastAsia"/>
        </w:rPr>
        <w:t>台源公司109至113年</w:t>
      </w:r>
      <w:r w:rsidR="003A2CA2" w:rsidRPr="00445FA9">
        <w:rPr>
          <w:rFonts w:hint="eastAsia"/>
        </w:rPr>
        <w:t>度</w:t>
      </w:r>
      <w:r w:rsidRPr="00445FA9">
        <w:rPr>
          <w:rFonts w:hint="eastAsia"/>
        </w:rPr>
        <w:t>間共計轉投資</w:t>
      </w:r>
      <w:r w:rsidRPr="00445FA9">
        <w:t>臺馬紅橋倉儲公司</w:t>
      </w:r>
      <w:r w:rsidRPr="00445FA9">
        <w:rPr>
          <w:rFonts w:hint="eastAsia"/>
        </w:rPr>
        <w:t>(下稱臺馬公司)及</w:t>
      </w:r>
      <w:r w:rsidRPr="00445FA9">
        <w:t>台源印尼股份有限公司</w:t>
      </w:r>
      <w:r w:rsidRPr="00445FA9">
        <w:rPr>
          <w:rFonts w:hint="eastAsia"/>
        </w:rPr>
        <w:t>(下稱台源印尼公司)</w:t>
      </w:r>
      <w:r w:rsidR="00570217">
        <w:rPr>
          <w:rFonts w:hint="eastAsia"/>
        </w:rPr>
        <w:t>兩家公司</w:t>
      </w:r>
      <w:r w:rsidRPr="00445FA9">
        <w:rPr>
          <w:rFonts w:hint="eastAsia"/>
        </w:rPr>
        <w:t>，110至113年度</w:t>
      </w:r>
      <w:r w:rsidR="00B73A51">
        <w:rPr>
          <w:rFonts w:hint="eastAsia"/>
        </w:rPr>
        <w:t>認列</w:t>
      </w:r>
      <w:r w:rsidRPr="00445FA9">
        <w:rPr>
          <w:rFonts w:hint="eastAsia"/>
        </w:rPr>
        <w:t>轉投資收益</w:t>
      </w:r>
      <w:r w:rsidR="003A2CA2" w:rsidRPr="00445FA9">
        <w:rPr>
          <w:rFonts w:hint="eastAsia"/>
        </w:rPr>
        <w:t>合計數</w:t>
      </w:r>
      <w:r w:rsidRPr="00445FA9">
        <w:rPr>
          <w:rFonts w:hint="eastAsia"/>
        </w:rPr>
        <w:t>介於106萬9千元至</w:t>
      </w:r>
      <w:r w:rsidR="00B73A51">
        <w:rPr>
          <w:rFonts w:hint="eastAsia"/>
        </w:rPr>
        <w:t>3</w:t>
      </w:r>
      <w:r w:rsidRPr="00445FA9">
        <w:rPr>
          <w:rFonts w:hint="eastAsia"/>
        </w:rPr>
        <w:t>80萬1千元間(詳表1)</w:t>
      </w:r>
      <w:r w:rsidRPr="00445FA9">
        <w:rPr>
          <w:rFonts w:hAnsi="標楷體" w:hint="eastAsia"/>
        </w:rPr>
        <w:t>；</w:t>
      </w:r>
      <w:r w:rsidRPr="00445FA9">
        <w:rPr>
          <w:rFonts w:hint="eastAsia"/>
        </w:rPr>
        <w:t>另因臺馬公司</w:t>
      </w:r>
      <w:r w:rsidRPr="00445FA9">
        <w:t>未改善</w:t>
      </w:r>
      <w:r w:rsidRPr="00445FA9">
        <w:rPr>
          <w:rFonts w:hint="eastAsia"/>
        </w:rPr>
        <w:t>虧損情形</w:t>
      </w:r>
      <w:r w:rsidRPr="00445FA9">
        <w:t>，台源公司於113年12月處分持股</w:t>
      </w:r>
      <w:r w:rsidRPr="00445FA9">
        <w:rPr>
          <w:rFonts w:hint="eastAsia"/>
        </w:rPr>
        <w:t>，故</w:t>
      </w:r>
      <w:r w:rsidR="003A2CA2" w:rsidRPr="00445FA9">
        <w:rPr>
          <w:rFonts w:hint="eastAsia"/>
        </w:rPr>
        <w:t>截至</w:t>
      </w:r>
      <w:r w:rsidRPr="00445FA9">
        <w:rPr>
          <w:rFonts w:hint="eastAsia"/>
        </w:rPr>
        <w:t>113年底</w:t>
      </w:r>
      <w:r w:rsidR="003A2CA2" w:rsidRPr="00445FA9">
        <w:rPr>
          <w:rFonts w:hint="eastAsia"/>
        </w:rPr>
        <w:t>，台源公司轉</w:t>
      </w:r>
      <w:r w:rsidRPr="00445FA9">
        <w:rPr>
          <w:rFonts w:hint="eastAsia"/>
        </w:rPr>
        <w:t>投資新南向國家航港相關業務之事業僅餘台源印尼公司。</w:t>
      </w:r>
    </w:p>
    <w:p w:rsidR="00DB5E4A" w:rsidRPr="00445FA9" w:rsidRDefault="00DB5E4A" w:rsidP="00BD6BF3">
      <w:pPr>
        <w:widowControl/>
        <w:ind w:leftChars="1" w:left="766" w:hangingChars="269" w:hanging="763"/>
        <w:rPr>
          <w:b/>
          <w:szCs w:val="20"/>
        </w:rPr>
      </w:pPr>
      <w:r w:rsidRPr="00445FA9">
        <w:rPr>
          <w:b/>
          <w:szCs w:val="20"/>
        </w:rPr>
        <w:t>表</w:t>
      </w:r>
      <w:r w:rsidRPr="00445FA9">
        <w:rPr>
          <w:rFonts w:hint="eastAsia"/>
          <w:b/>
          <w:szCs w:val="20"/>
        </w:rPr>
        <w:t>1 109至113年度</w:t>
      </w:r>
      <w:r w:rsidRPr="00445FA9">
        <w:rPr>
          <w:b/>
          <w:szCs w:val="20"/>
        </w:rPr>
        <w:t>台源公</w:t>
      </w:r>
      <w:r w:rsidRPr="00445FA9">
        <w:rPr>
          <w:rFonts w:hint="eastAsia"/>
          <w:b/>
          <w:szCs w:val="20"/>
        </w:rPr>
        <w:t>司轉</w:t>
      </w:r>
      <w:r w:rsidRPr="00445FA9">
        <w:rPr>
          <w:b/>
          <w:szCs w:val="20"/>
        </w:rPr>
        <w:t>投資</w:t>
      </w:r>
      <w:r w:rsidRPr="00445FA9">
        <w:rPr>
          <w:rFonts w:hint="eastAsia"/>
          <w:b/>
          <w:szCs w:val="20"/>
        </w:rPr>
        <w:t>公司及認列投資損益明細</w:t>
      </w:r>
      <w:r w:rsidRPr="00445FA9">
        <w:rPr>
          <w:b/>
          <w:szCs w:val="20"/>
        </w:rPr>
        <w:t>表</w:t>
      </w:r>
    </w:p>
    <w:p w:rsidR="00DB5E4A" w:rsidRPr="00445FA9" w:rsidRDefault="00DB5E4A" w:rsidP="008336E8">
      <w:pPr>
        <w:pStyle w:val="142"/>
        <w:jc w:val="right"/>
        <w:rPr>
          <w:b/>
          <w:szCs w:val="20"/>
        </w:rPr>
      </w:pPr>
      <w:r w:rsidRPr="00445FA9">
        <w:t>單位：新臺幣千元</w:t>
      </w:r>
    </w:p>
    <w:tbl>
      <w:tblPr>
        <w:tblW w:w="8500" w:type="dxa"/>
        <w:tblInd w:w="33" w:type="dxa"/>
        <w:tblLayout w:type="fixed"/>
        <w:tblCellMar>
          <w:left w:w="28" w:type="dxa"/>
          <w:right w:w="28" w:type="dxa"/>
        </w:tblCellMar>
        <w:tblLook w:val="04A0" w:firstRow="1" w:lastRow="0" w:firstColumn="1" w:lastColumn="0" w:noHBand="0" w:noVBand="1"/>
      </w:tblPr>
      <w:tblGrid>
        <w:gridCol w:w="1641"/>
        <w:gridCol w:w="2286"/>
        <w:gridCol w:w="2286"/>
        <w:gridCol w:w="2287"/>
      </w:tblGrid>
      <w:tr w:rsidR="00445FA9" w:rsidRPr="00445FA9" w:rsidTr="009E064E">
        <w:trPr>
          <w:trHeight w:val="181"/>
          <w:tblHeader/>
        </w:trPr>
        <w:tc>
          <w:tcPr>
            <w:tcW w:w="1641" w:type="dxa"/>
            <w:vMerge w:val="restart"/>
            <w:tcBorders>
              <w:top w:val="single" w:sz="12" w:space="0" w:color="auto"/>
              <w:left w:val="single" w:sz="12" w:space="0" w:color="auto"/>
              <w:bottom w:val="single" w:sz="4" w:space="0" w:color="auto"/>
              <w:right w:val="single" w:sz="4" w:space="0" w:color="auto"/>
            </w:tcBorders>
            <w:noWrap/>
            <w:vAlign w:val="center"/>
            <w:hideMark/>
          </w:tcPr>
          <w:p w:rsidR="00DB5E4A" w:rsidRPr="00445FA9" w:rsidRDefault="00DB5E4A" w:rsidP="001F4DDD">
            <w:pPr>
              <w:pStyle w:val="142"/>
            </w:pPr>
            <w:r w:rsidRPr="00445FA9">
              <w:rPr>
                <w:rFonts w:hint="eastAsia"/>
              </w:rPr>
              <w:t>年度</w:t>
            </w:r>
          </w:p>
        </w:tc>
        <w:tc>
          <w:tcPr>
            <w:tcW w:w="6859" w:type="dxa"/>
            <w:gridSpan w:val="3"/>
            <w:tcBorders>
              <w:top w:val="single" w:sz="12" w:space="0" w:color="auto"/>
              <w:left w:val="nil"/>
              <w:bottom w:val="single" w:sz="4" w:space="0" w:color="auto"/>
              <w:right w:val="single" w:sz="12" w:space="0" w:color="auto"/>
            </w:tcBorders>
            <w:noWrap/>
            <w:vAlign w:val="center"/>
            <w:hideMark/>
          </w:tcPr>
          <w:p w:rsidR="00DB5E4A" w:rsidRPr="00445FA9" w:rsidRDefault="00DB5E4A" w:rsidP="001F4DDD">
            <w:pPr>
              <w:pStyle w:val="142"/>
              <w:jc w:val="center"/>
              <w:rPr>
                <w:rFonts w:hint="eastAsia"/>
              </w:rPr>
            </w:pPr>
            <w:r w:rsidRPr="00445FA9">
              <w:rPr>
                <w:rFonts w:hint="eastAsia"/>
              </w:rPr>
              <w:t>台源公司認列投資損益</w:t>
            </w:r>
          </w:p>
        </w:tc>
      </w:tr>
      <w:tr w:rsidR="00445FA9" w:rsidRPr="00445FA9" w:rsidTr="009E064E">
        <w:trPr>
          <w:trHeight w:val="234"/>
          <w:tblHeader/>
        </w:trPr>
        <w:tc>
          <w:tcPr>
            <w:tcW w:w="1641" w:type="dxa"/>
            <w:vMerge/>
            <w:tcBorders>
              <w:top w:val="single" w:sz="4" w:space="0" w:color="auto"/>
              <w:left w:val="single" w:sz="12" w:space="0" w:color="auto"/>
              <w:bottom w:val="single" w:sz="4" w:space="0" w:color="auto"/>
              <w:right w:val="single" w:sz="4" w:space="0" w:color="auto"/>
            </w:tcBorders>
            <w:vAlign w:val="center"/>
            <w:hideMark/>
          </w:tcPr>
          <w:p w:rsidR="00DB5E4A" w:rsidRPr="00445FA9" w:rsidRDefault="00DB5E4A" w:rsidP="001F4DDD">
            <w:pPr>
              <w:pStyle w:val="142"/>
            </w:pPr>
          </w:p>
        </w:tc>
        <w:tc>
          <w:tcPr>
            <w:tcW w:w="2286" w:type="dxa"/>
            <w:tcBorders>
              <w:top w:val="single" w:sz="4" w:space="0" w:color="auto"/>
              <w:left w:val="nil"/>
              <w:bottom w:val="single" w:sz="4" w:space="0" w:color="auto"/>
              <w:right w:val="single" w:sz="4" w:space="0" w:color="auto"/>
            </w:tcBorders>
            <w:vAlign w:val="center"/>
            <w:hideMark/>
          </w:tcPr>
          <w:p w:rsidR="00DB5E4A" w:rsidRPr="00445FA9" w:rsidRDefault="00DB5E4A" w:rsidP="001F4DDD">
            <w:pPr>
              <w:pStyle w:val="142"/>
              <w:jc w:val="center"/>
              <w:rPr>
                <w:rFonts w:hint="eastAsia"/>
              </w:rPr>
            </w:pPr>
            <w:r w:rsidRPr="00445FA9">
              <w:rPr>
                <w:rFonts w:hint="eastAsia"/>
              </w:rPr>
              <w:t>臺馬公司</w:t>
            </w:r>
          </w:p>
        </w:tc>
        <w:tc>
          <w:tcPr>
            <w:tcW w:w="2286" w:type="dxa"/>
            <w:tcBorders>
              <w:top w:val="single" w:sz="4" w:space="0" w:color="auto"/>
              <w:left w:val="nil"/>
              <w:bottom w:val="single" w:sz="4" w:space="0" w:color="auto"/>
              <w:right w:val="single" w:sz="4" w:space="0" w:color="auto"/>
            </w:tcBorders>
            <w:vAlign w:val="center"/>
            <w:hideMark/>
          </w:tcPr>
          <w:p w:rsidR="00DB5E4A" w:rsidRPr="00445FA9" w:rsidRDefault="00DB5E4A" w:rsidP="001F4DDD">
            <w:pPr>
              <w:pStyle w:val="142"/>
              <w:jc w:val="center"/>
              <w:rPr>
                <w:rFonts w:hint="eastAsia"/>
              </w:rPr>
            </w:pPr>
            <w:r w:rsidRPr="00445FA9">
              <w:rPr>
                <w:rFonts w:hint="eastAsia"/>
              </w:rPr>
              <w:t>台源印尼公司</w:t>
            </w:r>
          </w:p>
        </w:tc>
        <w:tc>
          <w:tcPr>
            <w:tcW w:w="2287" w:type="dxa"/>
            <w:tcBorders>
              <w:top w:val="single" w:sz="4" w:space="0" w:color="auto"/>
              <w:left w:val="nil"/>
              <w:bottom w:val="single" w:sz="4" w:space="0" w:color="auto"/>
              <w:right w:val="single" w:sz="12" w:space="0" w:color="auto"/>
            </w:tcBorders>
            <w:noWrap/>
            <w:vAlign w:val="center"/>
            <w:hideMark/>
          </w:tcPr>
          <w:p w:rsidR="00DB5E4A" w:rsidRPr="00445FA9" w:rsidRDefault="00DB5E4A" w:rsidP="001F4DDD">
            <w:pPr>
              <w:pStyle w:val="142"/>
              <w:jc w:val="center"/>
              <w:rPr>
                <w:rFonts w:hint="eastAsia"/>
              </w:rPr>
            </w:pPr>
            <w:r w:rsidRPr="00445FA9">
              <w:rPr>
                <w:rFonts w:hint="eastAsia"/>
              </w:rPr>
              <w:t>合計</w:t>
            </w:r>
          </w:p>
        </w:tc>
      </w:tr>
      <w:tr w:rsidR="00445FA9" w:rsidRPr="00445FA9" w:rsidTr="009E064E">
        <w:trPr>
          <w:trHeight w:val="193"/>
        </w:trPr>
        <w:tc>
          <w:tcPr>
            <w:tcW w:w="1641" w:type="dxa"/>
            <w:tcBorders>
              <w:top w:val="single" w:sz="4" w:space="0" w:color="auto"/>
              <w:left w:val="single" w:sz="12" w:space="0" w:color="auto"/>
              <w:bottom w:val="single" w:sz="4" w:space="0" w:color="auto"/>
              <w:right w:val="single" w:sz="4" w:space="0" w:color="auto"/>
            </w:tcBorders>
            <w:vAlign w:val="center"/>
            <w:hideMark/>
          </w:tcPr>
          <w:p w:rsidR="00DB5E4A" w:rsidRPr="00445FA9" w:rsidRDefault="00DB5E4A" w:rsidP="00D703F3">
            <w:pPr>
              <w:pStyle w:val="142"/>
              <w:rPr>
                <w:rFonts w:hint="eastAsia"/>
              </w:rPr>
            </w:pPr>
            <w:r w:rsidRPr="00445FA9">
              <w:rPr>
                <w:rFonts w:hint="eastAsia"/>
              </w:rPr>
              <w:t>109年度</w:t>
            </w:r>
          </w:p>
        </w:tc>
        <w:tc>
          <w:tcPr>
            <w:tcW w:w="2286" w:type="dxa"/>
            <w:tcBorders>
              <w:top w:val="single" w:sz="4" w:space="0" w:color="auto"/>
              <w:left w:val="nil"/>
              <w:bottom w:val="single" w:sz="4" w:space="0" w:color="auto"/>
              <w:right w:val="single" w:sz="4" w:space="0" w:color="auto"/>
            </w:tcBorders>
            <w:vAlign w:val="center"/>
            <w:hideMark/>
          </w:tcPr>
          <w:p w:rsidR="00DB5E4A" w:rsidRPr="00445FA9" w:rsidRDefault="00DB5E4A" w:rsidP="00D703F3">
            <w:pPr>
              <w:pStyle w:val="142"/>
              <w:jc w:val="right"/>
              <w:rPr>
                <w:rFonts w:hint="eastAsia"/>
              </w:rPr>
            </w:pPr>
            <w:r w:rsidRPr="00445FA9">
              <w:rPr>
                <w:rFonts w:hint="eastAsia"/>
              </w:rPr>
              <w:t>-30</w:t>
            </w:r>
          </w:p>
        </w:tc>
        <w:tc>
          <w:tcPr>
            <w:tcW w:w="2286" w:type="dxa"/>
            <w:tcBorders>
              <w:top w:val="single" w:sz="4" w:space="0" w:color="auto"/>
              <w:left w:val="nil"/>
              <w:bottom w:val="single" w:sz="4" w:space="0" w:color="auto"/>
              <w:right w:val="single" w:sz="4" w:space="0" w:color="auto"/>
              <w:tr2bl w:val="single" w:sz="4" w:space="0" w:color="auto"/>
            </w:tcBorders>
            <w:vAlign w:val="center"/>
            <w:hideMark/>
          </w:tcPr>
          <w:p w:rsidR="00DB5E4A" w:rsidRPr="00445FA9" w:rsidRDefault="00DB5E4A" w:rsidP="00D703F3">
            <w:pPr>
              <w:pStyle w:val="142"/>
              <w:jc w:val="right"/>
              <w:rPr>
                <w:rFonts w:hint="eastAsia"/>
              </w:rPr>
            </w:pPr>
          </w:p>
        </w:tc>
        <w:tc>
          <w:tcPr>
            <w:tcW w:w="2287" w:type="dxa"/>
            <w:tcBorders>
              <w:top w:val="single" w:sz="4" w:space="0" w:color="auto"/>
              <w:left w:val="nil"/>
              <w:bottom w:val="single" w:sz="4" w:space="0" w:color="auto"/>
              <w:right w:val="single" w:sz="12" w:space="0" w:color="auto"/>
            </w:tcBorders>
            <w:noWrap/>
            <w:vAlign w:val="center"/>
            <w:hideMark/>
          </w:tcPr>
          <w:p w:rsidR="00DB5E4A" w:rsidRPr="00445FA9" w:rsidRDefault="00DB5E4A" w:rsidP="00D703F3">
            <w:pPr>
              <w:pStyle w:val="142"/>
              <w:jc w:val="right"/>
            </w:pPr>
            <w:r w:rsidRPr="00445FA9">
              <w:t>-</w:t>
            </w:r>
            <w:r w:rsidRPr="00445FA9">
              <w:rPr>
                <w:rFonts w:hint="eastAsia"/>
              </w:rPr>
              <w:t>3</w:t>
            </w:r>
            <w:r w:rsidRPr="00445FA9">
              <w:t>0</w:t>
            </w:r>
          </w:p>
        </w:tc>
      </w:tr>
      <w:tr w:rsidR="00445FA9" w:rsidRPr="00445FA9" w:rsidTr="009E064E">
        <w:trPr>
          <w:trHeight w:val="193"/>
        </w:trPr>
        <w:tc>
          <w:tcPr>
            <w:tcW w:w="1641" w:type="dxa"/>
            <w:tcBorders>
              <w:top w:val="single" w:sz="4" w:space="0" w:color="auto"/>
              <w:left w:val="single" w:sz="12" w:space="0" w:color="auto"/>
              <w:bottom w:val="single" w:sz="4" w:space="0" w:color="auto"/>
              <w:right w:val="single" w:sz="4" w:space="0" w:color="auto"/>
            </w:tcBorders>
            <w:vAlign w:val="center"/>
            <w:hideMark/>
          </w:tcPr>
          <w:p w:rsidR="00DB5E4A" w:rsidRPr="00445FA9" w:rsidRDefault="00DB5E4A" w:rsidP="00D703F3">
            <w:pPr>
              <w:pStyle w:val="142"/>
              <w:rPr>
                <w:rFonts w:hint="eastAsia"/>
              </w:rPr>
            </w:pPr>
            <w:r w:rsidRPr="00445FA9">
              <w:rPr>
                <w:rFonts w:hint="eastAsia"/>
              </w:rPr>
              <w:t>110年度</w:t>
            </w:r>
          </w:p>
        </w:tc>
        <w:tc>
          <w:tcPr>
            <w:tcW w:w="2286" w:type="dxa"/>
            <w:tcBorders>
              <w:top w:val="single" w:sz="4" w:space="0" w:color="auto"/>
              <w:left w:val="nil"/>
              <w:bottom w:val="single" w:sz="4" w:space="0" w:color="auto"/>
              <w:right w:val="single" w:sz="4" w:space="0" w:color="auto"/>
            </w:tcBorders>
            <w:vAlign w:val="center"/>
            <w:hideMark/>
          </w:tcPr>
          <w:p w:rsidR="00DB5E4A" w:rsidRPr="00445FA9" w:rsidRDefault="00DB5E4A" w:rsidP="00D703F3">
            <w:pPr>
              <w:pStyle w:val="142"/>
              <w:jc w:val="right"/>
              <w:rPr>
                <w:rFonts w:hint="eastAsia"/>
              </w:rPr>
            </w:pPr>
            <w:r w:rsidRPr="00445FA9">
              <w:rPr>
                <w:rFonts w:hint="eastAsia"/>
              </w:rPr>
              <w:t>1,062</w:t>
            </w:r>
          </w:p>
        </w:tc>
        <w:tc>
          <w:tcPr>
            <w:tcW w:w="2286" w:type="dxa"/>
            <w:tcBorders>
              <w:top w:val="single" w:sz="4" w:space="0" w:color="auto"/>
              <w:left w:val="nil"/>
              <w:bottom w:val="single" w:sz="4" w:space="0" w:color="auto"/>
              <w:right w:val="single" w:sz="4" w:space="0" w:color="auto"/>
            </w:tcBorders>
            <w:vAlign w:val="center"/>
            <w:hideMark/>
          </w:tcPr>
          <w:p w:rsidR="00DB5E4A" w:rsidRPr="00445FA9" w:rsidRDefault="00DB5E4A" w:rsidP="00D703F3">
            <w:pPr>
              <w:pStyle w:val="142"/>
              <w:jc w:val="right"/>
              <w:rPr>
                <w:rFonts w:hint="eastAsia"/>
              </w:rPr>
            </w:pPr>
            <w:r w:rsidRPr="00445FA9">
              <w:rPr>
                <w:rFonts w:hint="eastAsia"/>
              </w:rPr>
              <w:t>7</w:t>
            </w:r>
          </w:p>
        </w:tc>
        <w:tc>
          <w:tcPr>
            <w:tcW w:w="2287" w:type="dxa"/>
            <w:tcBorders>
              <w:top w:val="single" w:sz="4" w:space="0" w:color="auto"/>
              <w:left w:val="nil"/>
              <w:bottom w:val="single" w:sz="4" w:space="0" w:color="auto"/>
              <w:right w:val="single" w:sz="12" w:space="0" w:color="auto"/>
            </w:tcBorders>
            <w:noWrap/>
            <w:vAlign w:val="center"/>
            <w:hideMark/>
          </w:tcPr>
          <w:p w:rsidR="00DB5E4A" w:rsidRPr="00445FA9" w:rsidRDefault="00DB5E4A" w:rsidP="00D703F3">
            <w:pPr>
              <w:pStyle w:val="142"/>
              <w:jc w:val="right"/>
            </w:pPr>
            <w:r w:rsidRPr="00445FA9">
              <w:rPr>
                <w:rFonts w:hint="eastAsia"/>
              </w:rPr>
              <w:t>1,069</w:t>
            </w:r>
          </w:p>
        </w:tc>
      </w:tr>
      <w:tr w:rsidR="00445FA9" w:rsidRPr="00445FA9" w:rsidTr="009E064E">
        <w:trPr>
          <w:trHeight w:val="193"/>
        </w:trPr>
        <w:tc>
          <w:tcPr>
            <w:tcW w:w="1641" w:type="dxa"/>
            <w:tcBorders>
              <w:top w:val="single" w:sz="4" w:space="0" w:color="auto"/>
              <w:left w:val="single" w:sz="12" w:space="0" w:color="auto"/>
              <w:bottom w:val="single" w:sz="4" w:space="0" w:color="auto"/>
              <w:right w:val="single" w:sz="4" w:space="0" w:color="auto"/>
            </w:tcBorders>
            <w:vAlign w:val="center"/>
            <w:hideMark/>
          </w:tcPr>
          <w:p w:rsidR="00DB5E4A" w:rsidRPr="00445FA9" w:rsidRDefault="00DB5E4A" w:rsidP="00D703F3">
            <w:pPr>
              <w:pStyle w:val="142"/>
              <w:rPr>
                <w:rFonts w:hint="eastAsia"/>
              </w:rPr>
            </w:pPr>
            <w:r w:rsidRPr="00445FA9">
              <w:rPr>
                <w:rFonts w:hint="eastAsia"/>
              </w:rPr>
              <w:t>111年度</w:t>
            </w:r>
          </w:p>
        </w:tc>
        <w:tc>
          <w:tcPr>
            <w:tcW w:w="2286" w:type="dxa"/>
            <w:tcBorders>
              <w:top w:val="single" w:sz="4" w:space="0" w:color="auto"/>
              <w:left w:val="nil"/>
              <w:bottom w:val="single" w:sz="4" w:space="0" w:color="auto"/>
              <w:right w:val="single" w:sz="4" w:space="0" w:color="auto"/>
            </w:tcBorders>
            <w:vAlign w:val="center"/>
            <w:hideMark/>
          </w:tcPr>
          <w:p w:rsidR="00DB5E4A" w:rsidRPr="00445FA9" w:rsidRDefault="00DB5E4A" w:rsidP="00D703F3">
            <w:pPr>
              <w:pStyle w:val="142"/>
              <w:jc w:val="right"/>
              <w:rPr>
                <w:rFonts w:hint="eastAsia"/>
              </w:rPr>
            </w:pPr>
            <w:r w:rsidRPr="00445FA9">
              <w:rPr>
                <w:rFonts w:hint="eastAsia"/>
              </w:rPr>
              <w:t>1,278</w:t>
            </w:r>
          </w:p>
        </w:tc>
        <w:tc>
          <w:tcPr>
            <w:tcW w:w="2286" w:type="dxa"/>
            <w:tcBorders>
              <w:top w:val="single" w:sz="4" w:space="0" w:color="auto"/>
              <w:left w:val="nil"/>
              <w:bottom w:val="single" w:sz="4" w:space="0" w:color="auto"/>
              <w:right w:val="single" w:sz="4" w:space="0" w:color="auto"/>
            </w:tcBorders>
            <w:vAlign w:val="center"/>
            <w:hideMark/>
          </w:tcPr>
          <w:p w:rsidR="00DB5E4A" w:rsidRPr="00445FA9" w:rsidRDefault="00DB5E4A" w:rsidP="00D703F3">
            <w:pPr>
              <w:pStyle w:val="142"/>
              <w:jc w:val="right"/>
              <w:rPr>
                <w:rFonts w:hint="eastAsia"/>
              </w:rPr>
            </w:pPr>
            <w:r w:rsidRPr="00445FA9">
              <w:rPr>
                <w:rFonts w:hint="eastAsia"/>
              </w:rPr>
              <w:t>2,532</w:t>
            </w:r>
          </w:p>
        </w:tc>
        <w:tc>
          <w:tcPr>
            <w:tcW w:w="2287" w:type="dxa"/>
            <w:tcBorders>
              <w:top w:val="single" w:sz="4" w:space="0" w:color="auto"/>
              <w:left w:val="nil"/>
              <w:bottom w:val="single" w:sz="4" w:space="0" w:color="auto"/>
              <w:right w:val="single" w:sz="12" w:space="0" w:color="auto"/>
            </w:tcBorders>
            <w:noWrap/>
            <w:vAlign w:val="center"/>
            <w:hideMark/>
          </w:tcPr>
          <w:p w:rsidR="00DB5E4A" w:rsidRPr="00445FA9" w:rsidRDefault="00DB5E4A" w:rsidP="00D703F3">
            <w:pPr>
              <w:pStyle w:val="142"/>
              <w:jc w:val="right"/>
              <w:rPr>
                <w:rFonts w:hint="eastAsia"/>
              </w:rPr>
            </w:pPr>
            <w:r w:rsidRPr="00445FA9">
              <w:rPr>
                <w:rFonts w:hint="eastAsia"/>
              </w:rPr>
              <w:t>3,810</w:t>
            </w:r>
          </w:p>
        </w:tc>
      </w:tr>
      <w:tr w:rsidR="00445FA9" w:rsidRPr="00445FA9" w:rsidTr="009E064E">
        <w:trPr>
          <w:trHeight w:val="193"/>
        </w:trPr>
        <w:tc>
          <w:tcPr>
            <w:tcW w:w="1641" w:type="dxa"/>
            <w:tcBorders>
              <w:top w:val="single" w:sz="4" w:space="0" w:color="auto"/>
              <w:left w:val="single" w:sz="12" w:space="0" w:color="auto"/>
              <w:bottom w:val="single" w:sz="4" w:space="0" w:color="auto"/>
              <w:right w:val="single" w:sz="4" w:space="0" w:color="auto"/>
            </w:tcBorders>
            <w:vAlign w:val="center"/>
            <w:hideMark/>
          </w:tcPr>
          <w:p w:rsidR="00DB5E4A" w:rsidRPr="00445FA9" w:rsidRDefault="00DB5E4A" w:rsidP="00D703F3">
            <w:pPr>
              <w:pStyle w:val="142"/>
              <w:rPr>
                <w:rFonts w:hint="eastAsia"/>
              </w:rPr>
            </w:pPr>
            <w:r w:rsidRPr="00445FA9">
              <w:rPr>
                <w:rFonts w:hint="eastAsia"/>
              </w:rPr>
              <w:t>112年度</w:t>
            </w:r>
          </w:p>
        </w:tc>
        <w:tc>
          <w:tcPr>
            <w:tcW w:w="2286" w:type="dxa"/>
            <w:tcBorders>
              <w:top w:val="single" w:sz="4" w:space="0" w:color="auto"/>
              <w:left w:val="nil"/>
              <w:bottom w:val="single" w:sz="4" w:space="0" w:color="auto"/>
              <w:right w:val="single" w:sz="4" w:space="0" w:color="auto"/>
            </w:tcBorders>
            <w:vAlign w:val="center"/>
            <w:hideMark/>
          </w:tcPr>
          <w:p w:rsidR="00DB5E4A" w:rsidRPr="00445FA9" w:rsidRDefault="00DB5E4A" w:rsidP="00D703F3">
            <w:pPr>
              <w:pStyle w:val="142"/>
              <w:jc w:val="right"/>
              <w:rPr>
                <w:rFonts w:hint="eastAsia"/>
              </w:rPr>
            </w:pPr>
            <w:r w:rsidRPr="00445FA9">
              <w:rPr>
                <w:rFonts w:hint="eastAsia"/>
              </w:rPr>
              <w:t>-170</w:t>
            </w:r>
          </w:p>
        </w:tc>
        <w:tc>
          <w:tcPr>
            <w:tcW w:w="2286" w:type="dxa"/>
            <w:tcBorders>
              <w:top w:val="single" w:sz="4" w:space="0" w:color="auto"/>
              <w:left w:val="nil"/>
              <w:bottom w:val="single" w:sz="4" w:space="0" w:color="auto"/>
              <w:right w:val="single" w:sz="4" w:space="0" w:color="auto"/>
            </w:tcBorders>
            <w:vAlign w:val="center"/>
            <w:hideMark/>
          </w:tcPr>
          <w:p w:rsidR="00DB5E4A" w:rsidRPr="00445FA9" w:rsidRDefault="00DB5E4A" w:rsidP="00D703F3">
            <w:pPr>
              <w:pStyle w:val="142"/>
              <w:jc w:val="right"/>
              <w:rPr>
                <w:rFonts w:hint="eastAsia"/>
              </w:rPr>
            </w:pPr>
            <w:r w:rsidRPr="00445FA9">
              <w:rPr>
                <w:rFonts w:hint="eastAsia"/>
              </w:rPr>
              <w:t>2,003</w:t>
            </w:r>
          </w:p>
        </w:tc>
        <w:tc>
          <w:tcPr>
            <w:tcW w:w="2287" w:type="dxa"/>
            <w:tcBorders>
              <w:top w:val="single" w:sz="4" w:space="0" w:color="auto"/>
              <w:left w:val="nil"/>
              <w:bottom w:val="single" w:sz="4" w:space="0" w:color="auto"/>
              <w:right w:val="single" w:sz="12" w:space="0" w:color="auto"/>
            </w:tcBorders>
            <w:noWrap/>
            <w:vAlign w:val="center"/>
            <w:hideMark/>
          </w:tcPr>
          <w:p w:rsidR="00DB5E4A" w:rsidRPr="00445FA9" w:rsidRDefault="00DB5E4A" w:rsidP="00D703F3">
            <w:pPr>
              <w:pStyle w:val="142"/>
              <w:jc w:val="right"/>
              <w:rPr>
                <w:rFonts w:hint="eastAsia"/>
              </w:rPr>
            </w:pPr>
            <w:r w:rsidRPr="00445FA9">
              <w:rPr>
                <w:rFonts w:hint="eastAsia"/>
              </w:rPr>
              <w:t>1,833</w:t>
            </w:r>
          </w:p>
        </w:tc>
      </w:tr>
      <w:tr w:rsidR="00445FA9" w:rsidRPr="00445FA9" w:rsidTr="009E064E">
        <w:trPr>
          <w:trHeight w:val="193"/>
        </w:trPr>
        <w:tc>
          <w:tcPr>
            <w:tcW w:w="1641" w:type="dxa"/>
            <w:tcBorders>
              <w:top w:val="single" w:sz="4" w:space="0" w:color="auto"/>
              <w:left w:val="single" w:sz="12" w:space="0" w:color="auto"/>
              <w:bottom w:val="single" w:sz="12" w:space="0" w:color="auto"/>
              <w:right w:val="single" w:sz="4" w:space="0" w:color="auto"/>
            </w:tcBorders>
            <w:vAlign w:val="center"/>
          </w:tcPr>
          <w:p w:rsidR="00DB5E4A" w:rsidRPr="00445FA9" w:rsidRDefault="00DB5E4A" w:rsidP="00D703F3">
            <w:pPr>
              <w:pStyle w:val="142"/>
              <w:rPr>
                <w:rFonts w:hint="eastAsia"/>
              </w:rPr>
            </w:pPr>
            <w:r w:rsidRPr="00445FA9">
              <w:rPr>
                <w:rFonts w:hint="eastAsia"/>
              </w:rPr>
              <w:t>113年度</w:t>
            </w:r>
          </w:p>
        </w:tc>
        <w:tc>
          <w:tcPr>
            <w:tcW w:w="2286" w:type="dxa"/>
            <w:tcBorders>
              <w:top w:val="single" w:sz="4" w:space="0" w:color="auto"/>
              <w:left w:val="nil"/>
              <w:bottom w:val="single" w:sz="12" w:space="0" w:color="auto"/>
              <w:right w:val="single" w:sz="4" w:space="0" w:color="auto"/>
            </w:tcBorders>
            <w:vAlign w:val="center"/>
          </w:tcPr>
          <w:p w:rsidR="00DB5E4A" w:rsidRPr="00445FA9" w:rsidRDefault="00DB5E4A" w:rsidP="00D703F3">
            <w:pPr>
              <w:pStyle w:val="142"/>
              <w:jc w:val="right"/>
              <w:rPr>
                <w:rFonts w:hint="eastAsia"/>
              </w:rPr>
            </w:pPr>
            <w:r w:rsidRPr="00445FA9">
              <w:rPr>
                <w:rFonts w:hint="eastAsia"/>
              </w:rPr>
              <w:t>-1,240</w:t>
            </w:r>
          </w:p>
        </w:tc>
        <w:tc>
          <w:tcPr>
            <w:tcW w:w="2286" w:type="dxa"/>
            <w:tcBorders>
              <w:top w:val="single" w:sz="4" w:space="0" w:color="auto"/>
              <w:left w:val="nil"/>
              <w:bottom w:val="single" w:sz="12" w:space="0" w:color="auto"/>
              <w:right w:val="single" w:sz="4" w:space="0" w:color="auto"/>
            </w:tcBorders>
            <w:vAlign w:val="center"/>
          </w:tcPr>
          <w:p w:rsidR="00DB5E4A" w:rsidRPr="00445FA9" w:rsidRDefault="00DB5E4A" w:rsidP="00D703F3">
            <w:pPr>
              <w:pStyle w:val="142"/>
              <w:jc w:val="right"/>
              <w:rPr>
                <w:rFonts w:hint="eastAsia"/>
              </w:rPr>
            </w:pPr>
            <w:r w:rsidRPr="00445FA9">
              <w:rPr>
                <w:rFonts w:hint="eastAsia"/>
              </w:rPr>
              <w:t>4,041</w:t>
            </w:r>
          </w:p>
        </w:tc>
        <w:tc>
          <w:tcPr>
            <w:tcW w:w="2287" w:type="dxa"/>
            <w:tcBorders>
              <w:top w:val="single" w:sz="4" w:space="0" w:color="auto"/>
              <w:left w:val="nil"/>
              <w:bottom w:val="single" w:sz="12" w:space="0" w:color="auto"/>
              <w:right w:val="single" w:sz="12" w:space="0" w:color="auto"/>
            </w:tcBorders>
            <w:noWrap/>
            <w:vAlign w:val="center"/>
          </w:tcPr>
          <w:p w:rsidR="00DB5E4A" w:rsidRPr="00445FA9" w:rsidRDefault="00DB5E4A" w:rsidP="00D703F3">
            <w:pPr>
              <w:pStyle w:val="142"/>
              <w:jc w:val="right"/>
              <w:rPr>
                <w:rFonts w:hint="eastAsia"/>
              </w:rPr>
            </w:pPr>
            <w:r w:rsidRPr="00445FA9">
              <w:rPr>
                <w:rFonts w:hint="eastAsia"/>
              </w:rPr>
              <w:t>2,801</w:t>
            </w:r>
          </w:p>
        </w:tc>
      </w:tr>
    </w:tbl>
    <w:p w:rsidR="00DB5E4A" w:rsidRPr="00445FA9" w:rsidRDefault="00DB5E4A" w:rsidP="00BD6BF3">
      <w:pPr>
        <w:pStyle w:val="142"/>
        <w:ind w:leftChars="14" w:left="1277" w:hangingChars="508" w:hanging="1237"/>
        <w:jc w:val="both"/>
      </w:pPr>
      <w:r w:rsidRPr="00445FA9">
        <w:rPr>
          <w:rFonts w:hint="eastAsia"/>
        </w:rPr>
        <w:t>說    明：據港務公司說明，台源印尼公司</w:t>
      </w:r>
      <w:r w:rsidRPr="00445FA9">
        <w:t>於110年11月設立</w:t>
      </w:r>
      <w:r w:rsidRPr="00445FA9">
        <w:rPr>
          <w:rFonts w:hint="eastAsia"/>
        </w:rPr>
        <w:t>；臺馬公司</w:t>
      </w:r>
      <w:r w:rsidRPr="00445FA9">
        <w:t>於112年起因客戶營運調度調整，至113年中旬仍未</w:t>
      </w:r>
      <w:r w:rsidR="00B73A51">
        <w:rPr>
          <w:rFonts w:hint="eastAsia"/>
        </w:rPr>
        <w:t>能</w:t>
      </w:r>
      <w:r w:rsidRPr="00445FA9">
        <w:t>改善</w:t>
      </w:r>
      <w:r w:rsidR="003A2CA2" w:rsidRPr="00445FA9">
        <w:rPr>
          <w:rFonts w:hint="eastAsia"/>
        </w:rPr>
        <w:t>虧損情形</w:t>
      </w:r>
      <w:r w:rsidRPr="00445FA9">
        <w:t>，</w:t>
      </w:r>
      <w:r w:rsidR="00B73A51">
        <w:rPr>
          <w:rFonts w:hint="eastAsia"/>
        </w:rPr>
        <w:t>爰</w:t>
      </w:r>
      <w:r w:rsidRPr="00445FA9">
        <w:t>於113年12月處分</w:t>
      </w:r>
      <w:r w:rsidR="003A2CA2" w:rsidRPr="00445FA9">
        <w:rPr>
          <w:rFonts w:hint="eastAsia"/>
        </w:rPr>
        <w:t>全部</w:t>
      </w:r>
      <w:r w:rsidRPr="00445FA9">
        <w:t>持股。</w:t>
      </w:r>
    </w:p>
    <w:p w:rsidR="00DB5E4A" w:rsidRPr="00445FA9" w:rsidRDefault="00DB5E4A" w:rsidP="008336E8">
      <w:pPr>
        <w:pStyle w:val="142"/>
        <w:ind w:left="560" w:hanging="560"/>
        <w:rPr>
          <w:rFonts w:ascii="Times New Roman" w:hint="eastAsia"/>
        </w:rPr>
      </w:pPr>
      <w:r w:rsidRPr="00445FA9">
        <w:rPr>
          <w:rFonts w:ascii="Times New Roman" w:hint="eastAsia"/>
        </w:rPr>
        <w:t>資料來源</w:t>
      </w:r>
      <w:r w:rsidRPr="00445FA9">
        <w:rPr>
          <w:rFonts w:hint="eastAsia"/>
        </w:rPr>
        <w:t>：</w:t>
      </w:r>
      <w:r w:rsidRPr="00445FA9">
        <w:rPr>
          <w:rFonts w:cs="新細明體" w:hint="eastAsia"/>
        </w:rPr>
        <w:t>台源公司；本中心整理。</w:t>
      </w:r>
    </w:p>
    <w:p w:rsidR="00DB5E4A" w:rsidRPr="00445FA9" w:rsidRDefault="00DB5E4A" w:rsidP="00BD6BF3">
      <w:pPr>
        <w:pStyle w:val="afa"/>
        <w:ind w:left="851" w:hanging="284"/>
        <w:rPr>
          <w:b/>
          <w:bCs/>
        </w:rPr>
      </w:pPr>
      <w:r w:rsidRPr="00445FA9">
        <w:rPr>
          <w:rFonts w:hint="eastAsia"/>
          <w:b/>
          <w:bCs/>
        </w:rPr>
        <w:t>(二)</w:t>
      </w:r>
      <w:r w:rsidR="00312CA7">
        <w:rPr>
          <w:rFonts w:hint="eastAsia"/>
          <w:b/>
          <w:bCs/>
        </w:rPr>
        <w:t>113年度</w:t>
      </w:r>
      <w:r w:rsidRPr="00445FA9">
        <w:rPr>
          <w:rFonts w:cs="新細明體" w:hint="eastAsia"/>
          <w:b/>
          <w:bCs/>
        </w:rPr>
        <w:t>受</w:t>
      </w:r>
      <w:r w:rsidR="000767A7" w:rsidRPr="00445FA9">
        <w:rPr>
          <w:rFonts w:cs="新細明體" w:hint="eastAsia"/>
          <w:b/>
          <w:bCs/>
        </w:rPr>
        <w:t>疫情</w:t>
      </w:r>
      <w:r w:rsidRPr="00445FA9">
        <w:rPr>
          <w:rFonts w:cs="新細明體" w:hint="eastAsia"/>
          <w:b/>
          <w:bCs/>
        </w:rPr>
        <w:t>影響</w:t>
      </w:r>
      <w:r w:rsidR="000767A7" w:rsidRPr="00445FA9">
        <w:rPr>
          <w:rFonts w:cs="新細明體" w:hint="eastAsia"/>
          <w:b/>
          <w:bCs/>
        </w:rPr>
        <w:t>投資</w:t>
      </w:r>
      <w:r w:rsidRPr="00445FA9">
        <w:rPr>
          <w:rFonts w:cs="新細明體" w:hint="eastAsia"/>
          <w:b/>
          <w:bCs/>
        </w:rPr>
        <w:t>方向</w:t>
      </w:r>
      <w:r w:rsidR="00312CA7">
        <w:rPr>
          <w:rFonts w:cs="新細明體" w:hint="eastAsia"/>
          <w:b/>
          <w:bCs/>
        </w:rPr>
        <w:t>，改</w:t>
      </w:r>
      <w:r w:rsidRPr="00445FA9">
        <w:rPr>
          <w:rFonts w:cs="新細明體" w:hint="eastAsia"/>
          <w:b/>
          <w:bCs/>
        </w:rPr>
        <w:t>以財務性投資為主</w:t>
      </w:r>
    </w:p>
    <w:p w:rsidR="00DB5E4A" w:rsidRPr="0033144D" w:rsidRDefault="007B2804" w:rsidP="0033144D">
      <w:pPr>
        <w:pStyle w:val="2"/>
        <w:ind w:left="850" w:firstLine="567"/>
        <w:rPr>
          <w:rFonts w:hAnsi="標楷體"/>
        </w:rPr>
      </w:pPr>
      <w:r w:rsidRPr="00445FA9">
        <w:rPr>
          <w:rFonts w:hint="eastAsia"/>
        </w:rPr>
        <w:t>據</w:t>
      </w:r>
      <w:r w:rsidR="00DB5E4A" w:rsidRPr="00445FA9">
        <w:rPr>
          <w:rFonts w:hint="eastAsia"/>
        </w:rPr>
        <w:t>台源公司</w:t>
      </w:r>
      <w:r w:rsidRPr="00445FA9">
        <w:rPr>
          <w:rFonts w:hint="eastAsia"/>
        </w:rPr>
        <w:t>說明，</w:t>
      </w:r>
      <w:r w:rsidR="00DB5E4A" w:rsidRPr="00445FA9">
        <w:rPr>
          <w:rFonts w:hint="eastAsia"/>
        </w:rPr>
        <w:t>1</w:t>
      </w:r>
      <w:r w:rsidR="008718EF" w:rsidRPr="00445FA9">
        <w:t>12</w:t>
      </w:r>
      <w:r w:rsidR="008718EF" w:rsidRPr="00445FA9">
        <w:rPr>
          <w:rFonts w:hint="eastAsia"/>
        </w:rPr>
        <w:t>及</w:t>
      </w:r>
      <w:r w:rsidR="00E163CF" w:rsidRPr="00445FA9">
        <w:rPr>
          <w:rFonts w:hint="eastAsia"/>
        </w:rPr>
        <w:t>1</w:t>
      </w:r>
      <w:r w:rsidR="0023717C" w:rsidRPr="00445FA9">
        <w:rPr>
          <w:rFonts w:hint="eastAsia"/>
        </w:rPr>
        <w:t>13年度</w:t>
      </w:r>
      <w:r w:rsidR="008718EF" w:rsidRPr="00445FA9">
        <w:rPr>
          <w:rFonts w:hint="eastAsia"/>
        </w:rPr>
        <w:t>主要</w:t>
      </w:r>
      <w:r w:rsidR="003133EE" w:rsidRPr="00445FA9">
        <w:rPr>
          <w:rFonts w:hint="eastAsia"/>
        </w:rPr>
        <w:t>資產</w:t>
      </w:r>
      <w:r w:rsidR="008718EF" w:rsidRPr="00445FA9">
        <w:rPr>
          <w:rFonts w:hint="eastAsia"/>
        </w:rPr>
        <w:t>項目</w:t>
      </w:r>
      <w:r w:rsidR="001314AC">
        <w:rPr>
          <w:rFonts w:hint="eastAsia"/>
        </w:rPr>
        <w:t>為</w:t>
      </w:r>
      <w:r w:rsidR="004C2FFB" w:rsidRPr="00445FA9">
        <w:rPr>
          <w:rFonts w:hAnsi="標楷體" w:hint="eastAsia"/>
        </w:rPr>
        <w:t>「</w:t>
      </w:r>
      <w:r w:rsidR="004C2FFB" w:rsidRPr="00445FA9">
        <w:rPr>
          <w:rFonts w:hint="eastAsia"/>
        </w:rPr>
        <w:t>定存</w:t>
      </w:r>
      <w:r w:rsidR="004C2FFB" w:rsidRPr="00445FA9">
        <w:rPr>
          <w:rFonts w:hAnsi="標楷體" w:hint="eastAsia"/>
        </w:rPr>
        <w:t>」</w:t>
      </w:r>
      <w:r w:rsidR="004C2FFB">
        <w:rPr>
          <w:rFonts w:hAnsi="標楷體" w:hint="eastAsia"/>
        </w:rPr>
        <w:t>、</w:t>
      </w:r>
      <w:r w:rsidR="00020779" w:rsidRPr="00445FA9">
        <w:rPr>
          <w:rFonts w:hAnsi="標楷體" w:hint="eastAsia"/>
        </w:rPr>
        <w:t>「</w:t>
      </w:r>
      <w:r w:rsidR="003133EE" w:rsidRPr="00445FA9">
        <w:rPr>
          <w:rFonts w:hint="eastAsia"/>
        </w:rPr>
        <w:t>投資性不動產</w:t>
      </w:r>
      <w:r w:rsidR="00020779" w:rsidRPr="00445FA9">
        <w:rPr>
          <w:rFonts w:hAnsi="標楷體" w:hint="eastAsia"/>
        </w:rPr>
        <w:t>」</w:t>
      </w:r>
      <w:r w:rsidR="003133EE" w:rsidRPr="00445FA9">
        <w:rPr>
          <w:rFonts w:hint="eastAsia"/>
        </w:rPr>
        <w:t>、</w:t>
      </w:r>
      <w:r w:rsidR="00020779" w:rsidRPr="00445FA9">
        <w:rPr>
          <w:rFonts w:hAnsi="標楷體" w:hint="eastAsia"/>
        </w:rPr>
        <w:t>「</w:t>
      </w:r>
      <w:r w:rsidR="003133EE" w:rsidRPr="00445FA9">
        <w:rPr>
          <w:rFonts w:hint="eastAsia"/>
        </w:rPr>
        <w:t>投資</w:t>
      </w:r>
      <w:r w:rsidR="00DD3DB9" w:rsidRPr="00445FA9">
        <w:rPr>
          <w:rFonts w:hint="eastAsia"/>
        </w:rPr>
        <w:t>子公司或合資公司</w:t>
      </w:r>
      <w:r w:rsidR="00020779" w:rsidRPr="00445FA9">
        <w:rPr>
          <w:rFonts w:hAnsi="標楷體" w:hint="eastAsia"/>
        </w:rPr>
        <w:t>」</w:t>
      </w:r>
      <w:r w:rsidR="004C2FFB">
        <w:rPr>
          <w:rFonts w:hint="eastAsia"/>
        </w:rPr>
        <w:t>及</w:t>
      </w:r>
      <w:r w:rsidR="00020779" w:rsidRPr="00445FA9">
        <w:rPr>
          <w:rFonts w:hAnsi="標楷體" w:hint="eastAsia"/>
        </w:rPr>
        <w:t>「</w:t>
      </w:r>
      <w:r w:rsidR="00DD3DB9" w:rsidRPr="00445FA9">
        <w:rPr>
          <w:rFonts w:hint="eastAsia"/>
        </w:rPr>
        <w:t>財務性投資</w:t>
      </w:r>
      <w:r w:rsidR="00020779" w:rsidRPr="00445FA9">
        <w:rPr>
          <w:rFonts w:hAnsi="標楷體" w:hint="eastAsia"/>
        </w:rPr>
        <w:t>」</w:t>
      </w:r>
      <w:r w:rsidR="00020779" w:rsidRPr="00445FA9">
        <w:rPr>
          <w:rFonts w:hint="eastAsia"/>
        </w:rPr>
        <w:t>等</w:t>
      </w:r>
      <w:r w:rsidR="003A206A" w:rsidRPr="00445FA9">
        <w:rPr>
          <w:rFonts w:hint="eastAsia"/>
        </w:rPr>
        <w:t>。截至</w:t>
      </w:r>
      <w:r w:rsidR="00020779" w:rsidRPr="00445FA9">
        <w:rPr>
          <w:rFonts w:hint="eastAsia"/>
        </w:rPr>
        <w:t>113年底</w:t>
      </w:r>
      <w:r w:rsidR="003A206A" w:rsidRPr="00445FA9">
        <w:rPr>
          <w:rFonts w:hint="eastAsia"/>
        </w:rPr>
        <w:t>，</w:t>
      </w:r>
      <w:r w:rsidR="00B13BF5" w:rsidRPr="00445FA9">
        <w:rPr>
          <w:rFonts w:hint="eastAsia"/>
        </w:rPr>
        <w:t>台</w:t>
      </w:r>
      <w:r w:rsidR="003A206A" w:rsidRPr="00445FA9">
        <w:rPr>
          <w:rFonts w:hint="eastAsia"/>
        </w:rPr>
        <w:t>源公司總資產</w:t>
      </w:r>
      <w:r w:rsidR="00DB6328">
        <w:rPr>
          <w:rFonts w:hint="eastAsia"/>
        </w:rPr>
        <w:t>價值</w:t>
      </w:r>
      <w:r w:rsidR="00C97446" w:rsidRPr="00445FA9">
        <w:rPr>
          <w:rFonts w:hint="eastAsia"/>
        </w:rPr>
        <w:t>3</w:t>
      </w:r>
      <w:r w:rsidR="003A206A" w:rsidRPr="00445FA9">
        <w:rPr>
          <w:rFonts w:hint="eastAsia"/>
        </w:rPr>
        <w:t>億8</w:t>
      </w:r>
      <w:r w:rsidR="003A206A" w:rsidRPr="00445FA9">
        <w:t>,</w:t>
      </w:r>
      <w:r w:rsidR="00C97446" w:rsidRPr="00445FA9">
        <w:rPr>
          <w:rFonts w:hint="eastAsia"/>
        </w:rPr>
        <w:t>387</w:t>
      </w:r>
      <w:r w:rsidR="003A206A" w:rsidRPr="00445FA9">
        <w:rPr>
          <w:rFonts w:hint="eastAsia"/>
        </w:rPr>
        <w:t>萬</w:t>
      </w:r>
      <w:r w:rsidR="00C97446" w:rsidRPr="00445FA9">
        <w:rPr>
          <w:rFonts w:hint="eastAsia"/>
        </w:rPr>
        <w:t>3千</w:t>
      </w:r>
      <w:r w:rsidR="003A206A" w:rsidRPr="00445FA9">
        <w:rPr>
          <w:rFonts w:hint="eastAsia"/>
        </w:rPr>
        <w:t>元，其中</w:t>
      </w:r>
      <w:r w:rsidR="00020779" w:rsidRPr="00445FA9">
        <w:rPr>
          <w:rFonts w:hAnsi="標楷體" w:hint="eastAsia"/>
        </w:rPr>
        <w:t>「財務性投資」占</w:t>
      </w:r>
      <w:r w:rsidR="001314AC">
        <w:rPr>
          <w:rFonts w:hAnsi="標楷體" w:hint="eastAsia"/>
        </w:rPr>
        <w:t>比</w:t>
      </w:r>
      <w:r w:rsidR="00020779" w:rsidRPr="00445FA9">
        <w:rPr>
          <w:rFonts w:hAnsi="標楷體" w:hint="eastAsia"/>
        </w:rPr>
        <w:t>16.08%</w:t>
      </w:r>
      <w:r w:rsidR="003A206A" w:rsidRPr="00445FA9">
        <w:rPr>
          <w:rFonts w:hAnsi="標楷體" w:hint="eastAsia"/>
        </w:rPr>
        <w:t>，</w:t>
      </w:r>
      <w:r w:rsidR="004C2FFB">
        <w:rPr>
          <w:rFonts w:hAnsi="標楷體" w:hint="eastAsia"/>
        </w:rPr>
        <w:t>較</w:t>
      </w:r>
      <w:r w:rsidR="00641F55" w:rsidRPr="00445FA9">
        <w:rPr>
          <w:rFonts w:hAnsi="標楷體" w:hint="eastAsia"/>
        </w:rPr>
        <w:t>「</w:t>
      </w:r>
      <w:r w:rsidR="00641F55" w:rsidRPr="00445FA9">
        <w:rPr>
          <w:rFonts w:hint="eastAsia"/>
        </w:rPr>
        <w:t>投資子公司或合資公司</w:t>
      </w:r>
      <w:r w:rsidR="00641F55" w:rsidRPr="00445FA9">
        <w:rPr>
          <w:rFonts w:hAnsi="標楷體" w:hint="eastAsia"/>
        </w:rPr>
        <w:t>」</w:t>
      </w:r>
      <w:r w:rsidR="00641F55" w:rsidRPr="00445FA9">
        <w:rPr>
          <w:rFonts w:hint="eastAsia"/>
        </w:rPr>
        <w:t>12.31%</w:t>
      </w:r>
      <w:r w:rsidR="004C2FFB">
        <w:rPr>
          <w:rFonts w:hint="eastAsia"/>
        </w:rPr>
        <w:t>為高</w:t>
      </w:r>
      <w:r w:rsidR="00DB6328">
        <w:rPr>
          <w:rFonts w:hint="eastAsia"/>
        </w:rPr>
        <w:t>，</w:t>
      </w:r>
      <w:r w:rsidR="00641F55">
        <w:rPr>
          <w:rFonts w:hint="eastAsia"/>
        </w:rPr>
        <w:t>另</w:t>
      </w:r>
      <w:r w:rsidR="004C2FFB">
        <w:rPr>
          <w:rFonts w:hint="eastAsia"/>
        </w:rPr>
        <w:t>與112年底相比，113年底</w:t>
      </w:r>
      <w:r w:rsidR="00DB6328" w:rsidRPr="00DB6328">
        <w:rPr>
          <w:rFonts w:hint="eastAsia"/>
        </w:rPr>
        <w:t>「財務性投資」</w:t>
      </w:r>
      <w:r w:rsidR="001314AC">
        <w:rPr>
          <w:rFonts w:hint="eastAsia"/>
        </w:rPr>
        <w:t>占比</w:t>
      </w:r>
      <w:r w:rsidR="004C2FFB">
        <w:rPr>
          <w:rFonts w:hint="eastAsia"/>
        </w:rPr>
        <w:t>16.08%</w:t>
      </w:r>
      <w:r w:rsidR="001314AC">
        <w:rPr>
          <w:rFonts w:hint="eastAsia"/>
        </w:rPr>
        <w:t>，</w:t>
      </w:r>
      <w:r w:rsidR="004C2FFB">
        <w:rPr>
          <w:rFonts w:hint="eastAsia"/>
        </w:rPr>
        <w:t>較112年底</w:t>
      </w:r>
      <w:r w:rsidR="00020779" w:rsidRPr="00445FA9">
        <w:rPr>
          <w:rFonts w:hAnsi="標楷體" w:hint="eastAsia"/>
        </w:rPr>
        <w:t>增加10.61</w:t>
      </w:r>
      <w:r w:rsidR="00570217">
        <w:rPr>
          <w:rFonts w:hAnsi="標楷體" w:hint="eastAsia"/>
        </w:rPr>
        <w:t>個</w:t>
      </w:r>
      <w:r w:rsidR="00B13BF5" w:rsidRPr="00445FA9">
        <w:rPr>
          <w:rFonts w:hint="eastAsia"/>
        </w:rPr>
        <w:t>百分點</w:t>
      </w:r>
      <w:r w:rsidR="00641F55">
        <w:rPr>
          <w:rFonts w:hint="eastAsia"/>
        </w:rPr>
        <w:t>，</w:t>
      </w:r>
      <w:r w:rsidR="00DB45F6">
        <w:rPr>
          <w:rFonts w:hint="eastAsia"/>
        </w:rPr>
        <w:t>該</w:t>
      </w:r>
      <w:r w:rsidR="004C2FFB">
        <w:rPr>
          <w:rFonts w:hint="eastAsia"/>
        </w:rPr>
        <w:t>增幅</w:t>
      </w:r>
      <w:r w:rsidR="00DB45F6">
        <w:rPr>
          <w:rFonts w:hint="eastAsia"/>
        </w:rPr>
        <w:t>並</w:t>
      </w:r>
      <w:r w:rsidR="004C2FFB">
        <w:rPr>
          <w:rFonts w:hint="eastAsia"/>
        </w:rPr>
        <w:t>為</w:t>
      </w:r>
      <w:r w:rsidR="00641F55">
        <w:rPr>
          <w:rFonts w:hint="eastAsia"/>
        </w:rPr>
        <w:t>各</w:t>
      </w:r>
      <w:r w:rsidR="004C2FFB">
        <w:rPr>
          <w:rFonts w:hint="eastAsia"/>
        </w:rPr>
        <w:t>類</w:t>
      </w:r>
      <w:r w:rsidR="00641F55">
        <w:rPr>
          <w:rFonts w:hint="eastAsia"/>
        </w:rPr>
        <w:t>資產之冠</w:t>
      </w:r>
      <w:r w:rsidR="004765D5" w:rsidRPr="00445FA9">
        <w:rPr>
          <w:rFonts w:hint="eastAsia"/>
        </w:rPr>
        <w:t>(詳表</w:t>
      </w:r>
      <w:r w:rsidR="007D24E2" w:rsidRPr="00445FA9">
        <w:rPr>
          <w:rFonts w:hint="eastAsia"/>
        </w:rPr>
        <w:t>2</w:t>
      </w:r>
      <w:r w:rsidR="004765D5" w:rsidRPr="00445FA9">
        <w:rPr>
          <w:rFonts w:hint="eastAsia"/>
        </w:rPr>
        <w:t>)</w:t>
      </w:r>
      <w:r w:rsidR="003E5F53" w:rsidRPr="00445FA9">
        <w:rPr>
          <w:rFonts w:hAnsi="標楷體" w:hint="eastAsia"/>
        </w:rPr>
        <w:t>，</w:t>
      </w:r>
      <w:r w:rsidR="00FE483D">
        <w:rPr>
          <w:rFonts w:hAnsi="標楷體" w:hint="eastAsia"/>
        </w:rPr>
        <w:t>故</w:t>
      </w:r>
      <w:r w:rsidR="00641F55">
        <w:rPr>
          <w:rFonts w:hAnsi="標楷體" w:hint="eastAsia"/>
        </w:rPr>
        <w:t>台源公司</w:t>
      </w:r>
      <w:r w:rsidR="003E5F53" w:rsidRPr="00445FA9">
        <w:rPr>
          <w:rFonts w:hAnsi="標楷體" w:hint="eastAsia"/>
        </w:rPr>
        <w:t>113年</w:t>
      </w:r>
      <w:r w:rsidR="00570217">
        <w:rPr>
          <w:rFonts w:hAnsi="標楷體" w:hint="eastAsia"/>
        </w:rPr>
        <w:t>度</w:t>
      </w:r>
      <w:r w:rsidR="003A206A" w:rsidRPr="00445FA9">
        <w:rPr>
          <w:rFonts w:hAnsi="標楷體" w:hint="eastAsia"/>
        </w:rPr>
        <w:t>大幅增加</w:t>
      </w:r>
      <w:r w:rsidR="004C2FFB">
        <w:rPr>
          <w:rFonts w:hAnsi="標楷體" w:hint="eastAsia"/>
        </w:rPr>
        <w:t>財務性投資</w:t>
      </w:r>
      <w:r w:rsidR="003A206A" w:rsidRPr="00445FA9">
        <w:rPr>
          <w:rFonts w:hAnsi="標楷體" w:hint="eastAsia"/>
        </w:rPr>
        <w:t>，</w:t>
      </w:r>
      <w:r w:rsidR="004C2FFB">
        <w:rPr>
          <w:rFonts w:hAnsi="標楷體" w:hint="eastAsia"/>
        </w:rPr>
        <w:t>且</w:t>
      </w:r>
      <w:r w:rsidR="009F4D9F">
        <w:rPr>
          <w:rFonts w:hAnsi="標楷體" w:hint="eastAsia"/>
        </w:rPr>
        <w:t>其規模於</w:t>
      </w:r>
      <w:r w:rsidR="004C2FFB">
        <w:rPr>
          <w:rFonts w:hAnsi="標楷體" w:hint="eastAsia"/>
        </w:rPr>
        <w:t>113年底已</w:t>
      </w:r>
      <w:r w:rsidR="00B44148">
        <w:rPr>
          <w:rFonts w:hAnsi="標楷體" w:hint="eastAsia"/>
        </w:rPr>
        <w:t>高於</w:t>
      </w:r>
      <w:r w:rsidR="00B44148">
        <w:rPr>
          <w:rFonts w:hint="eastAsia"/>
        </w:rPr>
        <w:t>對</w:t>
      </w:r>
      <w:r w:rsidR="003A206A" w:rsidRPr="00445FA9">
        <w:rPr>
          <w:rFonts w:hint="eastAsia"/>
        </w:rPr>
        <w:t>新南向</w:t>
      </w:r>
      <w:r w:rsidR="00DB5E4A" w:rsidRPr="00445FA9">
        <w:rPr>
          <w:rFonts w:hint="eastAsia"/>
        </w:rPr>
        <w:t>航運事業</w:t>
      </w:r>
      <w:r w:rsidR="00B44148">
        <w:rPr>
          <w:rFonts w:hint="eastAsia"/>
        </w:rPr>
        <w:t>之投資</w:t>
      </w:r>
      <w:r w:rsidR="00FE483D">
        <w:rPr>
          <w:rFonts w:hint="eastAsia"/>
        </w:rPr>
        <w:t>，</w:t>
      </w:r>
      <w:r w:rsidR="00DB5E4A" w:rsidRPr="00445FA9">
        <w:rPr>
          <w:rFonts w:hint="eastAsia"/>
        </w:rPr>
        <w:t>據台源公</w:t>
      </w:r>
      <w:r w:rsidR="00DB5E4A" w:rsidRPr="00445FA9">
        <w:rPr>
          <w:rFonts w:hint="eastAsia"/>
        </w:rPr>
        <w:lastRenderedPageBreak/>
        <w:t>司說明，</w:t>
      </w:r>
      <w:r w:rsidR="00C97446" w:rsidRPr="00445FA9">
        <w:rPr>
          <w:rFonts w:hint="eastAsia"/>
        </w:rPr>
        <w:t>主要係</w:t>
      </w:r>
      <w:r w:rsidR="00DB5E4A" w:rsidRPr="00445FA9">
        <w:rPr>
          <w:rFonts w:hint="eastAsia"/>
        </w:rPr>
        <w:t>原訂計畫受</w:t>
      </w:r>
      <w:r w:rsidR="00DB5E4A" w:rsidRPr="00445FA9">
        <w:t>C</w:t>
      </w:r>
      <w:r w:rsidR="00EF2552" w:rsidRPr="00445FA9">
        <w:t>OVID</w:t>
      </w:r>
      <w:r w:rsidR="00DB5E4A" w:rsidRPr="00445FA9">
        <w:t>-1</w:t>
      </w:r>
      <w:r w:rsidR="00BE0078">
        <w:rPr>
          <w:rFonts w:hint="eastAsia"/>
        </w:rPr>
        <w:t>9</w:t>
      </w:r>
      <w:r w:rsidR="00DB5E4A" w:rsidRPr="00445FA9">
        <w:rPr>
          <w:rFonts w:hint="eastAsia"/>
        </w:rPr>
        <w:t>疫情影響</w:t>
      </w:r>
      <w:r w:rsidR="00C97446" w:rsidRPr="00445FA9">
        <w:rPr>
          <w:rFonts w:hint="eastAsia"/>
        </w:rPr>
        <w:t>，</w:t>
      </w:r>
      <w:r w:rsidR="00DB5E4A" w:rsidRPr="00445FA9">
        <w:rPr>
          <w:rFonts w:hint="eastAsia"/>
        </w:rPr>
        <w:t>窒礙難行，投資活動趨於保守，在繼續經營考量下，評估國內可行之財務投資，惟對東南亞投資仍是未來布局重點。</w:t>
      </w:r>
    </w:p>
    <w:p w:rsidR="00DB5E4A" w:rsidRPr="00445FA9" w:rsidRDefault="00DB5E4A" w:rsidP="00BD6BF3">
      <w:pPr>
        <w:ind w:leftChars="12" w:left="34" w:firstLineChars="0" w:firstLine="0"/>
        <w:rPr>
          <w:b/>
          <w:bCs/>
        </w:rPr>
      </w:pPr>
      <w:r w:rsidRPr="00445FA9">
        <w:rPr>
          <w:rFonts w:hint="eastAsia"/>
          <w:b/>
          <w:bCs/>
        </w:rPr>
        <w:t>表</w:t>
      </w:r>
      <w:r w:rsidR="004765D5" w:rsidRPr="00445FA9">
        <w:rPr>
          <w:rFonts w:hint="eastAsia"/>
          <w:b/>
          <w:bCs/>
        </w:rPr>
        <w:t>2</w:t>
      </w:r>
      <w:r w:rsidRPr="00445FA9">
        <w:rPr>
          <w:rFonts w:hint="eastAsia"/>
          <w:b/>
          <w:bCs/>
        </w:rPr>
        <w:t xml:space="preserve"> 112及113年底台源公司(個體財務報告)資產概況表</w:t>
      </w:r>
    </w:p>
    <w:p w:rsidR="00DB5E4A" w:rsidRPr="00445FA9" w:rsidRDefault="00DB5E4A" w:rsidP="00BD6BF3">
      <w:pPr>
        <w:spacing w:line="280" w:lineRule="exact"/>
        <w:ind w:leftChars="12" w:left="34" w:firstLineChars="0" w:firstLine="0"/>
        <w:jc w:val="right"/>
        <w:rPr>
          <w:b/>
          <w:bCs/>
        </w:rPr>
      </w:pPr>
      <w:r w:rsidRPr="00445FA9">
        <w:rPr>
          <w:rFonts w:hint="eastAsia"/>
          <w:sz w:val="24"/>
          <w:szCs w:val="24"/>
        </w:rPr>
        <w:t>單位：新臺幣千元；%</w:t>
      </w:r>
    </w:p>
    <w:tbl>
      <w:tblPr>
        <w:tblW w:w="8669" w:type="dxa"/>
        <w:tblInd w:w="-5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98"/>
        <w:gridCol w:w="1418"/>
        <w:gridCol w:w="921"/>
        <w:gridCol w:w="921"/>
        <w:gridCol w:w="1418"/>
        <w:gridCol w:w="921"/>
        <w:gridCol w:w="922"/>
        <w:gridCol w:w="850"/>
      </w:tblGrid>
      <w:tr w:rsidR="007D24E2" w:rsidRPr="00445FA9" w:rsidTr="006964F7">
        <w:trPr>
          <w:trHeight w:val="23"/>
          <w:tblHeader/>
        </w:trPr>
        <w:tc>
          <w:tcPr>
            <w:tcW w:w="1298" w:type="dxa"/>
            <w:vMerge w:val="restart"/>
            <w:vAlign w:val="center"/>
          </w:tcPr>
          <w:p w:rsidR="007D24E2" w:rsidRPr="00445FA9" w:rsidRDefault="007D24E2" w:rsidP="00E2533F">
            <w:pPr>
              <w:pStyle w:val="142"/>
              <w:spacing w:line="320" w:lineRule="exact"/>
              <w:jc w:val="center"/>
              <w:rPr>
                <w:spacing w:val="-20"/>
                <w:sz w:val="22"/>
                <w:szCs w:val="22"/>
              </w:rPr>
            </w:pPr>
            <w:r w:rsidRPr="00445FA9">
              <w:rPr>
                <w:rFonts w:hint="eastAsia"/>
                <w:spacing w:val="-20"/>
                <w:sz w:val="22"/>
                <w:szCs w:val="22"/>
              </w:rPr>
              <w:t>資產項目</w:t>
            </w:r>
          </w:p>
        </w:tc>
        <w:tc>
          <w:tcPr>
            <w:tcW w:w="3260" w:type="dxa"/>
            <w:gridSpan w:val="3"/>
            <w:vAlign w:val="center"/>
            <w:hideMark/>
          </w:tcPr>
          <w:p w:rsidR="007D24E2" w:rsidRPr="00445FA9" w:rsidRDefault="007D24E2" w:rsidP="00E2533F">
            <w:pPr>
              <w:pStyle w:val="142"/>
              <w:spacing w:line="320" w:lineRule="exact"/>
              <w:jc w:val="center"/>
              <w:rPr>
                <w:spacing w:val="-20"/>
                <w:sz w:val="22"/>
                <w:szCs w:val="22"/>
              </w:rPr>
            </w:pPr>
            <w:r w:rsidRPr="00445FA9">
              <w:rPr>
                <w:spacing w:val="-20"/>
                <w:sz w:val="22"/>
                <w:szCs w:val="22"/>
              </w:rPr>
              <w:t>112</w:t>
            </w:r>
            <w:r w:rsidRPr="00445FA9">
              <w:rPr>
                <w:rFonts w:hint="eastAsia"/>
                <w:spacing w:val="-20"/>
                <w:sz w:val="22"/>
                <w:szCs w:val="22"/>
              </w:rPr>
              <w:t>年底</w:t>
            </w:r>
          </w:p>
        </w:tc>
        <w:tc>
          <w:tcPr>
            <w:tcW w:w="3261" w:type="dxa"/>
            <w:gridSpan w:val="3"/>
            <w:vAlign w:val="center"/>
            <w:hideMark/>
          </w:tcPr>
          <w:p w:rsidR="007D24E2" w:rsidRPr="00445FA9" w:rsidRDefault="007D24E2" w:rsidP="00E2533F">
            <w:pPr>
              <w:pStyle w:val="142"/>
              <w:spacing w:line="320" w:lineRule="exact"/>
              <w:jc w:val="center"/>
              <w:rPr>
                <w:spacing w:val="-20"/>
                <w:sz w:val="22"/>
                <w:szCs w:val="22"/>
              </w:rPr>
            </w:pPr>
            <w:r w:rsidRPr="00445FA9">
              <w:rPr>
                <w:spacing w:val="-20"/>
                <w:sz w:val="22"/>
                <w:szCs w:val="22"/>
              </w:rPr>
              <w:t>113</w:t>
            </w:r>
            <w:r w:rsidRPr="00445FA9">
              <w:rPr>
                <w:rFonts w:hint="eastAsia"/>
                <w:spacing w:val="-20"/>
                <w:sz w:val="22"/>
                <w:szCs w:val="22"/>
              </w:rPr>
              <w:t>年底</w:t>
            </w:r>
          </w:p>
        </w:tc>
        <w:tc>
          <w:tcPr>
            <w:tcW w:w="850" w:type="dxa"/>
            <w:vMerge w:val="restart"/>
          </w:tcPr>
          <w:p w:rsidR="007D24E2" w:rsidRPr="00445FA9" w:rsidRDefault="007D24E2" w:rsidP="00E2533F">
            <w:pPr>
              <w:pStyle w:val="142"/>
              <w:spacing w:line="320" w:lineRule="exact"/>
              <w:jc w:val="center"/>
              <w:rPr>
                <w:rFonts w:hint="eastAsia"/>
                <w:spacing w:val="-20"/>
                <w:sz w:val="22"/>
                <w:szCs w:val="22"/>
              </w:rPr>
            </w:pPr>
            <w:r w:rsidRPr="00445FA9">
              <w:rPr>
                <w:rFonts w:hint="eastAsia"/>
                <w:spacing w:val="-20"/>
                <w:sz w:val="22"/>
                <w:szCs w:val="22"/>
              </w:rPr>
              <w:t>變動幅度 B</w:t>
            </w:r>
            <w:r w:rsidRPr="00445FA9">
              <w:rPr>
                <w:spacing w:val="-20"/>
                <w:sz w:val="22"/>
                <w:szCs w:val="22"/>
              </w:rPr>
              <w:t>-A</w:t>
            </w:r>
          </w:p>
        </w:tc>
      </w:tr>
      <w:tr w:rsidR="007D24E2" w:rsidRPr="00445FA9" w:rsidTr="006964F7">
        <w:trPr>
          <w:trHeight w:val="166"/>
          <w:tblHeader/>
        </w:trPr>
        <w:tc>
          <w:tcPr>
            <w:tcW w:w="1298" w:type="dxa"/>
            <w:vMerge/>
            <w:vAlign w:val="center"/>
          </w:tcPr>
          <w:p w:rsidR="007D24E2" w:rsidRPr="00445FA9" w:rsidRDefault="007D24E2" w:rsidP="00E2533F">
            <w:pPr>
              <w:pStyle w:val="142"/>
              <w:spacing w:line="320" w:lineRule="exact"/>
              <w:jc w:val="center"/>
              <w:rPr>
                <w:rFonts w:hint="eastAsia"/>
                <w:spacing w:val="-20"/>
                <w:sz w:val="22"/>
                <w:szCs w:val="22"/>
              </w:rPr>
            </w:pPr>
          </w:p>
        </w:tc>
        <w:tc>
          <w:tcPr>
            <w:tcW w:w="1418" w:type="dxa"/>
            <w:vAlign w:val="center"/>
            <w:hideMark/>
          </w:tcPr>
          <w:p w:rsidR="007D24E2" w:rsidRPr="00445FA9" w:rsidRDefault="007D24E2" w:rsidP="00E2533F">
            <w:pPr>
              <w:pStyle w:val="142"/>
              <w:spacing w:line="320" w:lineRule="exact"/>
              <w:jc w:val="center"/>
              <w:rPr>
                <w:spacing w:val="-20"/>
                <w:sz w:val="22"/>
                <w:szCs w:val="22"/>
              </w:rPr>
            </w:pPr>
            <w:r w:rsidRPr="00445FA9">
              <w:rPr>
                <w:rFonts w:hint="eastAsia"/>
                <w:spacing w:val="-20"/>
                <w:sz w:val="22"/>
                <w:szCs w:val="22"/>
              </w:rPr>
              <w:t>資產內容</w:t>
            </w:r>
          </w:p>
        </w:tc>
        <w:tc>
          <w:tcPr>
            <w:tcW w:w="921" w:type="dxa"/>
            <w:vAlign w:val="center"/>
            <w:hideMark/>
          </w:tcPr>
          <w:p w:rsidR="007D24E2" w:rsidRPr="00445FA9" w:rsidRDefault="007D24E2" w:rsidP="00E2533F">
            <w:pPr>
              <w:pStyle w:val="142"/>
              <w:spacing w:line="320" w:lineRule="exact"/>
              <w:jc w:val="center"/>
              <w:rPr>
                <w:spacing w:val="-20"/>
                <w:sz w:val="22"/>
                <w:szCs w:val="22"/>
              </w:rPr>
            </w:pPr>
            <w:r w:rsidRPr="00445FA9">
              <w:rPr>
                <w:rFonts w:hint="eastAsia"/>
                <w:spacing w:val="-20"/>
                <w:sz w:val="22"/>
                <w:szCs w:val="22"/>
              </w:rPr>
              <w:t>金額</w:t>
            </w:r>
          </w:p>
        </w:tc>
        <w:tc>
          <w:tcPr>
            <w:tcW w:w="921" w:type="dxa"/>
            <w:vAlign w:val="center"/>
            <w:hideMark/>
          </w:tcPr>
          <w:p w:rsidR="007D24E2" w:rsidRPr="00445FA9" w:rsidRDefault="007D24E2" w:rsidP="00E2533F">
            <w:pPr>
              <w:pStyle w:val="142"/>
              <w:spacing w:line="320" w:lineRule="exact"/>
              <w:jc w:val="center"/>
              <w:rPr>
                <w:spacing w:val="-30"/>
                <w:sz w:val="22"/>
                <w:szCs w:val="22"/>
              </w:rPr>
            </w:pPr>
            <w:r w:rsidRPr="00445FA9">
              <w:rPr>
                <w:rFonts w:hint="eastAsia"/>
                <w:spacing w:val="-30"/>
                <w:sz w:val="22"/>
                <w:szCs w:val="22"/>
              </w:rPr>
              <w:t>比重  A</w:t>
            </w:r>
          </w:p>
        </w:tc>
        <w:tc>
          <w:tcPr>
            <w:tcW w:w="1418" w:type="dxa"/>
            <w:vAlign w:val="center"/>
            <w:hideMark/>
          </w:tcPr>
          <w:p w:rsidR="007D24E2" w:rsidRPr="00445FA9" w:rsidRDefault="007D24E2" w:rsidP="00E2533F">
            <w:pPr>
              <w:pStyle w:val="142"/>
              <w:spacing w:line="320" w:lineRule="exact"/>
              <w:jc w:val="center"/>
              <w:rPr>
                <w:spacing w:val="-20"/>
                <w:sz w:val="22"/>
                <w:szCs w:val="22"/>
              </w:rPr>
            </w:pPr>
            <w:r w:rsidRPr="00445FA9">
              <w:rPr>
                <w:rFonts w:hint="eastAsia"/>
                <w:spacing w:val="-20"/>
                <w:sz w:val="22"/>
                <w:szCs w:val="22"/>
              </w:rPr>
              <w:t>資產內容</w:t>
            </w:r>
          </w:p>
        </w:tc>
        <w:tc>
          <w:tcPr>
            <w:tcW w:w="921" w:type="dxa"/>
            <w:vAlign w:val="center"/>
            <w:hideMark/>
          </w:tcPr>
          <w:p w:rsidR="007D24E2" w:rsidRPr="00445FA9" w:rsidRDefault="007D24E2" w:rsidP="00E2533F">
            <w:pPr>
              <w:pStyle w:val="142"/>
              <w:spacing w:line="320" w:lineRule="exact"/>
              <w:jc w:val="center"/>
              <w:rPr>
                <w:spacing w:val="-20"/>
                <w:sz w:val="22"/>
                <w:szCs w:val="22"/>
              </w:rPr>
            </w:pPr>
            <w:r w:rsidRPr="00445FA9">
              <w:rPr>
                <w:rFonts w:hint="eastAsia"/>
                <w:spacing w:val="-20"/>
                <w:sz w:val="22"/>
                <w:szCs w:val="22"/>
              </w:rPr>
              <w:t>金額</w:t>
            </w:r>
          </w:p>
        </w:tc>
        <w:tc>
          <w:tcPr>
            <w:tcW w:w="922" w:type="dxa"/>
            <w:vAlign w:val="center"/>
            <w:hideMark/>
          </w:tcPr>
          <w:p w:rsidR="007D24E2" w:rsidRPr="00445FA9" w:rsidRDefault="007D24E2" w:rsidP="00E2533F">
            <w:pPr>
              <w:pStyle w:val="142"/>
              <w:spacing w:line="320" w:lineRule="exact"/>
              <w:jc w:val="center"/>
              <w:rPr>
                <w:spacing w:val="-30"/>
                <w:sz w:val="22"/>
                <w:szCs w:val="22"/>
              </w:rPr>
            </w:pPr>
            <w:r w:rsidRPr="00445FA9">
              <w:rPr>
                <w:rFonts w:hint="eastAsia"/>
                <w:spacing w:val="-30"/>
                <w:sz w:val="22"/>
                <w:szCs w:val="22"/>
              </w:rPr>
              <w:t xml:space="preserve">比重  </w:t>
            </w:r>
            <w:r w:rsidRPr="00445FA9">
              <w:rPr>
                <w:spacing w:val="-30"/>
                <w:sz w:val="22"/>
                <w:szCs w:val="22"/>
              </w:rPr>
              <w:t>B</w:t>
            </w:r>
          </w:p>
        </w:tc>
        <w:tc>
          <w:tcPr>
            <w:tcW w:w="850" w:type="dxa"/>
            <w:vMerge/>
          </w:tcPr>
          <w:p w:rsidR="007D24E2" w:rsidRPr="00445FA9" w:rsidRDefault="007D24E2" w:rsidP="00E2533F">
            <w:pPr>
              <w:pStyle w:val="142"/>
              <w:spacing w:line="320" w:lineRule="exact"/>
              <w:jc w:val="center"/>
              <w:rPr>
                <w:rFonts w:hint="eastAsia"/>
                <w:spacing w:val="-30"/>
                <w:sz w:val="22"/>
                <w:szCs w:val="22"/>
              </w:rPr>
            </w:pPr>
          </w:p>
        </w:tc>
      </w:tr>
      <w:tr w:rsidR="004C2FFB" w:rsidRPr="00445FA9" w:rsidTr="006964F7">
        <w:trPr>
          <w:trHeight w:val="166"/>
          <w:tblHeader/>
        </w:trPr>
        <w:tc>
          <w:tcPr>
            <w:tcW w:w="1298" w:type="dxa"/>
            <w:vAlign w:val="center"/>
          </w:tcPr>
          <w:p w:rsidR="004C2FFB" w:rsidRPr="00445FA9" w:rsidRDefault="004C2FFB" w:rsidP="00E2533F">
            <w:pPr>
              <w:pStyle w:val="142"/>
              <w:spacing w:line="320" w:lineRule="exact"/>
              <w:rPr>
                <w:rFonts w:hint="eastAsia"/>
                <w:spacing w:val="-20"/>
                <w:sz w:val="22"/>
                <w:szCs w:val="22"/>
              </w:rPr>
            </w:pPr>
            <w:r w:rsidRPr="00641F55">
              <w:rPr>
                <w:rFonts w:hint="eastAsia"/>
                <w:spacing w:val="-20"/>
                <w:sz w:val="22"/>
                <w:szCs w:val="22"/>
              </w:rPr>
              <w:t>定存</w:t>
            </w:r>
          </w:p>
        </w:tc>
        <w:tc>
          <w:tcPr>
            <w:tcW w:w="1418" w:type="dxa"/>
            <w:vAlign w:val="center"/>
          </w:tcPr>
          <w:p w:rsidR="004C2FFB" w:rsidRPr="00445FA9" w:rsidRDefault="004C2FFB" w:rsidP="00E2533F">
            <w:pPr>
              <w:pStyle w:val="142"/>
              <w:spacing w:line="320" w:lineRule="exact"/>
              <w:jc w:val="both"/>
              <w:rPr>
                <w:rFonts w:hint="eastAsia"/>
                <w:spacing w:val="-20"/>
                <w:sz w:val="22"/>
                <w:szCs w:val="22"/>
              </w:rPr>
            </w:pPr>
            <w:r w:rsidRPr="00445FA9">
              <w:rPr>
                <w:rFonts w:hint="eastAsia"/>
                <w:spacing w:val="-20"/>
                <w:sz w:val="22"/>
                <w:szCs w:val="22"/>
              </w:rPr>
              <w:t>現金</w:t>
            </w:r>
          </w:p>
        </w:tc>
        <w:tc>
          <w:tcPr>
            <w:tcW w:w="921" w:type="dxa"/>
            <w:vAlign w:val="center"/>
          </w:tcPr>
          <w:p w:rsidR="004C2FFB" w:rsidRPr="00445FA9" w:rsidRDefault="004C2FFB" w:rsidP="00E2533F">
            <w:pPr>
              <w:pStyle w:val="142"/>
              <w:spacing w:line="320" w:lineRule="exact"/>
              <w:jc w:val="right"/>
              <w:rPr>
                <w:rFonts w:hint="eastAsia"/>
                <w:spacing w:val="-20"/>
                <w:sz w:val="22"/>
                <w:szCs w:val="22"/>
              </w:rPr>
            </w:pPr>
            <w:r w:rsidRPr="00445FA9">
              <w:rPr>
                <w:spacing w:val="-20"/>
                <w:sz w:val="22"/>
                <w:szCs w:val="22"/>
              </w:rPr>
              <w:t>199,980</w:t>
            </w:r>
          </w:p>
        </w:tc>
        <w:tc>
          <w:tcPr>
            <w:tcW w:w="921" w:type="dxa"/>
            <w:vAlign w:val="center"/>
          </w:tcPr>
          <w:p w:rsidR="004C2FFB" w:rsidRPr="00445FA9" w:rsidRDefault="004C2FFB" w:rsidP="00E2533F">
            <w:pPr>
              <w:pStyle w:val="142"/>
              <w:spacing w:line="320" w:lineRule="exact"/>
              <w:jc w:val="right"/>
              <w:rPr>
                <w:rFonts w:hint="eastAsia"/>
                <w:spacing w:val="-30"/>
                <w:sz w:val="22"/>
                <w:szCs w:val="22"/>
              </w:rPr>
            </w:pPr>
            <w:r w:rsidRPr="00445FA9">
              <w:rPr>
                <w:rFonts w:hint="eastAsia"/>
                <w:spacing w:val="-20"/>
                <w:sz w:val="22"/>
                <w:szCs w:val="22"/>
              </w:rPr>
              <w:t>59.78</w:t>
            </w:r>
          </w:p>
        </w:tc>
        <w:tc>
          <w:tcPr>
            <w:tcW w:w="1418" w:type="dxa"/>
            <w:vAlign w:val="center"/>
          </w:tcPr>
          <w:p w:rsidR="004C2FFB" w:rsidRPr="00445FA9" w:rsidRDefault="004C2FFB" w:rsidP="00E2533F">
            <w:pPr>
              <w:pStyle w:val="142"/>
              <w:spacing w:line="320" w:lineRule="exact"/>
              <w:jc w:val="both"/>
              <w:rPr>
                <w:rFonts w:hint="eastAsia"/>
                <w:spacing w:val="-20"/>
                <w:sz w:val="22"/>
                <w:szCs w:val="22"/>
              </w:rPr>
            </w:pPr>
            <w:r w:rsidRPr="00445FA9">
              <w:rPr>
                <w:rFonts w:hint="eastAsia"/>
                <w:spacing w:val="-20"/>
                <w:sz w:val="22"/>
                <w:szCs w:val="22"/>
              </w:rPr>
              <w:t>現金</w:t>
            </w:r>
          </w:p>
        </w:tc>
        <w:tc>
          <w:tcPr>
            <w:tcW w:w="921" w:type="dxa"/>
            <w:vAlign w:val="center"/>
          </w:tcPr>
          <w:p w:rsidR="004C2FFB" w:rsidRPr="00445FA9" w:rsidRDefault="004C2FFB" w:rsidP="00E2533F">
            <w:pPr>
              <w:pStyle w:val="142"/>
              <w:spacing w:line="320" w:lineRule="exact"/>
              <w:jc w:val="right"/>
              <w:rPr>
                <w:rFonts w:hint="eastAsia"/>
                <w:spacing w:val="-20"/>
                <w:sz w:val="22"/>
                <w:szCs w:val="22"/>
              </w:rPr>
            </w:pPr>
            <w:r w:rsidRPr="00445FA9">
              <w:rPr>
                <w:spacing w:val="-24"/>
                <w:sz w:val="22"/>
                <w:szCs w:val="22"/>
              </w:rPr>
              <w:t>186,590</w:t>
            </w:r>
          </w:p>
        </w:tc>
        <w:tc>
          <w:tcPr>
            <w:tcW w:w="922" w:type="dxa"/>
            <w:vAlign w:val="center"/>
          </w:tcPr>
          <w:p w:rsidR="004C2FFB" w:rsidRPr="00445FA9" w:rsidRDefault="004C2FFB" w:rsidP="00E2533F">
            <w:pPr>
              <w:pStyle w:val="142"/>
              <w:spacing w:line="320" w:lineRule="exact"/>
              <w:jc w:val="right"/>
              <w:rPr>
                <w:rFonts w:hint="eastAsia"/>
                <w:spacing w:val="-30"/>
                <w:sz w:val="22"/>
                <w:szCs w:val="22"/>
              </w:rPr>
            </w:pPr>
            <w:r w:rsidRPr="00641F55">
              <w:rPr>
                <w:spacing w:val="-20"/>
                <w:sz w:val="22"/>
                <w:szCs w:val="22"/>
              </w:rPr>
              <w:t>4</w:t>
            </w:r>
            <w:r w:rsidRPr="00641F55">
              <w:rPr>
                <w:rFonts w:hint="eastAsia"/>
                <w:spacing w:val="-20"/>
                <w:sz w:val="22"/>
                <w:szCs w:val="22"/>
              </w:rPr>
              <w:t>8.61</w:t>
            </w:r>
          </w:p>
        </w:tc>
        <w:tc>
          <w:tcPr>
            <w:tcW w:w="850" w:type="dxa"/>
            <w:vAlign w:val="center"/>
          </w:tcPr>
          <w:p w:rsidR="004C2FFB" w:rsidRPr="00445FA9" w:rsidRDefault="004C2FFB" w:rsidP="00E2533F">
            <w:pPr>
              <w:pStyle w:val="142"/>
              <w:spacing w:line="320" w:lineRule="exact"/>
              <w:jc w:val="right"/>
              <w:rPr>
                <w:rFonts w:hint="eastAsia"/>
                <w:spacing w:val="-30"/>
                <w:sz w:val="22"/>
                <w:szCs w:val="22"/>
              </w:rPr>
            </w:pPr>
            <w:r w:rsidRPr="00445FA9">
              <w:rPr>
                <w:rFonts w:hint="eastAsia"/>
                <w:spacing w:val="-20"/>
                <w:sz w:val="22"/>
                <w:szCs w:val="22"/>
              </w:rPr>
              <w:t>-</w:t>
            </w:r>
            <w:r w:rsidRPr="00445FA9">
              <w:rPr>
                <w:spacing w:val="-20"/>
                <w:sz w:val="22"/>
                <w:szCs w:val="22"/>
              </w:rPr>
              <w:t>11.17</w:t>
            </w:r>
          </w:p>
        </w:tc>
      </w:tr>
      <w:tr w:rsidR="004C2FFB" w:rsidRPr="00445FA9" w:rsidTr="006964F7">
        <w:trPr>
          <w:trHeight w:val="166"/>
          <w:tblHeader/>
        </w:trPr>
        <w:tc>
          <w:tcPr>
            <w:tcW w:w="1298" w:type="dxa"/>
            <w:vAlign w:val="center"/>
          </w:tcPr>
          <w:p w:rsidR="004C2FFB" w:rsidRPr="00445FA9" w:rsidRDefault="004C2FFB" w:rsidP="00E2533F">
            <w:pPr>
              <w:pStyle w:val="142"/>
              <w:spacing w:line="320" w:lineRule="exact"/>
              <w:rPr>
                <w:rFonts w:hint="eastAsia"/>
                <w:spacing w:val="-20"/>
                <w:sz w:val="22"/>
                <w:szCs w:val="22"/>
              </w:rPr>
            </w:pPr>
            <w:r w:rsidRPr="00445FA9">
              <w:rPr>
                <w:rFonts w:hint="eastAsia"/>
                <w:spacing w:val="-20"/>
                <w:sz w:val="22"/>
                <w:szCs w:val="22"/>
              </w:rPr>
              <w:t>投資性不動產</w:t>
            </w:r>
          </w:p>
        </w:tc>
        <w:tc>
          <w:tcPr>
            <w:tcW w:w="1418" w:type="dxa"/>
            <w:vAlign w:val="center"/>
          </w:tcPr>
          <w:p w:rsidR="004C2FFB" w:rsidRPr="00445FA9" w:rsidRDefault="004C2FFB" w:rsidP="00E2533F">
            <w:pPr>
              <w:pStyle w:val="142"/>
              <w:spacing w:line="320" w:lineRule="exact"/>
              <w:jc w:val="both"/>
              <w:rPr>
                <w:rFonts w:hint="eastAsia"/>
                <w:spacing w:val="-20"/>
                <w:sz w:val="22"/>
                <w:szCs w:val="22"/>
              </w:rPr>
            </w:pPr>
            <w:r w:rsidRPr="00445FA9">
              <w:rPr>
                <w:rFonts w:hint="eastAsia"/>
                <w:spacing w:val="-20"/>
                <w:sz w:val="22"/>
                <w:szCs w:val="22"/>
              </w:rPr>
              <w:t>新加坡商辦</w:t>
            </w:r>
          </w:p>
        </w:tc>
        <w:tc>
          <w:tcPr>
            <w:tcW w:w="921" w:type="dxa"/>
            <w:vAlign w:val="center"/>
          </w:tcPr>
          <w:p w:rsidR="004C2FFB" w:rsidRPr="00445FA9" w:rsidRDefault="004C2FFB" w:rsidP="00E2533F">
            <w:pPr>
              <w:pStyle w:val="142"/>
              <w:spacing w:line="320" w:lineRule="exact"/>
              <w:jc w:val="right"/>
              <w:rPr>
                <w:rFonts w:hint="eastAsia"/>
                <w:spacing w:val="-20"/>
                <w:sz w:val="22"/>
                <w:szCs w:val="22"/>
              </w:rPr>
            </w:pPr>
            <w:r w:rsidRPr="00445FA9">
              <w:rPr>
                <w:rFonts w:hint="eastAsia"/>
                <w:spacing w:val="-20"/>
                <w:sz w:val="22"/>
                <w:szCs w:val="22"/>
              </w:rPr>
              <w:t>70</w:t>
            </w:r>
            <w:r w:rsidRPr="00445FA9">
              <w:rPr>
                <w:spacing w:val="-20"/>
                <w:sz w:val="22"/>
                <w:szCs w:val="22"/>
              </w:rPr>
              <w:t>,282</w:t>
            </w:r>
          </w:p>
        </w:tc>
        <w:tc>
          <w:tcPr>
            <w:tcW w:w="921" w:type="dxa"/>
            <w:vAlign w:val="center"/>
          </w:tcPr>
          <w:p w:rsidR="004C2FFB" w:rsidRPr="00445FA9" w:rsidRDefault="004C2FFB" w:rsidP="00E2533F">
            <w:pPr>
              <w:pStyle w:val="142"/>
              <w:spacing w:line="320" w:lineRule="exact"/>
              <w:jc w:val="right"/>
              <w:rPr>
                <w:spacing w:val="-30"/>
                <w:sz w:val="22"/>
                <w:szCs w:val="22"/>
              </w:rPr>
            </w:pPr>
            <w:r w:rsidRPr="00445FA9">
              <w:rPr>
                <w:spacing w:val="-30"/>
                <w:sz w:val="22"/>
                <w:szCs w:val="22"/>
              </w:rPr>
              <w:t>21.01</w:t>
            </w:r>
          </w:p>
        </w:tc>
        <w:tc>
          <w:tcPr>
            <w:tcW w:w="1418" w:type="dxa"/>
            <w:vAlign w:val="center"/>
          </w:tcPr>
          <w:p w:rsidR="004C2FFB" w:rsidRPr="00445FA9" w:rsidRDefault="004C2FFB" w:rsidP="00E2533F">
            <w:pPr>
              <w:pStyle w:val="142"/>
              <w:spacing w:line="320" w:lineRule="exact"/>
              <w:jc w:val="both"/>
              <w:rPr>
                <w:rFonts w:hint="eastAsia"/>
                <w:spacing w:val="-20"/>
                <w:sz w:val="22"/>
                <w:szCs w:val="22"/>
              </w:rPr>
            </w:pPr>
            <w:r w:rsidRPr="00445FA9">
              <w:rPr>
                <w:rFonts w:hint="eastAsia"/>
                <w:spacing w:val="-20"/>
                <w:sz w:val="22"/>
                <w:szCs w:val="22"/>
              </w:rPr>
              <w:t>新加坡商辦</w:t>
            </w:r>
          </w:p>
        </w:tc>
        <w:tc>
          <w:tcPr>
            <w:tcW w:w="921" w:type="dxa"/>
            <w:vAlign w:val="center"/>
          </w:tcPr>
          <w:p w:rsidR="004C2FFB" w:rsidRPr="00445FA9" w:rsidRDefault="004C2FFB" w:rsidP="00E2533F">
            <w:pPr>
              <w:pStyle w:val="142"/>
              <w:spacing w:line="320" w:lineRule="exact"/>
              <w:jc w:val="right"/>
              <w:rPr>
                <w:rFonts w:hint="eastAsia"/>
                <w:spacing w:val="-20"/>
                <w:sz w:val="22"/>
                <w:szCs w:val="22"/>
              </w:rPr>
            </w:pPr>
            <w:r w:rsidRPr="00445FA9">
              <w:rPr>
                <w:rFonts w:hint="eastAsia"/>
                <w:spacing w:val="-20"/>
                <w:sz w:val="22"/>
                <w:szCs w:val="22"/>
              </w:rPr>
              <w:t>7</w:t>
            </w:r>
            <w:r w:rsidRPr="00445FA9">
              <w:rPr>
                <w:spacing w:val="-20"/>
                <w:sz w:val="22"/>
                <w:szCs w:val="22"/>
              </w:rPr>
              <w:t>4,439</w:t>
            </w:r>
          </w:p>
        </w:tc>
        <w:tc>
          <w:tcPr>
            <w:tcW w:w="922" w:type="dxa"/>
            <w:vAlign w:val="center"/>
          </w:tcPr>
          <w:p w:rsidR="004C2FFB" w:rsidRPr="00445FA9" w:rsidRDefault="004C2FFB" w:rsidP="00E2533F">
            <w:pPr>
              <w:pStyle w:val="142"/>
              <w:spacing w:line="320" w:lineRule="exact"/>
              <w:jc w:val="right"/>
              <w:rPr>
                <w:rFonts w:hint="eastAsia"/>
                <w:spacing w:val="-30"/>
                <w:sz w:val="22"/>
                <w:szCs w:val="22"/>
              </w:rPr>
            </w:pPr>
            <w:r w:rsidRPr="00445FA9">
              <w:rPr>
                <w:rFonts w:hint="eastAsia"/>
                <w:spacing w:val="-30"/>
                <w:sz w:val="22"/>
                <w:szCs w:val="22"/>
              </w:rPr>
              <w:t>19.39</w:t>
            </w:r>
          </w:p>
        </w:tc>
        <w:tc>
          <w:tcPr>
            <w:tcW w:w="850" w:type="dxa"/>
            <w:vAlign w:val="center"/>
          </w:tcPr>
          <w:p w:rsidR="004C2FFB" w:rsidRPr="00445FA9" w:rsidRDefault="004C2FFB" w:rsidP="00E2533F">
            <w:pPr>
              <w:pStyle w:val="142"/>
              <w:spacing w:line="320" w:lineRule="exact"/>
              <w:jc w:val="right"/>
              <w:rPr>
                <w:spacing w:val="-30"/>
                <w:sz w:val="22"/>
                <w:szCs w:val="22"/>
              </w:rPr>
            </w:pPr>
            <w:r w:rsidRPr="00445FA9">
              <w:rPr>
                <w:spacing w:val="-30"/>
                <w:sz w:val="22"/>
                <w:szCs w:val="22"/>
              </w:rPr>
              <w:t>-1.62</w:t>
            </w:r>
          </w:p>
        </w:tc>
      </w:tr>
      <w:tr w:rsidR="004C2FFB" w:rsidRPr="00445FA9" w:rsidTr="006964F7">
        <w:trPr>
          <w:trHeight w:val="149"/>
        </w:trPr>
        <w:tc>
          <w:tcPr>
            <w:tcW w:w="1298" w:type="dxa"/>
            <w:vMerge w:val="restart"/>
            <w:vAlign w:val="center"/>
          </w:tcPr>
          <w:p w:rsidR="004C2FFB" w:rsidRPr="0033144D" w:rsidRDefault="004C2FFB" w:rsidP="00E2533F">
            <w:pPr>
              <w:pStyle w:val="142"/>
              <w:spacing w:line="320" w:lineRule="exact"/>
              <w:jc w:val="both"/>
              <w:rPr>
                <w:rFonts w:hint="eastAsia"/>
                <w:b/>
                <w:bCs/>
                <w:spacing w:val="-20"/>
                <w:sz w:val="22"/>
                <w:szCs w:val="22"/>
              </w:rPr>
            </w:pPr>
            <w:r w:rsidRPr="0033144D">
              <w:rPr>
                <w:rFonts w:hint="eastAsia"/>
                <w:b/>
                <w:bCs/>
                <w:spacing w:val="-20"/>
                <w:sz w:val="22"/>
                <w:szCs w:val="22"/>
              </w:rPr>
              <w:t>投資子公司或合資公司</w:t>
            </w:r>
          </w:p>
        </w:tc>
        <w:tc>
          <w:tcPr>
            <w:tcW w:w="1418" w:type="dxa"/>
            <w:vAlign w:val="center"/>
          </w:tcPr>
          <w:p w:rsidR="004C2FFB" w:rsidRPr="00445FA9" w:rsidRDefault="004C2FFB" w:rsidP="00E2533F">
            <w:pPr>
              <w:pStyle w:val="142"/>
              <w:spacing w:line="320" w:lineRule="exact"/>
              <w:jc w:val="both"/>
              <w:rPr>
                <w:rFonts w:hint="eastAsia"/>
                <w:spacing w:val="-20"/>
                <w:sz w:val="22"/>
                <w:szCs w:val="22"/>
              </w:rPr>
            </w:pPr>
            <w:r w:rsidRPr="00445FA9">
              <w:rPr>
                <w:rFonts w:hint="eastAsia"/>
                <w:spacing w:val="-20"/>
                <w:sz w:val="22"/>
                <w:szCs w:val="22"/>
              </w:rPr>
              <w:t>台源印尼公司</w:t>
            </w:r>
          </w:p>
        </w:tc>
        <w:tc>
          <w:tcPr>
            <w:tcW w:w="921" w:type="dxa"/>
            <w:vAlign w:val="center"/>
          </w:tcPr>
          <w:p w:rsidR="004C2FFB" w:rsidRPr="00445FA9" w:rsidRDefault="004C2FFB" w:rsidP="00E2533F">
            <w:pPr>
              <w:pStyle w:val="142"/>
              <w:spacing w:line="320" w:lineRule="exact"/>
              <w:ind w:leftChars="-37" w:left="-105"/>
              <w:jc w:val="right"/>
              <w:rPr>
                <w:spacing w:val="-20"/>
                <w:sz w:val="22"/>
                <w:szCs w:val="22"/>
              </w:rPr>
            </w:pPr>
            <w:r w:rsidRPr="00445FA9">
              <w:rPr>
                <w:spacing w:val="-20"/>
                <w:sz w:val="22"/>
                <w:szCs w:val="22"/>
              </w:rPr>
              <w:t>27,385</w:t>
            </w:r>
          </w:p>
        </w:tc>
        <w:tc>
          <w:tcPr>
            <w:tcW w:w="921" w:type="dxa"/>
            <w:vAlign w:val="center"/>
          </w:tcPr>
          <w:p w:rsidR="004C2FFB" w:rsidRPr="00445FA9" w:rsidRDefault="004C2FFB" w:rsidP="00E2533F">
            <w:pPr>
              <w:pStyle w:val="142"/>
              <w:spacing w:line="320" w:lineRule="exact"/>
              <w:jc w:val="right"/>
              <w:rPr>
                <w:spacing w:val="-20"/>
                <w:sz w:val="22"/>
                <w:szCs w:val="22"/>
              </w:rPr>
            </w:pPr>
            <w:r w:rsidRPr="00445FA9">
              <w:rPr>
                <w:spacing w:val="-20"/>
                <w:sz w:val="22"/>
                <w:szCs w:val="22"/>
              </w:rPr>
              <w:t>8</w:t>
            </w:r>
            <w:r w:rsidRPr="00445FA9">
              <w:rPr>
                <w:rFonts w:hint="eastAsia"/>
                <w:spacing w:val="-20"/>
                <w:sz w:val="22"/>
                <w:szCs w:val="22"/>
              </w:rPr>
              <w:t>.19</w:t>
            </w:r>
          </w:p>
        </w:tc>
        <w:tc>
          <w:tcPr>
            <w:tcW w:w="1418" w:type="dxa"/>
            <w:vAlign w:val="center"/>
          </w:tcPr>
          <w:p w:rsidR="004C2FFB" w:rsidRPr="00445FA9" w:rsidRDefault="004C2FFB" w:rsidP="00E2533F">
            <w:pPr>
              <w:pStyle w:val="142"/>
              <w:spacing w:line="320" w:lineRule="exact"/>
              <w:jc w:val="both"/>
              <w:rPr>
                <w:rFonts w:hint="eastAsia"/>
                <w:spacing w:val="-20"/>
                <w:sz w:val="22"/>
                <w:szCs w:val="22"/>
              </w:rPr>
            </w:pPr>
            <w:r w:rsidRPr="00445FA9">
              <w:rPr>
                <w:rFonts w:hint="eastAsia"/>
                <w:spacing w:val="-20"/>
                <w:sz w:val="22"/>
                <w:szCs w:val="22"/>
              </w:rPr>
              <w:t>台源印尼公司</w:t>
            </w:r>
          </w:p>
        </w:tc>
        <w:tc>
          <w:tcPr>
            <w:tcW w:w="921" w:type="dxa"/>
            <w:vAlign w:val="center"/>
          </w:tcPr>
          <w:p w:rsidR="004C2FFB" w:rsidRPr="00445FA9" w:rsidRDefault="004C2FFB" w:rsidP="00E2533F">
            <w:pPr>
              <w:pStyle w:val="142"/>
              <w:spacing w:line="320" w:lineRule="exact"/>
              <w:jc w:val="right"/>
              <w:rPr>
                <w:spacing w:val="-20"/>
                <w:sz w:val="22"/>
                <w:szCs w:val="22"/>
              </w:rPr>
            </w:pPr>
            <w:r w:rsidRPr="00445FA9">
              <w:rPr>
                <w:spacing w:val="-20"/>
                <w:sz w:val="22"/>
                <w:szCs w:val="22"/>
              </w:rPr>
              <w:t>47,263</w:t>
            </w:r>
          </w:p>
        </w:tc>
        <w:tc>
          <w:tcPr>
            <w:tcW w:w="922" w:type="dxa"/>
            <w:vAlign w:val="center"/>
          </w:tcPr>
          <w:p w:rsidR="004C2FFB" w:rsidRPr="00445FA9" w:rsidRDefault="004C2FFB" w:rsidP="00E2533F">
            <w:pPr>
              <w:pStyle w:val="142"/>
              <w:spacing w:line="320" w:lineRule="exact"/>
              <w:jc w:val="right"/>
              <w:rPr>
                <w:spacing w:val="-20"/>
                <w:sz w:val="22"/>
                <w:szCs w:val="22"/>
              </w:rPr>
            </w:pPr>
            <w:r w:rsidRPr="00445FA9">
              <w:rPr>
                <w:spacing w:val="-20"/>
                <w:sz w:val="22"/>
                <w:szCs w:val="22"/>
              </w:rPr>
              <w:t>12</w:t>
            </w:r>
            <w:r w:rsidRPr="00445FA9">
              <w:rPr>
                <w:rFonts w:hint="eastAsia"/>
                <w:spacing w:val="-20"/>
                <w:sz w:val="22"/>
                <w:szCs w:val="22"/>
              </w:rPr>
              <w:t>.31</w:t>
            </w:r>
          </w:p>
        </w:tc>
        <w:tc>
          <w:tcPr>
            <w:tcW w:w="850" w:type="dxa"/>
            <w:vAlign w:val="center"/>
          </w:tcPr>
          <w:p w:rsidR="004C2FFB" w:rsidRPr="00445FA9" w:rsidRDefault="004C2FFB" w:rsidP="00E2533F">
            <w:pPr>
              <w:pStyle w:val="142"/>
              <w:spacing w:line="320" w:lineRule="exact"/>
              <w:jc w:val="right"/>
              <w:rPr>
                <w:spacing w:val="-20"/>
                <w:sz w:val="22"/>
                <w:szCs w:val="22"/>
              </w:rPr>
            </w:pPr>
            <w:r w:rsidRPr="00445FA9">
              <w:rPr>
                <w:rFonts w:hint="eastAsia"/>
                <w:spacing w:val="-20"/>
                <w:sz w:val="22"/>
                <w:szCs w:val="22"/>
              </w:rPr>
              <w:t>4</w:t>
            </w:r>
            <w:r w:rsidRPr="00445FA9">
              <w:rPr>
                <w:spacing w:val="-20"/>
                <w:sz w:val="22"/>
                <w:szCs w:val="22"/>
              </w:rPr>
              <w:t>.12</w:t>
            </w:r>
          </w:p>
        </w:tc>
      </w:tr>
      <w:tr w:rsidR="004C2FFB" w:rsidRPr="00445FA9" w:rsidTr="006964F7">
        <w:trPr>
          <w:trHeight w:val="149"/>
        </w:trPr>
        <w:tc>
          <w:tcPr>
            <w:tcW w:w="1298" w:type="dxa"/>
            <w:vMerge/>
            <w:vAlign w:val="center"/>
          </w:tcPr>
          <w:p w:rsidR="004C2FFB" w:rsidRPr="00445FA9" w:rsidRDefault="004C2FFB" w:rsidP="00E2533F">
            <w:pPr>
              <w:pStyle w:val="142"/>
              <w:spacing w:line="320" w:lineRule="exact"/>
              <w:jc w:val="both"/>
              <w:rPr>
                <w:rFonts w:hint="eastAsia"/>
                <w:spacing w:val="-20"/>
                <w:sz w:val="22"/>
                <w:szCs w:val="22"/>
              </w:rPr>
            </w:pPr>
          </w:p>
        </w:tc>
        <w:tc>
          <w:tcPr>
            <w:tcW w:w="1418" w:type="dxa"/>
            <w:vAlign w:val="center"/>
          </w:tcPr>
          <w:p w:rsidR="004C2FFB" w:rsidRPr="00445FA9" w:rsidRDefault="004C2FFB" w:rsidP="00E2533F">
            <w:pPr>
              <w:pStyle w:val="142"/>
              <w:spacing w:line="320" w:lineRule="exact"/>
              <w:jc w:val="both"/>
              <w:rPr>
                <w:spacing w:val="-20"/>
                <w:sz w:val="22"/>
                <w:szCs w:val="22"/>
              </w:rPr>
            </w:pPr>
            <w:r w:rsidRPr="00445FA9">
              <w:rPr>
                <w:rFonts w:hint="eastAsia"/>
                <w:spacing w:val="-20"/>
                <w:sz w:val="22"/>
                <w:szCs w:val="22"/>
              </w:rPr>
              <w:t>臺馬公司</w:t>
            </w:r>
          </w:p>
        </w:tc>
        <w:tc>
          <w:tcPr>
            <w:tcW w:w="921" w:type="dxa"/>
            <w:vAlign w:val="center"/>
          </w:tcPr>
          <w:p w:rsidR="004C2FFB" w:rsidRPr="00445FA9" w:rsidRDefault="004C2FFB" w:rsidP="00E2533F">
            <w:pPr>
              <w:pStyle w:val="142"/>
              <w:spacing w:line="320" w:lineRule="exact"/>
              <w:ind w:leftChars="-37" w:left="-105"/>
              <w:jc w:val="right"/>
              <w:rPr>
                <w:spacing w:val="-20"/>
                <w:sz w:val="22"/>
                <w:szCs w:val="22"/>
              </w:rPr>
            </w:pPr>
            <w:r w:rsidRPr="00445FA9">
              <w:rPr>
                <w:spacing w:val="-20"/>
                <w:sz w:val="22"/>
                <w:szCs w:val="22"/>
              </w:rPr>
              <w:t>2,076</w:t>
            </w:r>
          </w:p>
        </w:tc>
        <w:tc>
          <w:tcPr>
            <w:tcW w:w="921" w:type="dxa"/>
            <w:vAlign w:val="center"/>
          </w:tcPr>
          <w:p w:rsidR="004C2FFB" w:rsidRPr="00445FA9" w:rsidRDefault="004C2FFB" w:rsidP="00E2533F">
            <w:pPr>
              <w:pStyle w:val="142"/>
              <w:spacing w:line="320" w:lineRule="exact"/>
              <w:jc w:val="right"/>
              <w:rPr>
                <w:spacing w:val="-20"/>
                <w:sz w:val="22"/>
                <w:szCs w:val="22"/>
              </w:rPr>
            </w:pPr>
            <w:r w:rsidRPr="00445FA9">
              <w:rPr>
                <w:rFonts w:hint="eastAsia"/>
                <w:spacing w:val="-20"/>
                <w:sz w:val="22"/>
                <w:szCs w:val="22"/>
              </w:rPr>
              <w:t>0.62</w:t>
            </w:r>
          </w:p>
        </w:tc>
        <w:tc>
          <w:tcPr>
            <w:tcW w:w="1418" w:type="dxa"/>
            <w:vAlign w:val="center"/>
          </w:tcPr>
          <w:p w:rsidR="004C2FFB" w:rsidRPr="00445FA9" w:rsidRDefault="004C2FFB" w:rsidP="00E2533F">
            <w:pPr>
              <w:pStyle w:val="142"/>
              <w:spacing w:line="320" w:lineRule="exact"/>
              <w:jc w:val="both"/>
              <w:rPr>
                <w:spacing w:val="-20"/>
                <w:sz w:val="22"/>
                <w:szCs w:val="22"/>
              </w:rPr>
            </w:pPr>
            <w:r w:rsidRPr="00445FA9">
              <w:rPr>
                <w:rFonts w:hint="eastAsia"/>
                <w:spacing w:val="-20"/>
                <w:sz w:val="22"/>
                <w:szCs w:val="22"/>
              </w:rPr>
              <w:t>臺馬公司</w:t>
            </w:r>
          </w:p>
        </w:tc>
        <w:tc>
          <w:tcPr>
            <w:tcW w:w="921" w:type="dxa"/>
            <w:vAlign w:val="center"/>
          </w:tcPr>
          <w:p w:rsidR="004C2FFB" w:rsidRPr="00445FA9" w:rsidRDefault="004C2FFB" w:rsidP="00E2533F">
            <w:pPr>
              <w:pStyle w:val="142"/>
              <w:spacing w:line="320" w:lineRule="exact"/>
              <w:jc w:val="right"/>
              <w:rPr>
                <w:spacing w:val="-20"/>
                <w:sz w:val="22"/>
                <w:szCs w:val="22"/>
              </w:rPr>
            </w:pPr>
            <w:r w:rsidRPr="00445FA9">
              <w:rPr>
                <w:rFonts w:hint="eastAsia"/>
                <w:spacing w:val="-20"/>
                <w:sz w:val="22"/>
                <w:szCs w:val="22"/>
              </w:rPr>
              <w:t>0</w:t>
            </w:r>
          </w:p>
        </w:tc>
        <w:tc>
          <w:tcPr>
            <w:tcW w:w="922" w:type="dxa"/>
            <w:vAlign w:val="center"/>
          </w:tcPr>
          <w:p w:rsidR="004C2FFB" w:rsidRPr="00445FA9" w:rsidRDefault="004C2FFB" w:rsidP="00E2533F">
            <w:pPr>
              <w:pStyle w:val="142"/>
              <w:spacing w:line="320" w:lineRule="exact"/>
              <w:jc w:val="right"/>
              <w:rPr>
                <w:spacing w:val="-20"/>
                <w:sz w:val="22"/>
                <w:szCs w:val="22"/>
              </w:rPr>
            </w:pPr>
            <w:r w:rsidRPr="00445FA9">
              <w:rPr>
                <w:rFonts w:hint="eastAsia"/>
                <w:spacing w:val="-20"/>
                <w:sz w:val="22"/>
                <w:szCs w:val="22"/>
              </w:rPr>
              <w:t>0</w:t>
            </w:r>
          </w:p>
        </w:tc>
        <w:tc>
          <w:tcPr>
            <w:tcW w:w="850" w:type="dxa"/>
            <w:vAlign w:val="center"/>
          </w:tcPr>
          <w:p w:rsidR="004C2FFB" w:rsidRPr="00445FA9" w:rsidRDefault="004C2FFB" w:rsidP="00E2533F">
            <w:pPr>
              <w:pStyle w:val="142"/>
              <w:spacing w:line="320" w:lineRule="exact"/>
              <w:jc w:val="right"/>
              <w:rPr>
                <w:spacing w:val="-20"/>
                <w:sz w:val="22"/>
                <w:szCs w:val="22"/>
              </w:rPr>
            </w:pPr>
            <w:r w:rsidRPr="00445FA9">
              <w:rPr>
                <w:rFonts w:hint="eastAsia"/>
                <w:spacing w:val="-20"/>
                <w:sz w:val="22"/>
                <w:szCs w:val="22"/>
              </w:rPr>
              <w:t>-0.62</w:t>
            </w:r>
          </w:p>
        </w:tc>
      </w:tr>
      <w:tr w:rsidR="004C2FFB" w:rsidRPr="00445FA9" w:rsidTr="006964F7">
        <w:trPr>
          <w:trHeight w:val="149"/>
        </w:trPr>
        <w:tc>
          <w:tcPr>
            <w:tcW w:w="1298" w:type="dxa"/>
            <w:vMerge/>
            <w:vAlign w:val="center"/>
          </w:tcPr>
          <w:p w:rsidR="004C2FFB" w:rsidRPr="00445FA9" w:rsidRDefault="004C2FFB" w:rsidP="00E2533F">
            <w:pPr>
              <w:pStyle w:val="142"/>
              <w:spacing w:line="320" w:lineRule="exact"/>
              <w:jc w:val="both"/>
              <w:rPr>
                <w:rFonts w:hint="eastAsia"/>
                <w:spacing w:val="-20"/>
                <w:sz w:val="22"/>
                <w:szCs w:val="22"/>
              </w:rPr>
            </w:pPr>
          </w:p>
        </w:tc>
        <w:tc>
          <w:tcPr>
            <w:tcW w:w="1418" w:type="dxa"/>
            <w:vAlign w:val="center"/>
          </w:tcPr>
          <w:p w:rsidR="004C2FFB" w:rsidRPr="00445FA9" w:rsidRDefault="004C2FFB" w:rsidP="00E2533F">
            <w:pPr>
              <w:pStyle w:val="142"/>
              <w:spacing w:line="320" w:lineRule="exact"/>
              <w:jc w:val="both"/>
              <w:rPr>
                <w:spacing w:val="-20"/>
                <w:sz w:val="22"/>
                <w:szCs w:val="22"/>
              </w:rPr>
            </w:pPr>
            <w:r w:rsidRPr="00445FA9">
              <w:rPr>
                <w:rFonts w:hint="eastAsia"/>
                <w:spacing w:val="-20"/>
                <w:sz w:val="22"/>
                <w:szCs w:val="22"/>
              </w:rPr>
              <w:t>小計</w:t>
            </w:r>
          </w:p>
        </w:tc>
        <w:tc>
          <w:tcPr>
            <w:tcW w:w="921" w:type="dxa"/>
            <w:vAlign w:val="center"/>
          </w:tcPr>
          <w:p w:rsidR="004C2FFB" w:rsidRPr="00445FA9" w:rsidRDefault="004C2FFB" w:rsidP="00E2533F">
            <w:pPr>
              <w:pStyle w:val="142"/>
              <w:spacing w:line="320" w:lineRule="exact"/>
              <w:ind w:leftChars="-37" w:left="-105"/>
              <w:jc w:val="right"/>
              <w:rPr>
                <w:spacing w:val="-20"/>
                <w:sz w:val="22"/>
                <w:szCs w:val="22"/>
              </w:rPr>
            </w:pPr>
            <w:r w:rsidRPr="00445FA9">
              <w:rPr>
                <w:rFonts w:hint="eastAsia"/>
                <w:spacing w:val="-20"/>
                <w:sz w:val="22"/>
                <w:szCs w:val="22"/>
              </w:rPr>
              <w:t>29</w:t>
            </w:r>
            <w:r w:rsidRPr="00445FA9">
              <w:rPr>
                <w:spacing w:val="-20"/>
                <w:sz w:val="22"/>
                <w:szCs w:val="22"/>
              </w:rPr>
              <w:t>,461</w:t>
            </w:r>
          </w:p>
        </w:tc>
        <w:tc>
          <w:tcPr>
            <w:tcW w:w="921" w:type="dxa"/>
            <w:vAlign w:val="center"/>
          </w:tcPr>
          <w:p w:rsidR="004C2FFB" w:rsidRPr="00445FA9" w:rsidRDefault="004C2FFB" w:rsidP="00E2533F">
            <w:pPr>
              <w:pStyle w:val="142"/>
              <w:spacing w:line="320" w:lineRule="exact"/>
              <w:jc w:val="right"/>
              <w:rPr>
                <w:rFonts w:hint="eastAsia"/>
                <w:spacing w:val="-20"/>
                <w:sz w:val="22"/>
                <w:szCs w:val="22"/>
              </w:rPr>
            </w:pPr>
            <w:r w:rsidRPr="00445FA9">
              <w:rPr>
                <w:rFonts w:hint="eastAsia"/>
                <w:spacing w:val="-20"/>
                <w:sz w:val="22"/>
                <w:szCs w:val="22"/>
              </w:rPr>
              <w:t>8.81</w:t>
            </w:r>
          </w:p>
        </w:tc>
        <w:tc>
          <w:tcPr>
            <w:tcW w:w="1418" w:type="dxa"/>
            <w:vAlign w:val="center"/>
          </w:tcPr>
          <w:p w:rsidR="004C2FFB" w:rsidRPr="00445FA9" w:rsidRDefault="004C2FFB" w:rsidP="00E2533F">
            <w:pPr>
              <w:pStyle w:val="142"/>
              <w:spacing w:line="320" w:lineRule="exact"/>
              <w:jc w:val="both"/>
              <w:rPr>
                <w:spacing w:val="-20"/>
                <w:sz w:val="22"/>
                <w:szCs w:val="22"/>
              </w:rPr>
            </w:pPr>
            <w:r w:rsidRPr="00445FA9">
              <w:rPr>
                <w:rFonts w:hint="eastAsia"/>
                <w:spacing w:val="-20"/>
                <w:sz w:val="22"/>
                <w:szCs w:val="22"/>
              </w:rPr>
              <w:t>小計</w:t>
            </w:r>
          </w:p>
        </w:tc>
        <w:tc>
          <w:tcPr>
            <w:tcW w:w="921" w:type="dxa"/>
            <w:vAlign w:val="center"/>
          </w:tcPr>
          <w:p w:rsidR="004C2FFB" w:rsidRPr="00445FA9" w:rsidRDefault="004C2FFB" w:rsidP="00E2533F">
            <w:pPr>
              <w:pStyle w:val="142"/>
              <w:spacing w:line="320" w:lineRule="exact"/>
              <w:jc w:val="right"/>
              <w:rPr>
                <w:spacing w:val="-20"/>
                <w:sz w:val="22"/>
                <w:szCs w:val="22"/>
              </w:rPr>
            </w:pPr>
            <w:r w:rsidRPr="00445FA9">
              <w:rPr>
                <w:rFonts w:hint="eastAsia"/>
                <w:spacing w:val="-20"/>
                <w:sz w:val="22"/>
                <w:szCs w:val="22"/>
              </w:rPr>
              <w:t>4</w:t>
            </w:r>
            <w:r w:rsidRPr="00445FA9">
              <w:rPr>
                <w:spacing w:val="-20"/>
                <w:sz w:val="22"/>
                <w:szCs w:val="22"/>
              </w:rPr>
              <w:t>7,263</w:t>
            </w:r>
          </w:p>
        </w:tc>
        <w:tc>
          <w:tcPr>
            <w:tcW w:w="922" w:type="dxa"/>
            <w:vAlign w:val="center"/>
          </w:tcPr>
          <w:p w:rsidR="004C2FFB" w:rsidRPr="0033144D" w:rsidRDefault="004C2FFB" w:rsidP="00E2533F">
            <w:pPr>
              <w:pStyle w:val="142"/>
              <w:spacing w:line="320" w:lineRule="exact"/>
              <w:jc w:val="right"/>
              <w:rPr>
                <w:rFonts w:hint="eastAsia"/>
                <w:b/>
                <w:bCs/>
                <w:spacing w:val="-20"/>
                <w:sz w:val="22"/>
                <w:szCs w:val="22"/>
              </w:rPr>
            </w:pPr>
            <w:r w:rsidRPr="0033144D">
              <w:rPr>
                <w:rFonts w:hint="eastAsia"/>
                <w:b/>
                <w:bCs/>
                <w:spacing w:val="-20"/>
                <w:sz w:val="22"/>
                <w:szCs w:val="22"/>
              </w:rPr>
              <w:t>1</w:t>
            </w:r>
            <w:r w:rsidRPr="0033144D">
              <w:rPr>
                <w:b/>
                <w:bCs/>
                <w:spacing w:val="-20"/>
                <w:sz w:val="22"/>
                <w:szCs w:val="22"/>
              </w:rPr>
              <w:t>2</w:t>
            </w:r>
            <w:r w:rsidRPr="0033144D">
              <w:rPr>
                <w:rFonts w:hint="eastAsia"/>
                <w:b/>
                <w:bCs/>
                <w:spacing w:val="-20"/>
                <w:sz w:val="22"/>
                <w:szCs w:val="22"/>
              </w:rPr>
              <w:t>.31</w:t>
            </w:r>
          </w:p>
        </w:tc>
        <w:tc>
          <w:tcPr>
            <w:tcW w:w="850" w:type="dxa"/>
            <w:vAlign w:val="center"/>
          </w:tcPr>
          <w:p w:rsidR="004C2FFB" w:rsidRPr="00445FA9" w:rsidRDefault="004C2FFB" w:rsidP="00E2533F">
            <w:pPr>
              <w:pStyle w:val="142"/>
              <w:spacing w:line="320" w:lineRule="exact"/>
              <w:jc w:val="right"/>
              <w:rPr>
                <w:rFonts w:hint="eastAsia"/>
                <w:spacing w:val="-20"/>
                <w:sz w:val="22"/>
                <w:szCs w:val="22"/>
              </w:rPr>
            </w:pPr>
            <w:r w:rsidRPr="00445FA9">
              <w:rPr>
                <w:rFonts w:hint="eastAsia"/>
                <w:spacing w:val="-20"/>
                <w:sz w:val="22"/>
                <w:szCs w:val="22"/>
              </w:rPr>
              <w:t>3</w:t>
            </w:r>
            <w:r w:rsidRPr="00445FA9">
              <w:rPr>
                <w:spacing w:val="-20"/>
                <w:sz w:val="22"/>
                <w:szCs w:val="22"/>
              </w:rPr>
              <w:t>.5</w:t>
            </w:r>
          </w:p>
        </w:tc>
      </w:tr>
      <w:tr w:rsidR="004C2FFB" w:rsidRPr="00445FA9" w:rsidTr="004C2FFB">
        <w:trPr>
          <w:trHeight w:val="149"/>
        </w:trPr>
        <w:tc>
          <w:tcPr>
            <w:tcW w:w="1298" w:type="dxa"/>
            <w:tcBorders>
              <w:bottom w:val="double" w:sz="4" w:space="0" w:color="auto"/>
            </w:tcBorders>
            <w:vAlign w:val="center"/>
          </w:tcPr>
          <w:p w:rsidR="004C2FFB" w:rsidRPr="0033144D" w:rsidRDefault="004C2FFB" w:rsidP="00E2533F">
            <w:pPr>
              <w:pStyle w:val="142"/>
              <w:spacing w:line="320" w:lineRule="exact"/>
              <w:jc w:val="both"/>
              <w:rPr>
                <w:rFonts w:hint="eastAsia"/>
                <w:b/>
                <w:bCs/>
                <w:spacing w:val="-20"/>
                <w:sz w:val="22"/>
                <w:szCs w:val="22"/>
              </w:rPr>
            </w:pPr>
            <w:r w:rsidRPr="0033144D">
              <w:rPr>
                <w:rFonts w:hint="eastAsia"/>
                <w:b/>
                <w:bCs/>
                <w:spacing w:val="-20"/>
                <w:sz w:val="22"/>
                <w:szCs w:val="22"/>
              </w:rPr>
              <w:t>財務性投資</w:t>
            </w:r>
          </w:p>
        </w:tc>
        <w:tc>
          <w:tcPr>
            <w:tcW w:w="1418" w:type="dxa"/>
            <w:tcBorders>
              <w:bottom w:val="double" w:sz="4" w:space="0" w:color="auto"/>
            </w:tcBorders>
            <w:vAlign w:val="center"/>
          </w:tcPr>
          <w:p w:rsidR="004C2FFB" w:rsidRPr="00445FA9" w:rsidRDefault="004C2FFB" w:rsidP="00E2533F">
            <w:pPr>
              <w:pStyle w:val="142"/>
              <w:spacing w:line="320" w:lineRule="exact"/>
              <w:jc w:val="both"/>
              <w:rPr>
                <w:spacing w:val="-20"/>
                <w:sz w:val="22"/>
                <w:szCs w:val="22"/>
              </w:rPr>
            </w:pPr>
            <w:r w:rsidRPr="00445FA9">
              <w:rPr>
                <w:rFonts w:hint="eastAsia"/>
                <w:spacing w:val="-20"/>
                <w:sz w:val="22"/>
                <w:szCs w:val="22"/>
              </w:rPr>
              <w:t>衛波、安基</w:t>
            </w:r>
          </w:p>
        </w:tc>
        <w:tc>
          <w:tcPr>
            <w:tcW w:w="921" w:type="dxa"/>
            <w:tcBorders>
              <w:bottom w:val="double" w:sz="4" w:space="0" w:color="auto"/>
            </w:tcBorders>
            <w:vAlign w:val="center"/>
          </w:tcPr>
          <w:p w:rsidR="004C2FFB" w:rsidRPr="00445FA9" w:rsidRDefault="004C2FFB" w:rsidP="00E2533F">
            <w:pPr>
              <w:pStyle w:val="142"/>
              <w:spacing w:line="320" w:lineRule="exact"/>
              <w:ind w:leftChars="-37" w:left="-105"/>
              <w:jc w:val="right"/>
              <w:rPr>
                <w:spacing w:val="-20"/>
                <w:sz w:val="22"/>
                <w:szCs w:val="22"/>
              </w:rPr>
            </w:pPr>
            <w:r w:rsidRPr="00445FA9">
              <w:rPr>
                <w:spacing w:val="-20"/>
                <w:sz w:val="22"/>
                <w:szCs w:val="22"/>
              </w:rPr>
              <w:t>18,282</w:t>
            </w:r>
          </w:p>
        </w:tc>
        <w:tc>
          <w:tcPr>
            <w:tcW w:w="921" w:type="dxa"/>
            <w:tcBorders>
              <w:bottom w:val="double" w:sz="4" w:space="0" w:color="auto"/>
            </w:tcBorders>
            <w:vAlign w:val="center"/>
          </w:tcPr>
          <w:p w:rsidR="004C2FFB" w:rsidRPr="00445FA9" w:rsidRDefault="004C2FFB" w:rsidP="00E2533F">
            <w:pPr>
              <w:pStyle w:val="142"/>
              <w:spacing w:line="320" w:lineRule="exact"/>
              <w:jc w:val="right"/>
              <w:rPr>
                <w:spacing w:val="-20"/>
                <w:sz w:val="22"/>
                <w:szCs w:val="22"/>
              </w:rPr>
            </w:pPr>
            <w:r w:rsidRPr="00445FA9">
              <w:rPr>
                <w:spacing w:val="-20"/>
                <w:sz w:val="22"/>
                <w:szCs w:val="22"/>
              </w:rPr>
              <w:t>5</w:t>
            </w:r>
            <w:r w:rsidRPr="00445FA9">
              <w:rPr>
                <w:rFonts w:hint="eastAsia"/>
                <w:spacing w:val="-20"/>
                <w:sz w:val="22"/>
                <w:szCs w:val="22"/>
              </w:rPr>
              <w:t>.47</w:t>
            </w:r>
          </w:p>
        </w:tc>
        <w:tc>
          <w:tcPr>
            <w:tcW w:w="1418" w:type="dxa"/>
            <w:tcBorders>
              <w:bottom w:val="double" w:sz="4" w:space="0" w:color="auto"/>
            </w:tcBorders>
            <w:vAlign w:val="center"/>
          </w:tcPr>
          <w:p w:rsidR="004C2FFB" w:rsidRPr="00445FA9" w:rsidRDefault="004C2FFB" w:rsidP="00E2533F">
            <w:pPr>
              <w:pStyle w:val="142"/>
              <w:spacing w:line="320" w:lineRule="exact"/>
              <w:jc w:val="both"/>
              <w:rPr>
                <w:spacing w:val="-20"/>
                <w:sz w:val="22"/>
                <w:szCs w:val="22"/>
              </w:rPr>
            </w:pPr>
            <w:r w:rsidRPr="00445FA9">
              <w:rPr>
                <w:rFonts w:hint="eastAsia"/>
                <w:spacing w:val="-20"/>
                <w:sz w:val="22"/>
                <w:szCs w:val="22"/>
              </w:rPr>
              <w:t>衛波、安基、佳運</w:t>
            </w:r>
          </w:p>
        </w:tc>
        <w:tc>
          <w:tcPr>
            <w:tcW w:w="921" w:type="dxa"/>
            <w:tcBorders>
              <w:bottom w:val="double" w:sz="4" w:space="0" w:color="auto"/>
            </w:tcBorders>
            <w:vAlign w:val="center"/>
          </w:tcPr>
          <w:p w:rsidR="004C2FFB" w:rsidRPr="00445FA9" w:rsidRDefault="004C2FFB" w:rsidP="00E2533F">
            <w:pPr>
              <w:pStyle w:val="142"/>
              <w:spacing w:line="320" w:lineRule="exact"/>
              <w:jc w:val="right"/>
              <w:rPr>
                <w:spacing w:val="-20"/>
                <w:sz w:val="22"/>
                <w:szCs w:val="22"/>
              </w:rPr>
            </w:pPr>
            <w:r w:rsidRPr="00445FA9">
              <w:rPr>
                <w:spacing w:val="-20"/>
                <w:sz w:val="22"/>
                <w:szCs w:val="22"/>
              </w:rPr>
              <w:t>61,721</w:t>
            </w:r>
          </w:p>
        </w:tc>
        <w:tc>
          <w:tcPr>
            <w:tcW w:w="922" w:type="dxa"/>
            <w:tcBorders>
              <w:bottom w:val="double" w:sz="4" w:space="0" w:color="auto"/>
            </w:tcBorders>
            <w:vAlign w:val="center"/>
          </w:tcPr>
          <w:p w:rsidR="004C2FFB" w:rsidRPr="0033144D" w:rsidRDefault="004C2FFB" w:rsidP="00E2533F">
            <w:pPr>
              <w:pStyle w:val="142"/>
              <w:spacing w:line="320" w:lineRule="exact"/>
              <w:jc w:val="right"/>
              <w:rPr>
                <w:b/>
                <w:bCs/>
                <w:spacing w:val="-20"/>
                <w:sz w:val="22"/>
                <w:szCs w:val="22"/>
              </w:rPr>
            </w:pPr>
            <w:r w:rsidRPr="0033144D">
              <w:rPr>
                <w:b/>
                <w:bCs/>
                <w:spacing w:val="-20"/>
                <w:sz w:val="22"/>
                <w:szCs w:val="22"/>
              </w:rPr>
              <w:t>1</w:t>
            </w:r>
            <w:r w:rsidRPr="0033144D">
              <w:rPr>
                <w:rFonts w:hint="eastAsia"/>
                <w:b/>
                <w:bCs/>
                <w:spacing w:val="-20"/>
                <w:sz w:val="22"/>
                <w:szCs w:val="22"/>
              </w:rPr>
              <w:t>6.08</w:t>
            </w:r>
          </w:p>
        </w:tc>
        <w:tc>
          <w:tcPr>
            <w:tcW w:w="850" w:type="dxa"/>
            <w:tcBorders>
              <w:bottom w:val="double" w:sz="4" w:space="0" w:color="auto"/>
            </w:tcBorders>
            <w:vAlign w:val="center"/>
          </w:tcPr>
          <w:p w:rsidR="004C2FFB" w:rsidRPr="0033144D" w:rsidRDefault="004C2FFB" w:rsidP="00E2533F">
            <w:pPr>
              <w:pStyle w:val="142"/>
              <w:spacing w:line="320" w:lineRule="exact"/>
              <w:jc w:val="right"/>
              <w:rPr>
                <w:b/>
                <w:bCs/>
                <w:spacing w:val="-20"/>
                <w:sz w:val="22"/>
                <w:szCs w:val="22"/>
              </w:rPr>
            </w:pPr>
            <w:r w:rsidRPr="0033144D">
              <w:rPr>
                <w:rFonts w:hint="eastAsia"/>
                <w:b/>
                <w:bCs/>
                <w:spacing w:val="-20"/>
                <w:sz w:val="22"/>
                <w:szCs w:val="22"/>
              </w:rPr>
              <w:t>1</w:t>
            </w:r>
            <w:r w:rsidRPr="0033144D">
              <w:rPr>
                <w:b/>
                <w:bCs/>
                <w:spacing w:val="-20"/>
                <w:sz w:val="22"/>
                <w:szCs w:val="22"/>
              </w:rPr>
              <w:t>0.61</w:t>
            </w:r>
          </w:p>
        </w:tc>
      </w:tr>
      <w:tr w:rsidR="004C2FFB" w:rsidRPr="00445FA9" w:rsidTr="004C2FFB">
        <w:trPr>
          <w:trHeight w:val="149"/>
        </w:trPr>
        <w:tc>
          <w:tcPr>
            <w:tcW w:w="1298" w:type="dxa"/>
            <w:tcBorders>
              <w:top w:val="double" w:sz="4" w:space="0" w:color="auto"/>
            </w:tcBorders>
            <w:vAlign w:val="center"/>
          </w:tcPr>
          <w:p w:rsidR="004C2FFB" w:rsidRPr="00445FA9" w:rsidRDefault="004C2FFB" w:rsidP="00E2533F">
            <w:pPr>
              <w:pStyle w:val="142"/>
              <w:spacing w:line="320" w:lineRule="exact"/>
              <w:jc w:val="both"/>
              <w:rPr>
                <w:rFonts w:hint="eastAsia"/>
                <w:spacing w:val="-20"/>
                <w:sz w:val="22"/>
                <w:szCs w:val="22"/>
              </w:rPr>
            </w:pPr>
            <w:r w:rsidRPr="00445FA9">
              <w:rPr>
                <w:rFonts w:hint="eastAsia"/>
                <w:spacing w:val="-20"/>
                <w:sz w:val="22"/>
                <w:szCs w:val="22"/>
              </w:rPr>
              <w:t>總</w:t>
            </w:r>
            <w:r>
              <w:rPr>
                <w:rFonts w:hint="eastAsia"/>
                <w:spacing w:val="-20"/>
                <w:sz w:val="22"/>
                <w:szCs w:val="22"/>
              </w:rPr>
              <w:t>資產</w:t>
            </w:r>
          </w:p>
        </w:tc>
        <w:tc>
          <w:tcPr>
            <w:tcW w:w="1418" w:type="dxa"/>
            <w:tcBorders>
              <w:top w:val="double" w:sz="4" w:space="0" w:color="auto"/>
            </w:tcBorders>
            <w:vAlign w:val="center"/>
          </w:tcPr>
          <w:p w:rsidR="004C2FFB" w:rsidRPr="00445FA9" w:rsidRDefault="004C2FFB" w:rsidP="00E2533F">
            <w:pPr>
              <w:pStyle w:val="142"/>
              <w:spacing w:line="320" w:lineRule="exact"/>
              <w:jc w:val="both"/>
              <w:rPr>
                <w:rFonts w:hint="eastAsia"/>
                <w:spacing w:val="-20"/>
                <w:sz w:val="22"/>
                <w:szCs w:val="22"/>
              </w:rPr>
            </w:pPr>
          </w:p>
        </w:tc>
        <w:tc>
          <w:tcPr>
            <w:tcW w:w="921" w:type="dxa"/>
            <w:tcBorders>
              <w:top w:val="double" w:sz="4" w:space="0" w:color="auto"/>
            </w:tcBorders>
            <w:vAlign w:val="center"/>
          </w:tcPr>
          <w:p w:rsidR="004C2FFB" w:rsidRPr="00445FA9" w:rsidRDefault="004C2FFB" w:rsidP="00E2533F">
            <w:pPr>
              <w:pStyle w:val="142"/>
              <w:spacing w:line="320" w:lineRule="exact"/>
              <w:ind w:leftChars="-37" w:left="-105"/>
              <w:jc w:val="right"/>
              <w:rPr>
                <w:spacing w:val="-20"/>
                <w:sz w:val="22"/>
                <w:szCs w:val="22"/>
              </w:rPr>
            </w:pPr>
            <w:r w:rsidRPr="00445FA9">
              <w:rPr>
                <w:rFonts w:hint="eastAsia"/>
                <w:spacing w:val="-20"/>
                <w:sz w:val="22"/>
                <w:szCs w:val="22"/>
              </w:rPr>
              <w:t>334</w:t>
            </w:r>
            <w:r w:rsidR="004D41DD">
              <w:rPr>
                <w:rFonts w:hint="eastAsia"/>
                <w:spacing w:val="-20"/>
                <w:sz w:val="22"/>
                <w:szCs w:val="22"/>
              </w:rPr>
              <w:t xml:space="preserve"> </w:t>
            </w:r>
            <w:r w:rsidR="004D41DD">
              <w:rPr>
                <w:spacing w:val="-20"/>
                <w:sz w:val="22"/>
                <w:szCs w:val="22"/>
              </w:rPr>
              <w:t>,</w:t>
            </w:r>
            <w:r w:rsidRPr="00445FA9">
              <w:rPr>
                <w:rFonts w:hint="eastAsia"/>
                <w:spacing w:val="-20"/>
                <w:sz w:val="22"/>
                <w:szCs w:val="22"/>
              </w:rPr>
              <w:t>512</w:t>
            </w:r>
          </w:p>
        </w:tc>
        <w:tc>
          <w:tcPr>
            <w:tcW w:w="921" w:type="dxa"/>
            <w:tcBorders>
              <w:top w:val="double" w:sz="4" w:space="0" w:color="auto"/>
            </w:tcBorders>
            <w:vAlign w:val="center"/>
          </w:tcPr>
          <w:p w:rsidR="004C2FFB" w:rsidRPr="00445FA9" w:rsidRDefault="004C2FFB" w:rsidP="00E2533F">
            <w:pPr>
              <w:pStyle w:val="142"/>
              <w:spacing w:line="320" w:lineRule="exact"/>
              <w:jc w:val="right"/>
              <w:rPr>
                <w:rFonts w:hint="eastAsia"/>
                <w:spacing w:val="-20"/>
                <w:sz w:val="22"/>
                <w:szCs w:val="22"/>
              </w:rPr>
            </w:pPr>
          </w:p>
        </w:tc>
        <w:tc>
          <w:tcPr>
            <w:tcW w:w="1418" w:type="dxa"/>
            <w:tcBorders>
              <w:top w:val="double" w:sz="4" w:space="0" w:color="auto"/>
            </w:tcBorders>
            <w:vAlign w:val="center"/>
          </w:tcPr>
          <w:p w:rsidR="004C2FFB" w:rsidRPr="00445FA9" w:rsidRDefault="004C2FFB" w:rsidP="00E2533F">
            <w:pPr>
              <w:pStyle w:val="142"/>
              <w:spacing w:line="320" w:lineRule="exact"/>
              <w:jc w:val="both"/>
              <w:rPr>
                <w:rFonts w:hint="eastAsia"/>
                <w:spacing w:val="-20"/>
                <w:sz w:val="22"/>
                <w:szCs w:val="22"/>
              </w:rPr>
            </w:pPr>
          </w:p>
        </w:tc>
        <w:tc>
          <w:tcPr>
            <w:tcW w:w="921" w:type="dxa"/>
            <w:tcBorders>
              <w:top w:val="double" w:sz="4" w:space="0" w:color="auto"/>
            </w:tcBorders>
            <w:vAlign w:val="center"/>
          </w:tcPr>
          <w:p w:rsidR="004C2FFB" w:rsidRPr="004D41DD" w:rsidRDefault="004C2FFB" w:rsidP="00E2533F">
            <w:pPr>
              <w:pStyle w:val="142"/>
              <w:spacing w:line="320" w:lineRule="exact"/>
              <w:jc w:val="right"/>
              <w:rPr>
                <w:spacing w:val="-20"/>
                <w:sz w:val="22"/>
                <w:szCs w:val="22"/>
              </w:rPr>
            </w:pPr>
            <w:r w:rsidRPr="004D41DD">
              <w:rPr>
                <w:rFonts w:hint="eastAsia"/>
                <w:spacing w:val="-20"/>
                <w:sz w:val="22"/>
                <w:szCs w:val="22"/>
              </w:rPr>
              <w:t>383</w:t>
            </w:r>
            <w:r w:rsidR="004D41DD" w:rsidRPr="004D41DD">
              <w:rPr>
                <w:spacing w:val="-20"/>
                <w:sz w:val="22"/>
                <w:szCs w:val="22"/>
              </w:rPr>
              <w:t>,</w:t>
            </w:r>
            <w:r w:rsidRPr="004D41DD">
              <w:rPr>
                <w:rFonts w:hint="eastAsia"/>
                <w:spacing w:val="-20"/>
                <w:sz w:val="22"/>
                <w:szCs w:val="22"/>
              </w:rPr>
              <w:t>873</w:t>
            </w:r>
          </w:p>
        </w:tc>
        <w:tc>
          <w:tcPr>
            <w:tcW w:w="922" w:type="dxa"/>
            <w:tcBorders>
              <w:top w:val="double" w:sz="4" w:space="0" w:color="auto"/>
            </w:tcBorders>
            <w:vAlign w:val="center"/>
          </w:tcPr>
          <w:p w:rsidR="004C2FFB" w:rsidRPr="00445FA9" w:rsidRDefault="004C2FFB" w:rsidP="00E2533F">
            <w:pPr>
              <w:pStyle w:val="142"/>
              <w:spacing w:line="320" w:lineRule="exact"/>
              <w:jc w:val="right"/>
              <w:rPr>
                <w:spacing w:val="-20"/>
                <w:sz w:val="22"/>
                <w:szCs w:val="22"/>
              </w:rPr>
            </w:pPr>
          </w:p>
        </w:tc>
        <w:tc>
          <w:tcPr>
            <w:tcW w:w="850" w:type="dxa"/>
            <w:tcBorders>
              <w:top w:val="double" w:sz="4" w:space="0" w:color="auto"/>
            </w:tcBorders>
            <w:vAlign w:val="center"/>
          </w:tcPr>
          <w:p w:rsidR="004C2FFB" w:rsidRPr="00445FA9" w:rsidRDefault="004C2FFB" w:rsidP="00E2533F">
            <w:pPr>
              <w:pStyle w:val="142"/>
              <w:spacing w:line="320" w:lineRule="exact"/>
              <w:jc w:val="right"/>
              <w:rPr>
                <w:spacing w:val="-20"/>
                <w:sz w:val="22"/>
                <w:szCs w:val="22"/>
              </w:rPr>
            </w:pPr>
          </w:p>
        </w:tc>
      </w:tr>
    </w:tbl>
    <w:p w:rsidR="003571D0" w:rsidRPr="00445FA9" w:rsidRDefault="00DB5E4A" w:rsidP="003571D0">
      <w:pPr>
        <w:pStyle w:val="142"/>
        <w:ind w:left="1515" w:hangingChars="622" w:hanging="1515"/>
        <w:jc w:val="both"/>
        <w:rPr>
          <w:rFonts w:hAnsi="標楷體"/>
        </w:rPr>
      </w:pPr>
      <w:r w:rsidRPr="00445FA9">
        <w:rPr>
          <w:rFonts w:hAnsi="標楷體" w:hint="eastAsia"/>
        </w:rPr>
        <w:t>說    明</w:t>
      </w:r>
      <w:r w:rsidR="000C46D3" w:rsidRPr="00445FA9">
        <w:rPr>
          <w:rFonts w:hAnsi="標楷體" w:hint="eastAsia"/>
        </w:rPr>
        <w:t>：</w:t>
      </w:r>
      <w:r w:rsidRPr="00445FA9">
        <w:rPr>
          <w:rFonts w:hAnsi="標楷體" w:hint="eastAsia"/>
        </w:rPr>
        <w:t>1.本表「比重」係各資產占公司總資產之比重。</w:t>
      </w:r>
    </w:p>
    <w:p w:rsidR="00DB5E4A" w:rsidRPr="00445FA9" w:rsidRDefault="00B13BF5" w:rsidP="003571D0">
      <w:pPr>
        <w:pStyle w:val="142"/>
        <w:ind w:leftChars="420" w:left="1515" w:hangingChars="133" w:hanging="324"/>
        <w:jc w:val="both"/>
        <w:rPr>
          <w:rFonts w:hAnsi="標楷體" w:hint="eastAsia"/>
        </w:rPr>
      </w:pPr>
      <w:r w:rsidRPr="00445FA9">
        <w:rPr>
          <w:rFonts w:hAnsi="標楷體" w:hint="eastAsia"/>
        </w:rPr>
        <w:t>2</w:t>
      </w:r>
      <w:r w:rsidRPr="00445FA9">
        <w:rPr>
          <w:rFonts w:hAnsi="標楷體"/>
        </w:rPr>
        <w:t>.</w:t>
      </w:r>
      <w:r w:rsidRPr="00445FA9">
        <w:rPr>
          <w:rFonts w:hAnsi="標楷體" w:cs="新細明體" w:hint="eastAsia"/>
        </w:rPr>
        <w:t>台源公司</w:t>
      </w:r>
      <w:r w:rsidR="00022F49" w:rsidRPr="00445FA9">
        <w:rPr>
          <w:rFonts w:hAnsi="標楷體" w:cs="新細明體" w:hint="eastAsia"/>
        </w:rPr>
        <w:t>財務報表以美元記錄，本表</w:t>
      </w:r>
      <w:r w:rsidR="003571D0" w:rsidRPr="00445FA9">
        <w:rPr>
          <w:rFonts w:hAnsi="標楷體" w:cs="新細明體" w:hint="eastAsia"/>
        </w:rPr>
        <w:t>美元兌臺幣匯率</w:t>
      </w:r>
      <w:r w:rsidR="00022F49" w:rsidRPr="00445FA9">
        <w:rPr>
          <w:rFonts w:hAnsi="標楷體" w:cs="新細明體" w:hint="eastAsia"/>
        </w:rPr>
        <w:t>採臺灣銀行牌告即期買入匯率換算</w:t>
      </w:r>
      <w:r w:rsidR="003571D0" w:rsidRPr="00445FA9">
        <w:rPr>
          <w:rFonts w:hAnsi="標楷體" w:cs="新細明體" w:hint="eastAsia"/>
        </w:rPr>
        <w:t>，112年底為1:30.655；113年底為1:32</w:t>
      </w:r>
      <w:r w:rsidR="004D41DD">
        <w:rPr>
          <w:rFonts w:hAnsi="標楷體" w:cs="新細明體"/>
        </w:rPr>
        <w:t>.</w:t>
      </w:r>
      <w:r w:rsidR="003571D0" w:rsidRPr="00445FA9">
        <w:rPr>
          <w:rFonts w:hAnsi="標楷體" w:cs="新細明體" w:hint="eastAsia"/>
        </w:rPr>
        <w:t>735。</w:t>
      </w:r>
    </w:p>
    <w:p w:rsidR="00DB5E4A" w:rsidRPr="00445FA9" w:rsidRDefault="00DB5E4A" w:rsidP="003571D0">
      <w:pPr>
        <w:pStyle w:val="142"/>
        <w:ind w:leftChars="431" w:left="1487" w:hangingChars="109" w:hanging="265"/>
        <w:jc w:val="both"/>
        <w:rPr>
          <w:rFonts w:hAnsi="標楷體" w:hint="eastAsia"/>
        </w:rPr>
      </w:pPr>
      <w:r w:rsidRPr="00445FA9">
        <w:rPr>
          <w:rFonts w:hAnsi="標楷體"/>
        </w:rPr>
        <w:t>3.</w:t>
      </w:r>
      <w:r w:rsidRPr="00445FA9">
        <w:rPr>
          <w:rFonts w:hAnsi="標楷體" w:hint="eastAsia"/>
        </w:rPr>
        <w:t>「衛波」</w:t>
      </w:r>
      <w:r w:rsidR="004D41DD">
        <w:rPr>
          <w:rFonts w:ascii="新細明體" w:eastAsia="新細明體" w:hAnsi="新細明體" w:hint="eastAsia"/>
        </w:rPr>
        <w:t>：</w:t>
      </w:r>
      <w:r w:rsidRPr="00445FA9">
        <w:rPr>
          <w:rFonts w:hAnsi="標楷體" w:hint="eastAsia"/>
        </w:rPr>
        <w:t>衛波科技股份有限公司，</w:t>
      </w:r>
      <w:r w:rsidR="007B2804" w:rsidRPr="00445FA9">
        <w:rPr>
          <w:rFonts w:hAnsi="標楷體" w:hint="eastAsia"/>
        </w:rPr>
        <w:t>我國</w:t>
      </w:r>
      <w:r w:rsidRPr="00445FA9">
        <w:rPr>
          <w:rFonts w:hAnsi="標楷體" w:hint="eastAsia"/>
        </w:rPr>
        <w:t>未公開發行公司</w:t>
      </w:r>
      <w:r w:rsidR="004D41DD">
        <w:rPr>
          <w:rFonts w:hAnsi="標楷體" w:hint="eastAsia"/>
        </w:rPr>
        <w:t>；</w:t>
      </w:r>
      <w:r w:rsidRPr="00445FA9">
        <w:rPr>
          <w:rFonts w:hAnsi="標楷體" w:hint="eastAsia"/>
        </w:rPr>
        <w:t>「安基」</w:t>
      </w:r>
      <w:r w:rsidR="004D41DD">
        <w:rPr>
          <w:rFonts w:ascii="新細明體" w:eastAsia="新細明體" w:hAnsi="新細明體" w:hint="eastAsia"/>
        </w:rPr>
        <w:t>：</w:t>
      </w:r>
      <w:r w:rsidRPr="00445FA9">
        <w:rPr>
          <w:rFonts w:hAnsi="標楷體" w:hint="eastAsia"/>
        </w:rPr>
        <w:t>安基生技新藥股份有限公司，</w:t>
      </w:r>
      <w:r w:rsidR="007B2804" w:rsidRPr="00445FA9">
        <w:rPr>
          <w:rFonts w:hAnsi="標楷體" w:hint="eastAsia"/>
        </w:rPr>
        <w:t>我國</w:t>
      </w:r>
      <w:r w:rsidRPr="00445FA9">
        <w:rPr>
          <w:rFonts w:hAnsi="標楷體" w:hint="eastAsia"/>
        </w:rPr>
        <w:t>興櫃公司；「佳運」</w:t>
      </w:r>
      <w:r w:rsidR="004D41DD">
        <w:rPr>
          <w:rFonts w:ascii="新細明體" w:eastAsia="新細明體" w:hAnsi="新細明體" w:hint="eastAsia"/>
        </w:rPr>
        <w:t>：</w:t>
      </w:r>
      <w:r w:rsidRPr="00445FA9">
        <w:rPr>
          <w:rFonts w:hAnsi="標楷體"/>
        </w:rPr>
        <w:t>佳運重機械工程股份有限公司</w:t>
      </w:r>
      <w:r w:rsidRPr="00445FA9">
        <w:rPr>
          <w:rFonts w:hAnsi="標楷體" w:hint="eastAsia"/>
        </w:rPr>
        <w:t>，</w:t>
      </w:r>
      <w:r w:rsidR="007B2804" w:rsidRPr="00445FA9">
        <w:rPr>
          <w:rFonts w:hAnsi="標楷體" w:hint="eastAsia"/>
        </w:rPr>
        <w:t>我國</w:t>
      </w:r>
      <w:r w:rsidRPr="00445FA9">
        <w:rPr>
          <w:rFonts w:hAnsi="標楷體" w:hint="eastAsia"/>
        </w:rPr>
        <w:t>興櫃公司。</w:t>
      </w:r>
    </w:p>
    <w:p w:rsidR="00DB5E4A" w:rsidRPr="00445FA9" w:rsidRDefault="00DB5E4A" w:rsidP="00BD6BF3">
      <w:pPr>
        <w:pStyle w:val="142"/>
        <w:rPr>
          <w:rFonts w:hint="eastAsia"/>
        </w:rPr>
      </w:pPr>
      <w:r w:rsidRPr="00445FA9">
        <w:rPr>
          <w:rFonts w:hint="eastAsia"/>
        </w:rPr>
        <w:t>資料來源：台源公司；本中心整理。</w:t>
      </w:r>
    </w:p>
    <w:p w:rsidR="00DB5E4A" w:rsidRPr="00445FA9" w:rsidRDefault="00DB5E4A" w:rsidP="00AA7740">
      <w:pPr>
        <w:ind w:left="567" w:firstLine="567"/>
      </w:pPr>
      <w:r w:rsidRPr="00445FA9">
        <w:rPr>
          <w:rFonts w:hint="eastAsia"/>
        </w:rPr>
        <w:t>綜上，</w:t>
      </w:r>
      <w:r w:rsidR="005917B5" w:rsidRPr="00445FA9">
        <w:rPr>
          <w:rFonts w:hint="eastAsia"/>
        </w:rPr>
        <w:t>台源公司成立目的係</w:t>
      </w:r>
      <w:r w:rsidRPr="00445FA9">
        <w:rPr>
          <w:rFonts w:hint="eastAsia"/>
        </w:rPr>
        <w:t>為拓展新南向國家航運網路連結，</w:t>
      </w:r>
      <w:r w:rsidR="00B44148">
        <w:rPr>
          <w:rFonts w:hint="eastAsia"/>
        </w:rPr>
        <w:t>惟</w:t>
      </w:r>
      <w:r w:rsidR="0078148C">
        <w:rPr>
          <w:rFonts w:hint="eastAsia"/>
        </w:rPr>
        <w:t>113年度大幅增加財務性投資，</w:t>
      </w:r>
      <w:r w:rsidR="0042185F">
        <w:rPr>
          <w:rFonts w:hint="eastAsia"/>
        </w:rPr>
        <w:t>且截至</w:t>
      </w:r>
      <w:r w:rsidR="00BE0078">
        <w:rPr>
          <w:rFonts w:cs="新細明體" w:hint="eastAsia"/>
        </w:rPr>
        <w:t>113年</w:t>
      </w:r>
      <w:r w:rsidR="00AA7740">
        <w:rPr>
          <w:rFonts w:cs="新細明體" w:hint="eastAsia"/>
        </w:rPr>
        <w:t>底</w:t>
      </w:r>
      <w:r w:rsidR="0042185F">
        <w:rPr>
          <w:rFonts w:cs="新細明體" w:hint="eastAsia"/>
        </w:rPr>
        <w:t>，</w:t>
      </w:r>
      <w:r w:rsidR="00AA7740">
        <w:rPr>
          <w:rFonts w:cs="新細明體" w:hint="eastAsia"/>
        </w:rPr>
        <w:t>財務</w:t>
      </w:r>
      <w:r w:rsidR="003E5F53" w:rsidRPr="00445FA9">
        <w:rPr>
          <w:rFonts w:cs="新細明體" w:hint="eastAsia"/>
        </w:rPr>
        <w:t>性投資</w:t>
      </w:r>
      <w:r w:rsidR="001314AC">
        <w:rPr>
          <w:rFonts w:cs="新細明體" w:hint="eastAsia"/>
        </w:rPr>
        <w:t>占</w:t>
      </w:r>
      <w:r w:rsidR="0042185F">
        <w:rPr>
          <w:rFonts w:cs="新細明體" w:hint="eastAsia"/>
        </w:rPr>
        <w:t>總資產比重</w:t>
      </w:r>
      <w:r w:rsidR="00AA7740">
        <w:rPr>
          <w:rFonts w:cs="新細明體" w:hint="eastAsia"/>
        </w:rPr>
        <w:t>16.08%</w:t>
      </w:r>
      <w:r w:rsidR="00641F55">
        <w:rPr>
          <w:rFonts w:cs="新細明體" w:hint="eastAsia"/>
        </w:rPr>
        <w:t>，</w:t>
      </w:r>
      <w:r w:rsidR="0042185F">
        <w:rPr>
          <w:rFonts w:cs="新細明體" w:hint="eastAsia"/>
        </w:rPr>
        <w:t>已高於</w:t>
      </w:r>
      <w:r w:rsidR="00B44148">
        <w:rPr>
          <w:rFonts w:cs="新細明體" w:hint="eastAsia"/>
        </w:rPr>
        <w:t>對</w:t>
      </w:r>
      <w:r w:rsidR="0078148C" w:rsidRPr="00445FA9">
        <w:rPr>
          <w:rFonts w:hint="eastAsia"/>
        </w:rPr>
        <w:t>新南向國家航運事業</w:t>
      </w:r>
      <w:r w:rsidR="0042185F">
        <w:rPr>
          <w:rFonts w:hint="eastAsia"/>
        </w:rPr>
        <w:t>之投資</w:t>
      </w:r>
      <w:r w:rsidR="001314AC">
        <w:rPr>
          <w:rFonts w:hint="eastAsia"/>
        </w:rPr>
        <w:t>規模</w:t>
      </w:r>
      <w:r w:rsidR="00BE0078">
        <w:rPr>
          <w:rFonts w:hint="eastAsia"/>
        </w:rPr>
        <w:t>，據台源公司說明，</w:t>
      </w:r>
      <w:r w:rsidR="005917B5" w:rsidRPr="00445FA9">
        <w:rPr>
          <w:rFonts w:cs="新細明體" w:hint="eastAsia"/>
        </w:rPr>
        <w:t>主要係受</w:t>
      </w:r>
      <w:r w:rsidR="005917B5" w:rsidRPr="00445FA9">
        <w:t>COVID-19</w:t>
      </w:r>
      <w:r w:rsidR="005917B5" w:rsidRPr="00445FA9">
        <w:rPr>
          <w:rFonts w:cs="新細明體" w:hint="eastAsia"/>
        </w:rPr>
        <w:t>疫情影響</w:t>
      </w:r>
      <w:r w:rsidR="00641F55">
        <w:rPr>
          <w:rFonts w:cs="新細明體" w:hint="eastAsia"/>
        </w:rPr>
        <w:t>，</w:t>
      </w:r>
      <w:r w:rsidR="004C2B49" w:rsidRPr="00445FA9">
        <w:rPr>
          <w:rFonts w:cs="新細明體" w:hint="eastAsia"/>
        </w:rPr>
        <w:t>調整投資方向</w:t>
      </w:r>
      <w:r w:rsidR="004C2B49" w:rsidRPr="00445FA9">
        <w:rPr>
          <w:rFonts w:hint="eastAsia"/>
        </w:rPr>
        <w:t>。</w:t>
      </w:r>
      <w:r w:rsidRPr="00445FA9">
        <w:rPr>
          <w:rFonts w:hint="eastAsia"/>
        </w:rPr>
        <w:t>鑒於疫情自112年起</w:t>
      </w:r>
      <w:r w:rsidR="00570217">
        <w:rPr>
          <w:rFonts w:hint="eastAsia"/>
        </w:rPr>
        <w:t>紓</w:t>
      </w:r>
      <w:r w:rsidRPr="00445FA9">
        <w:rPr>
          <w:rFonts w:hint="eastAsia"/>
        </w:rPr>
        <w:t>緩，港務公司為台源公司最大股東，允宜督促台源公司本於原定計畫方向積極辦理，以順利拓展航運</w:t>
      </w:r>
      <w:r w:rsidR="004C2B49" w:rsidRPr="00445FA9">
        <w:rPr>
          <w:rFonts w:hint="eastAsia"/>
        </w:rPr>
        <w:t>事業</w:t>
      </w:r>
      <w:r w:rsidRPr="00445FA9">
        <w:rPr>
          <w:rFonts w:hint="eastAsia"/>
        </w:rPr>
        <w:t>版圖，俾提升我國航運戰略地位。</w:t>
      </w:r>
    </w:p>
    <w:bookmarkEnd w:id="0"/>
    <w:bookmarkEnd w:id="1"/>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rsidR="007B19F3" w:rsidRPr="00445FA9" w:rsidRDefault="007B19F3" w:rsidP="006E5003">
      <w:pPr>
        <w:pStyle w:val="ab"/>
        <w:ind w:left="648" w:hanging="648"/>
        <w:rPr>
          <w:rFonts w:hAnsi="標楷體" w:hint="eastAsia"/>
        </w:rPr>
      </w:pPr>
      <w:r w:rsidRPr="00445FA9">
        <w:rPr>
          <w:rFonts w:hAnsi="標楷體" w:hint="eastAsia"/>
        </w:rPr>
        <w:t>（分機：866</w:t>
      </w:r>
      <w:r w:rsidR="00C21337" w:rsidRPr="00445FA9">
        <w:rPr>
          <w:rFonts w:hAnsi="標楷體" w:hint="eastAsia"/>
        </w:rPr>
        <w:t xml:space="preserve">9 </w:t>
      </w:r>
      <w:r w:rsidRPr="00445FA9">
        <w:rPr>
          <w:rFonts w:hAnsi="標楷體" w:hint="eastAsia"/>
        </w:rPr>
        <w:t>馬佳琪）</w:t>
      </w:r>
    </w:p>
    <w:sectPr w:rsidR="007B19F3" w:rsidRPr="00445FA9" w:rsidSect="002165E4">
      <w:headerReference w:type="even" r:id="rId8"/>
      <w:headerReference w:type="default" r:id="rId9"/>
      <w:footerReference w:type="even" r:id="rId10"/>
      <w:footerReference w:type="default" r:id="rId11"/>
      <w:headerReference w:type="first" r:id="rId12"/>
      <w:footerReference w:type="first" r:id="rId13"/>
      <w:pgSz w:w="11907" w:h="16840" w:code="9"/>
      <w:pgMar w:top="1701" w:right="1674"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11ED" w:rsidRDefault="003C11ED" w:rsidP="00064A63">
      <w:pPr>
        <w:ind w:left="560" w:firstLine="560"/>
      </w:pPr>
      <w:r>
        <w:separator/>
      </w:r>
    </w:p>
  </w:endnote>
  <w:endnote w:type="continuationSeparator" w:id="0">
    <w:p w:rsidR="003C11ED" w:rsidRDefault="003C11ED" w:rsidP="00064A6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細明體">
    <w:panose1 w:val="02020309000000000000"/>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framePr w:wrap="around" w:vAnchor="text" w:hAnchor="margin" w:xAlign="center" w:y="1"/>
      <w:ind w:left="560" w:rightChars="131" w:right="367" w:firstLine="560"/>
      <w:textDirection w:val="btLr"/>
    </w:pPr>
    <w:r>
      <w:fldChar w:fldCharType="begin"/>
    </w:r>
    <w:r>
      <w:instrText xml:space="preserve">PAGE  </w:instrText>
    </w:r>
    <w:r>
      <w:fldChar w:fldCharType="separate"/>
    </w:r>
    <w:r>
      <w:rPr>
        <w:noProof/>
      </w:rPr>
      <w:t>1</w:t>
    </w:r>
    <w:r>
      <w:fldChar w:fldCharType="end"/>
    </w:r>
  </w:p>
  <w:p w:rsidR="00487259" w:rsidRDefault="00487259" w:rsidP="00A327E1">
    <w:pPr>
      <w:ind w:left="560" w:rightChars="131" w:right="367"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Pr="009F5197" w:rsidRDefault="00487259" w:rsidP="00487259">
    <w:pPr>
      <w:pStyle w:val="afd"/>
      <w:ind w:leftChars="0" w:left="567" w:right="366" w:firstLineChars="0" w:firstLine="567"/>
      <w:jc w:val="center"/>
    </w:pPr>
    <w:r>
      <w:fldChar w:fldCharType="begin"/>
    </w:r>
    <w:r>
      <w:instrText>PAGE   \* MERGEFORMAT</w:instrText>
    </w:r>
    <w:r>
      <w:fldChar w:fldCharType="separate"/>
    </w:r>
    <w:r w:rsidR="00AE0EFD" w:rsidRPr="00AE0EFD">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pStyle w:val="afd"/>
      <w:ind w:left="560" w:rightChars="131" w:right="367"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11ED" w:rsidRDefault="003C11ED" w:rsidP="00064A63">
      <w:pPr>
        <w:ind w:left="560" w:firstLine="560"/>
      </w:pPr>
      <w:r>
        <w:separator/>
      </w:r>
    </w:p>
  </w:footnote>
  <w:footnote w:type="continuationSeparator" w:id="0">
    <w:p w:rsidR="003C11ED" w:rsidRDefault="003C11ED" w:rsidP="00064A63">
      <w:pPr>
        <w:ind w:left="560" w:firstLine="560"/>
      </w:pPr>
      <w:r>
        <w:continuationSeparator/>
      </w:r>
    </w:p>
  </w:footnote>
  <w:footnote w:id="1">
    <w:p w:rsidR="00DB5E4A" w:rsidRPr="00A5516C" w:rsidRDefault="00DB5E4A" w:rsidP="00B73A51">
      <w:pPr>
        <w:pStyle w:val="142"/>
        <w:ind w:leftChars="8" w:left="191" w:hangingChars="69" w:hanging="168"/>
        <w:jc w:val="both"/>
      </w:pPr>
      <w:bookmarkStart w:id="30" w:name="_Hlk223511547"/>
      <w:r w:rsidRPr="00A5516C">
        <w:rPr>
          <w:rStyle w:val="aff2"/>
        </w:rPr>
        <w:footnoteRef/>
      </w:r>
      <w:r w:rsidRPr="00A5516C">
        <w:rPr>
          <w:vertAlign w:val="superscript"/>
        </w:rPr>
        <w:t xml:space="preserve"> </w:t>
      </w:r>
      <w:r w:rsidRPr="00A5516C">
        <w:rPr>
          <w:rFonts w:hint="eastAsia"/>
        </w:rPr>
        <w:t>據港務公司說明，截至113年底，台源公司</w:t>
      </w:r>
      <w:r w:rsidRPr="00A5516C">
        <w:t>前5大股東</w:t>
      </w:r>
      <w:r w:rsidRPr="00A5516C">
        <w:rPr>
          <w:rFonts w:hint="eastAsia"/>
        </w:rPr>
        <w:t>持股比例</w:t>
      </w:r>
      <w:r w:rsidRPr="00A5516C">
        <w:t>分</w:t>
      </w:r>
      <w:r w:rsidRPr="00A5516C">
        <w:rPr>
          <w:rFonts w:hint="eastAsia"/>
        </w:rPr>
        <w:t>別為</w:t>
      </w:r>
      <w:r w:rsidRPr="00A5516C">
        <w:t>港務公司</w:t>
      </w:r>
      <w:r w:rsidRPr="00A5516C">
        <w:rPr>
          <w:rFonts w:hint="eastAsia"/>
        </w:rPr>
        <w:t>36%</w:t>
      </w:r>
      <w:r w:rsidRPr="00A5516C">
        <w:t>、陽明海運</w:t>
      </w:r>
      <w:r w:rsidRPr="00A5516C">
        <w:rPr>
          <w:rFonts w:hint="eastAsia"/>
        </w:rPr>
        <w:t>34%、</w:t>
      </w:r>
      <w:r w:rsidRPr="00A5516C">
        <w:t>台灣航業15%、中華郵政10%</w:t>
      </w:r>
      <w:r w:rsidRPr="00A5516C">
        <w:rPr>
          <w:rFonts w:hint="eastAsia"/>
        </w:rPr>
        <w:t>及</w:t>
      </w:r>
      <w:r w:rsidRPr="00A5516C">
        <w:t>德</w:t>
      </w:r>
      <w:r w:rsidRPr="00A5516C">
        <w:rPr>
          <w:rFonts w:hint="eastAsia"/>
        </w:rPr>
        <w:t>勝航</w:t>
      </w:r>
      <w:r w:rsidRPr="00A5516C">
        <w:t>運5%。</w:t>
      </w:r>
      <w:bookmarkEnd w:id="30"/>
    </w:p>
  </w:footnote>
  <w:footnote w:id="2">
    <w:p w:rsidR="00DB5E4A" w:rsidRPr="00445FA9" w:rsidRDefault="00DB5E4A" w:rsidP="00564DD4">
      <w:pPr>
        <w:pStyle w:val="142"/>
        <w:ind w:left="251" w:hangingChars="103" w:hanging="251"/>
        <w:jc w:val="both"/>
        <w:rPr>
          <w:rFonts w:hint="eastAsia"/>
        </w:rPr>
      </w:pPr>
      <w:r w:rsidRPr="00445FA9">
        <w:rPr>
          <w:rStyle w:val="aff2"/>
        </w:rPr>
        <w:footnoteRef/>
      </w:r>
      <w:r w:rsidRPr="00445FA9">
        <w:rPr>
          <w:rFonts w:hint="eastAsia"/>
        </w:rPr>
        <w:t xml:space="preserve"> 交通部107年7月11日交航字第1070019891號函同意港務公司所報「○○投資控股公司計畫書」。</w:t>
      </w:r>
    </w:p>
  </w:footnote>
  <w:footnote w:id="3">
    <w:p w:rsidR="00DB5E4A" w:rsidRPr="00445FA9" w:rsidRDefault="00DB5E4A" w:rsidP="00564DD4">
      <w:pPr>
        <w:pStyle w:val="142"/>
        <w:ind w:leftChars="6" w:left="239" w:hangingChars="91" w:hanging="222"/>
        <w:jc w:val="both"/>
        <w:rPr>
          <w:rFonts w:hint="eastAsia"/>
        </w:rPr>
      </w:pPr>
      <w:r w:rsidRPr="00445FA9">
        <w:rPr>
          <w:rStyle w:val="aff2"/>
        </w:rPr>
        <w:footnoteRef/>
      </w:r>
      <w:r w:rsidRPr="00445FA9">
        <w:rPr>
          <w:rFonts w:hint="eastAsia"/>
        </w:rPr>
        <w:t xml:space="preserve"> 台源公司計畫書第30及31頁轉投資布局規劃略以，</w:t>
      </w:r>
      <w:r w:rsidRPr="00445FA9">
        <w:t>於新加坡</w:t>
      </w:r>
      <w:r w:rsidRPr="00445FA9">
        <w:rPr>
          <w:rFonts w:hint="eastAsia"/>
        </w:rPr>
        <w:t>成立</w:t>
      </w:r>
      <w:r w:rsidRPr="00445FA9">
        <w:t>投資控股公司後，由該公司</w:t>
      </w:r>
      <w:r w:rsidRPr="00445FA9">
        <w:rPr>
          <w:rFonts w:hint="eastAsia"/>
        </w:rPr>
        <w:t>於</w:t>
      </w:r>
      <w:r w:rsidRPr="00445FA9">
        <w:t>新南向</w:t>
      </w:r>
      <w:r w:rsidRPr="00445FA9">
        <w:rPr>
          <w:rFonts w:hint="eastAsia"/>
        </w:rPr>
        <w:t>國家港口，尋找當地合作夥伴及合適標的，依當地法令再與當地或適合之業者之轉投資成立</w:t>
      </w:r>
      <w:r w:rsidRPr="00445FA9">
        <w:t>其他當地公司</w:t>
      </w:r>
      <w:r w:rsidRPr="00445FA9">
        <w:rPr>
          <w:rFonts w:hint="eastAsia"/>
        </w:rPr>
        <w:t>，</w:t>
      </w:r>
      <w:r w:rsidRPr="00445FA9">
        <w:t>進行標的投資經營</w:t>
      </w:r>
      <w:r w:rsidRPr="00445FA9">
        <w:rPr>
          <w:rFonts w:hint="eastAsia"/>
        </w:rPr>
        <w:t>。</w:t>
      </w:r>
      <w:r w:rsidRPr="00445FA9">
        <w:t>海外投資控股公司規劃以印尼雅加達為第1個營運據點，並與當地股東或其他合資人成立合資公司經營貨櫃堆場及一般倉儲，往後假設每半年分別於泰國、越南及菲律賓成立合資公司，並以合資公司為經營主體於當地拓展其他貨櫃堆場營運據點，後續將視營運情況逐步拓展至碼頭港口、倉儲物流等關聯業務。</w:t>
      </w:r>
    </w:p>
  </w:footnote>
  <w:footnote w:id="4">
    <w:p w:rsidR="00DB5E4A" w:rsidRPr="00445FA9" w:rsidRDefault="00DB5E4A" w:rsidP="00564DD4">
      <w:pPr>
        <w:pStyle w:val="142"/>
        <w:ind w:leftChars="-5" w:left="237" w:hangingChars="103" w:hanging="251"/>
        <w:jc w:val="both"/>
        <w:rPr>
          <w:rFonts w:hint="eastAsia"/>
        </w:rPr>
      </w:pPr>
      <w:r w:rsidRPr="00445FA9">
        <w:rPr>
          <w:rStyle w:val="aff2"/>
        </w:rPr>
        <w:footnoteRef/>
      </w:r>
      <w:r w:rsidRPr="00445FA9">
        <w:t xml:space="preserve"> </w:t>
      </w:r>
      <w:r w:rsidRPr="00445FA9">
        <w:rPr>
          <w:rFonts w:hint="eastAsia"/>
        </w:rPr>
        <w:t>台源公司計畫書第33頁。</w:t>
      </w:r>
    </w:p>
  </w:footnote>
  <w:footnote w:id="5">
    <w:p w:rsidR="00DB5E4A" w:rsidRPr="00405AED" w:rsidRDefault="00DB5E4A" w:rsidP="00564DD4">
      <w:pPr>
        <w:pStyle w:val="142"/>
        <w:jc w:val="both"/>
        <w:rPr>
          <w:rFonts w:hint="eastAsia"/>
          <w:color w:val="4472C4"/>
        </w:rPr>
      </w:pPr>
      <w:r w:rsidRPr="00445FA9">
        <w:rPr>
          <w:rStyle w:val="aff2"/>
        </w:rPr>
        <w:footnoteRef/>
      </w:r>
      <w:r w:rsidRPr="00445FA9">
        <w:t xml:space="preserve"> </w:t>
      </w:r>
      <w:r w:rsidRPr="00445FA9">
        <w:rPr>
          <w:rFonts w:hint="eastAsia"/>
        </w:rPr>
        <w:t>不含財務性投資公司。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064A63">
    <w:pPr>
      <w:framePr w:w="1440" w:hSpace="1276" w:wrap="around" w:vAnchor="text" w:hAnchor="margin" w:xAlign="right" w:y="1"/>
      <w:ind w:left="560" w:firstLine="560"/>
      <w:textDirection w:val="btLr"/>
    </w:pPr>
    <w:r>
      <w:fldChar w:fldCharType="begin"/>
    </w:r>
    <w:r>
      <w:instrText xml:space="preserve">PAGE  </w:instrText>
    </w:r>
    <w:r>
      <w:fldChar w:fldCharType="end"/>
    </w:r>
  </w:p>
  <w:p w:rsidR="00487259" w:rsidRDefault="00487259" w:rsidP="00A327E1">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ind w:leftChars="0" w:left="560" w:rightChars="129" w:right="361" w:hangingChars="200" w:hanging="560"/>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pStyle w:val="afb"/>
      <w:ind w:left="560" w:rightChars="131" w:right="367"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EB24F9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14D30D95"/>
    <w:multiLevelType w:val="hybridMultilevel"/>
    <w:tmpl w:val="D0DC0926"/>
    <w:lvl w:ilvl="0" w:tplc="1576D85C">
      <w:start w:val="1"/>
      <w:numFmt w:val="decimal"/>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7294075E">
      <w:start w:val="1"/>
      <w:numFmt w:val="decimal"/>
      <w:lvlText w:val="%5."/>
      <w:lvlJc w:val="left"/>
      <w:pPr>
        <w:ind w:left="4734" w:hanging="480"/>
      </w:pPr>
      <w:rPr>
        <w:rFonts w:hint="default"/>
        <w:color w:val="auto"/>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BF40375"/>
    <w:multiLevelType w:val="hybridMultilevel"/>
    <w:tmpl w:val="8C82D68A"/>
    <w:lvl w:ilvl="0" w:tplc="CDB88094">
      <w:start w:val="1"/>
      <w:numFmt w:val="decimal"/>
      <w:suff w:val="nothing"/>
      <w:lvlText w:val="%1."/>
      <w:lvlJc w:val="left"/>
      <w:pPr>
        <w:ind w:left="345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 w15:restartNumberingAfterBreak="0">
    <w:nsid w:val="223464A1"/>
    <w:multiLevelType w:val="hybridMultilevel"/>
    <w:tmpl w:val="D57A69A4"/>
    <w:lvl w:ilvl="0" w:tplc="04090001">
      <w:start w:val="1"/>
      <w:numFmt w:val="bullet"/>
      <w:lvlText w:val=""/>
      <w:lvlJc w:val="left"/>
      <w:pPr>
        <w:ind w:left="1658" w:hanging="480"/>
      </w:pPr>
      <w:rPr>
        <w:rFonts w:ascii="Wingdings" w:hAnsi="Wingdings" w:hint="default"/>
      </w:rPr>
    </w:lvl>
    <w:lvl w:ilvl="1" w:tplc="04090003" w:tentative="1">
      <w:start w:val="1"/>
      <w:numFmt w:val="bullet"/>
      <w:lvlText w:val=""/>
      <w:lvlJc w:val="left"/>
      <w:pPr>
        <w:ind w:left="2138" w:hanging="480"/>
      </w:pPr>
      <w:rPr>
        <w:rFonts w:ascii="Wingdings" w:hAnsi="Wingdings" w:hint="default"/>
      </w:rPr>
    </w:lvl>
    <w:lvl w:ilvl="2" w:tplc="04090005" w:tentative="1">
      <w:start w:val="1"/>
      <w:numFmt w:val="bullet"/>
      <w:lvlText w:val=""/>
      <w:lvlJc w:val="left"/>
      <w:pPr>
        <w:ind w:left="2618" w:hanging="480"/>
      </w:pPr>
      <w:rPr>
        <w:rFonts w:ascii="Wingdings" w:hAnsi="Wingdings" w:hint="default"/>
      </w:rPr>
    </w:lvl>
    <w:lvl w:ilvl="3" w:tplc="04090001">
      <w:start w:val="1"/>
      <w:numFmt w:val="bullet"/>
      <w:lvlText w:val=""/>
      <w:lvlJc w:val="left"/>
      <w:pPr>
        <w:ind w:left="3098" w:hanging="480"/>
      </w:pPr>
      <w:rPr>
        <w:rFonts w:ascii="Wingdings" w:hAnsi="Wingdings" w:hint="default"/>
      </w:rPr>
    </w:lvl>
    <w:lvl w:ilvl="4" w:tplc="04090003" w:tentative="1">
      <w:start w:val="1"/>
      <w:numFmt w:val="bullet"/>
      <w:lvlText w:val=""/>
      <w:lvlJc w:val="left"/>
      <w:pPr>
        <w:ind w:left="3578" w:hanging="480"/>
      </w:pPr>
      <w:rPr>
        <w:rFonts w:ascii="Wingdings" w:hAnsi="Wingdings" w:hint="default"/>
      </w:rPr>
    </w:lvl>
    <w:lvl w:ilvl="5" w:tplc="04090005" w:tentative="1">
      <w:start w:val="1"/>
      <w:numFmt w:val="bullet"/>
      <w:lvlText w:val=""/>
      <w:lvlJc w:val="left"/>
      <w:pPr>
        <w:ind w:left="4058" w:hanging="480"/>
      </w:pPr>
      <w:rPr>
        <w:rFonts w:ascii="Wingdings" w:hAnsi="Wingdings" w:hint="default"/>
      </w:rPr>
    </w:lvl>
    <w:lvl w:ilvl="6" w:tplc="04090001" w:tentative="1">
      <w:start w:val="1"/>
      <w:numFmt w:val="bullet"/>
      <w:lvlText w:val=""/>
      <w:lvlJc w:val="left"/>
      <w:pPr>
        <w:ind w:left="4538" w:hanging="480"/>
      </w:pPr>
      <w:rPr>
        <w:rFonts w:ascii="Wingdings" w:hAnsi="Wingdings" w:hint="default"/>
      </w:rPr>
    </w:lvl>
    <w:lvl w:ilvl="7" w:tplc="04090003" w:tentative="1">
      <w:start w:val="1"/>
      <w:numFmt w:val="bullet"/>
      <w:lvlText w:val=""/>
      <w:lvlJc w:val="left"/>
      <w:pPr>
        <w:ind w:left="5018" w:hanging="480"/>
      </w:pPr>
      <w:rPr>
        <w:rFonts w:ascii="Wingdings" w:hAnsi="Wingdings" w:hint="default"/>
      </w:rPr>
    </w:lvl>
    <w:lvl w:ilvl="8" w:tplc="04090005" w:tentative="1">
      <w:start w:val="1"/>
      <w:numFmt w:val="bullet"/>
      <w:lvlText w:val=""/>
      <w:lvlJc w:val="left"/>
      <w:pPr>
        <w:ind w:left="5498" w:hanging="480"/>
      </w:pPr>
      <w:rPr>
        <w:rFonts w:ascii="Wingdings" w:hAnsi="Wingdings" w:hint="default"/>
      </w:rPr>
    </w:lvl>
  </w:abstractNum>
  <w:abstractNum w:abstractNumId="4" w15:restartNumberingAfterBreak="0">
    <w:nsid w:val="28364D34"/>
    <w:multiLevelType w:val="hybridMultilevel"/>
    <w:tmpl w:val="C5B41848"/>
    <w:lvl w:ilvl="0" w:tplc="9DEE592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CCD0EC5"/>
    <w:multiLevelType w:val="hybridMultilevel"/>
    <w:tmpl w:val="063A1B52"/>
    <w:lvl w:ilvl="0" w:tplc="1E6C59BC">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6" w15:restartNumberingAfterBreak="0">
    <w:nsid w:val="53360922"/>
    <w:multiLevelType w:val="hybridMultilevel"/>
    <w:tmpl w:val="0B88C7DE"/>
    <w:lvl w:ilvl="0" w:tplc="AA32AC2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53757F9D"/>
    <w:multiLevelType w:val="hybridMultilevel"/>
    <w:tmpl w:val="92428FB8"/>
    <w:lvl w:ilvl="0" w:tplc="22581308">
      <w:numFmt w:val="bullet"/>
      <w:lvlText w:val="※"/>
      <w:lvlJc w:val="left"/>
      <w:pPr>
        <w:tabs>
          <w:tab w:val="num" w:pos="642"/>
        </w:tabs>
        <w:ind w:left="642" w:hanging="360"/>
      </w:pPr>
      <w:rPr>
        <w:rFonts w:ascii="標楷體" w:eastAsia="標楷體" w:hAnsi="標楷體" w:cs="Times New Roman" w:hint="eastAsia"/>
      </w:rPr>
    </w:lvl>
    <w:lvl w:ilvl="1" w:tplc="04090003" w:tentative="1">
      <w:start w:val="1"/>
      <w:numFmt w:val="bullet"/>
      <w:lvlText w:val=""/>
      <w:lvlJc w:val="left"/>
      <w:pPr>
        <w:tabs>
          <w:tab w:val="num" w:pos="1242"/>
        </w:tabs>
        <w:ind w:left="1242" w:hanging="480"/>
      </w:pPr>
      <w:rPr>
        <w:rFonts w:ascii="Wingdings" w:hAnsi="Wingdings" w:hint="default"/>
      </w:rPr>
    </w:lvl>
    <w:lvl w:ilvl="2" w:tplc="04090005" w:tentative="1">
      <w:start w:val="1"/>
      <w:numFmt w:val="bullet"/>
      <w:lvlText w:val=""/>
      <w:lvlJc w:val="left"/>
      <w:pPr>
        <w:tabs>
          <w:tab w:val="num" w:pos="1722"/>
        </w:tabs>
        <w:ind w:left="1722" w:hanging="480"/>
      </w:pPr>
      <w:rPr>
        <w:rFonts w:ascii="Wingdings" w:hAnsi="Wingdings" w:hint="default"/>
      </w:rPr>
    </w:lvl>
    <w:lvl w:ilvl="3" w:tplc="04090001" w:tentative="1">
      <w:start w:val="1"/>
      <w:numFmt w:val="bullet"/>
      <w:lvlText w:val=""/>
      <w:lvlJc w:val="left"/>
      <w:pPr>
        <w:tabs>
          <w:tab w:val="num" w:pos="2202"/>
        </w:tabs>
        <w:ind w:left="2202" w:hanging="480"/>
      </w:pPr>
      <w:rPr>
        <w:rFonts w:ascii="Wingdings" w:hAnsi="Wingdings" w:hint="default"/>
      </w:rPr>
    </w:lvl>
    <w:lvl w:ilvl="4" w:tplc="04090003" w:tentative="1">
      <w:start w:val="1"/>
      <w:numFmt w:val="bullet"/>
      <w:lvlText w:val=""/>
      <w:lvlJc w:val="left"/>
      <w:pPr>
        <w:tabs>
          <w:tab w:val="num" w:pos="2682"/>
        </w:tabs>
        <w:ind w:left="2682" w:hanging="480"/>
      </w:pPr>
      <w:rPr>
        <w:rFonts w:ascii="Wingdings" w:hAnsi="Wingdings" w:hint="default"/>
      </w:rPr>
    </w:lvl>
    <w:lvl w:ilvl="5" w:tplc="04090005" w:tentative="1">
      <w:start w:val="1"/>
      <w:numFmt w:val="bullet"/>
      <w:lvlText w:val=""/>
      <w:lvlJc w:val="left"/>
      <w:pPr>
        <w:tabs>
          <w:tab w:val="num" w:pos="3162"/>
        </w:tabs>
        <w:ind w:left="3162" w:hanging="480"/>
      </w:pPr>
      <w:rPr>
        <w:rFonts w:ascii="Wingdings" w:hAnsi="Wingdings" w:hint="default"/>
      </w:rPr>
    </w:lvl>
    <w:lvl w:ilvl="6" w:tplc="04090001" w:tentative="1">
      <w:start w:val="1"/>
      <w:numFmt w:val="bullet"/>
      <w:lvlText w:val=""/>
      <w:lvlJc w:val="left"/>
      <w:pPr>
        <w:tabs>
          <w:tab w:val="num" w:pos="3642"/>
        </w:tabs>
        <w:ind w:left="3642" w:hanging="480"/>
      </w:pPr>
      <w:rPr>
        <w:rFonts w:ascii="Wingdings" w:hAnsi="Wingdings" w:hint="default"/>
      </w:rPr>
    </w:lvl>
    <w:lvl w:ilvl="7" w:tplc="04090003" w:tentative="1">
      <w:start w:val="1"/>
      <w:numFmt w:val="bullet"/>
      <w:lvlText w:val=""/>
      <w:lvlJc w:val="left"/>
      <w:pPr>
        <w:tabs>
          <w:tab w:val="num" w:pos="4122"/>
        </w:tabs>
        <w:ind w:left="4122" w:hanging="480"/>
      </w:pPr>
      <w:rPr>
        <w:rFonts w:ascii="Wingdings" w:hAnsi="Wingdings" w:hint="default"/>
      </w:rPr>
    </w:lvl>
    <w:lvl w:ilvl="8" w:tplc="04090005" w:tentative="1">
      <w:start w:val="1"/>
      <w:numFmt w:val="bullet"/>
      <w:lvlText w:val=""/>
      <w:lvlJc w:val="left"/>
      <w:pPr>
        <w:tabs>
          <w:tab w:val="num" w:pos="4602"/>
        </w:tabs>
        <w:ind w:left="4602" w:hanging="480"/>
      </w:pPr>
      <w:rPr>
        <w:rFonts w:ascii="Wingdings" w:hAnsi="Wingdings" w:hint="default"/>
      </w:rPr>
    </w:lvl>
  </w:abstractNum>
  <w:abstractNum w:abstractNumId="8" w15:restartNumberingAfterBreak="0">
    <w:nsid w:val="539F3EC5"/>
    <w:multiLevelType w:val="hybridMultilevel"/>
    <w:tmpl w:val="7EFAE2CA"/>
    <w:lvl w:ilvl="0" w:tplc="F5902E6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5B076710"/>
    <w:multiLevelType w:val="hybridMultilevel"/>
    <w:tmpl w:val="1DFE1AEC"/>
    <w:lvl w:ilvl="0" w:tplc="1148732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EE25561"/>
    <w:multiLevelType w:val="hybridMultilevel"/>
    <w:tmpl w:val="C69A7610"/>
    <w:lvl w:ilvl="0" w:tplc="A3DCC308">
      <w:start w:val="1"/>
      <w:numFmt w:val="taiwaneseCountingThousand"/>
      <w:lvlText w:val="(%1)"/>
      <w:lvlJc w:val="left"/>
      <w:pPr>
        <w:ind w:left="1854" w:hanging="72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1" w15:restartNumberingAfterBreak="0">
    <w:nsid w:val="66546EE0"/>
    <w:multiLevelType w:val="hybridMultilevel"/>
    <w:tmpl w:val="1068DF98"/>
    <w:lvl w:ilvl="0" w:tplc="02FE45E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6DF0693E"/>
    <w:multiLevelType w:val="hybridMultilevel"/>
    <w:tmpl w:val="8C82D68A"/>
    <w:lvl w:ilvl="0" w:tplc="CDB88094">
      <w:start w:val="1"/>
      <w:numFmt w:val="decimal"/>
      <w:suff w:val="nothing"/>
      <w:lvlText w:val="%1."/>
      <w:lvlJc w:val="left"/>
      <w:pPr>
        <w:ind w:left="345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3" w15:restartNumberingAfterBreak="0">
    <w:nsid w:val="6DFD56F6"/>
    <w:multiLevelType w:val="hybridMultilevel"/>
    <w:tmpl w:val="F3CC71DC"/>
    <w:lvl w:ilvl="0" w:tplc="41AE07B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7B9E3766"/>
    <w:multiLevelType w:val="hybridMultilevel"/>
    <w:tmpl w:val="EDC2DA9A"/>
    <w:lvl w:ilvl="0" w:tplc="9B5EE2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7"/>
  </w:num>
  <w:num w:numId="3">
    <w:abstractNumId w:val="9"/>
  </w:num>
  <w:num w:numId="4">
    <w:abstractNumId w:val="14"/>
  </w:num>
  <w:num w:numId="5">
    <w:abstractNumId w:val="0"/>
  </w:num>
  <w:num w:numId="6">
    <w:abstractNumId w:val="10"/>
  </w:num>
  <w:num w:numId="7">
    <w:abstractNumId w:val="11"/>
  </w:num>
  <w:num w:numId="8">
    <w:abstractNumId w:val="13"/>
  </w:num>
  <w:num w:numId="9">
    <w:abstractNumId w:val="4"/>
  </w:num>
  <w:num w:numId="10">
    <w:abstractNumId w:val="3"/>
  </w:num>
  <w:num w:numId="11">
    <w:abstractNumId w:val="12"/>
  </w:num>
  <w:num w:numId="12">
    <w:abstractNumId w:val="1"/>
  </w:num>
  <w:num w:numId="13">
    <w:abstractNumId w:val="2"/>
  </w:num>
  <w:num w:numId="14">
    <w:abstractNumId w:val="8"/>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3C64"/>
    <w:rsid w:val="00001F7D"/>
    <w:rsid w:val="00002099"/>
    <w:rsid w:val="00002D2F"/>
    <w:rsid w:val="000033FA"/>
    <w:rsid w:val="00003B85"/>
    <w:rsid w:val="00003F1A"/>
    <w:rsid w:val="00004C72"/>
    <w:rsid w:val="00005A67"/>
    <w:rsid w:val="0000625D"/>
    <w:rsid w:val="000063D7"/>
    <w:rsid w:val="000064C2"/>
    <w:rsid w:val="00006D0D"/>
    <w:rsid w:val="00007DC1"/>
    <w:rsid w:val="00012F20"/>
    <w:rsid w:val="00013329"/>
    <w:rsid w:val="000134C9"/>
    <w:rsid w:val="000136A9"/>
    <w:rsid w:val="00014113"/>
    <w:rsid w:val="000143EB"/>
    <w:rsid w:val="000146C3"/>
    <w:rsid w:val="00014B36"/>
    <w:rsid w:val="00015266"/>
    <w:rsid w:val="0001555C"/>
    <w:rsid w:val="00015D82"/>
    <w:rsid w:val="00015E46"/>
    <w:rsid w:val="00015F8E"/>
    <w:rsid w:val="000161DF"/>
    <w:rsid w:val="00016614"/>
    <w:rsid w:val="00016713"/>
    <w:rsid w:val="0001708B"/>
    <w:rsid w:val="0001757D"/>
    <w:rsid w:val="00017ABF"/>
    <w:rsid w:val="00017C89"/>
    <w:rsid w:val="00020415"/>
    <w:rsid w:val="00020779"/>
    <w:rsid w:val="00020E37"/>
    <w:rsid w:val="00021BD4"/>
    <w:rsid w:val="000221B3"/>
    <w:rsid w:val="000226EF"/>
    <w:rsid w:val="00022F13"/>
    <w:rsid w:val="00022F49"/>
    <w:rsid w:val="00024270"/>
    <w:rsid w:val="00024378"/>
    <w:rsid w:val="00025FDB"/>
    <w:rsid w:val="00026E7E"/>
    <w:rsid w:val="00027514"/>
    <w:rsid w:val="00030F4C"/>
    <w:rsid w:val="0003138B"/>
    <w:rsid w:val="000313F1"/>
    <w:rsid w:val="00031535"/>
    <w:rsid w:val="0003237E"/>
    <w:rsid w:val="000329EF"/>
    <w:rsid w:val="00033C3F"/>
    <w:rsid w:val="000340A5"/>
    <w:rsid w:val="000341A6"/>
    <w:rsid w:val="000345DB"/>
    <w:rsid w:val="00034F2C"/>
    <w:rsid w:val="000352D8"/>
    <w:rsid w:val="000362FB"/>
    <w:rsid w:val="00036B32"/>
    <w:rsid w:val="00036D6C"/>
    <w:rsid w:val="00036E5B"/>
    <w:rsid w:val="00036F54"/>
    <w:rsid w:val="000375D1"/>
    <w:rsid w:val="00037D49"/>
    <w:rsid w:val="00037D8B"/>
    <w:rsid w:val="0004060E"/>
    <w:rsid w:val="00041465"/>
    <w:rsid w:val="00041742"/>
    <w:rsid w:val="000419CE"/>
    <w:rsid w:val="00041A22"/>
    <w:rsid w:val="00041E15"/>
    <w:rsid w:val="000422A9"/>
    <w:rsid w:val="00042C27"/>
    <w:rsid w:val="00042F71"/>
    <w:rsid w:val="000431C7"/>
    <w:rsid w:val="000432B7"/>
    <w:rsid w:val="00043A73"/>
    <w:rsid w:val="00043CF2"/>
    <w:rsid w:val="00046766"/>
    <w:rsid w:val="0004688F"/>
    <w:rsid w:val="00046FE8"/>
    <w:rsid w:val="00047465"/>
    <w:rsid w:val="00047763"/>
    <w:rsid w:val="00051F43"/>
    <w:rsid w:val="00052019"/>
    <w:rsid w:val="00052DD6"/>
    <w:rsid w:val="00053289"/>
    <w:rsid w:val="0005360B"/>
    <w:rsid w:val="0005382E"/>
    <w:rsid w:val="0005397C"/>
    <w:rsid w:val="00053B8D"/>
    <w:rsid w:val="0005405D"/>
    <w:rsid w:val="0005416F"/>
    <w:rsid w:val="00055363"/>
    <w:rsid w:val="0005627D"/>
    <w:rsid w:val="000564C8"/>
    <w:rsid w:val="0005707F"/>
    <w:rsid w:val="00057DC1"/>
    <w:rsid w:val="00057EA5"/>
    <w:rsid w:val="00060EC5"/>
    <w:rsid w:val="00061393"/>
    <w:rsid w:val="000619EA"/>
    <w:rsid w:val="00061C4D"/>
    <w:rsid w:val="00062DB2"/>
    <w:rsid w:val="00062E2A"/>
    <w:rsid w:val="000630DB"/>
    <w:rsid w:val="000635AD"/>
    <w:rsid w:val="00063BF9"/>
    <w:rsid w:val="0006429E"/>
    <w:rsid w:val="0006436C"/>
    <w:rsid w:val="000644E3"/>
    <w:rsid w:val="00064868"/>
    <w:rsid w:val="00064933"/>
    <w:rsid w:val="00064A63"/>
    <w:rsid w:val="00065681"/>
    <w:rsid w:val="00065962"/>
    <w:rsid w:val="00066467"/>
    <w:rsid w:val="000711D2"/>
    <w:rsid w:val="000716D8"/>
    <w:rsid w:val="00071E1B"/>
    <w:rsid w:val="0007211D"/>
    <w:rsid w:val="000731E7"/>
    <w:rsid w:val="00073D92"/>
    <w:rsid w:val="00075150"/>
    <w:rsid w:val="00075D6D"/>
    <w:rsid w:val="000767A7"/>
    <w:rsid w:val="00076C22"/>
    <w:rsid w:val="00077501"/>
    <w:rsid w:val="00080782"/>
    <w:rsid w:val="00080B22"/>
    <w:rsid w:val="00081FE5"/>
    <w:rsid w:val="00082092"/>
    <w:rsid w:val="00082B42"/>
    <w:rsid w:val="00082CFC"/>
    <w:rsid w:val="00083607"/>
    <w:rsid w:val="000859CA"/>
    <w:rsid w:val="00087045"/>
    <w:rsid w:val="000875E1"/>
    <w:rsid w:val="0008761B"/>
    <w:rsid w:val="00090527"/>
    <w:rsid w:val="00090991"/>
    <w:rsid w:val="00090EBC"/>
    <w:rsid w:val="000924C3"/>
    <w:rsid w:val="00093A00"/>
    <w:rsid w:val="0009448C"/>
    <w:rsid w:val="00094C49"/>
    <w:rsid w:val="0009608B"/>
    <w:rsid w:val="0009732F"/>
    <w:rsid w:val="00097365"/>
    <w:rsid w:val="000975E7"/>
    <w:rsid w:val="00097882"/>
    <w:rsid w:val="00097C2D"/>
    <w:rsid w:val="000A052C"/>
    <w:rsid w:val="000A0538"/>
    <w:rsid w:val="000A0EF6"/>
    <w:rsid w:val="000A1ABB"/>
    <w:rsid w:val="000A2FE3"/>
    <w:rsid w:val="000A3243"/>
    <w:rsid w:val="000A3B84"/>
    <w:rsid w:val="000A472A"/>
    <w:rsid w:val="000A4A40"/>
    <w:rsid w:val="000A533A"/>
    <w:rsid w:val="000A54D3"/>
    <w:rsid w:val="000A55D4"/>
    <w:rsid w:val="000A61F2"/>
    <w:rsid w:val="000A72E7"/>
    <w:rsid w:val="000A7407"/>
    <w:rsid w:val="000A7533"/>
    <w:rsid w:val="000A7E82"/>
    <w:rsid w:val="000B066C"/>
    <w:rsid w:val="000B0CF6"/>
    <w:rsid w:val="000B1CAE"/>
    <w:rsid w:val="000B1D3E"/>
    <w:rsid w:val="000B29E2"/>
    <w:rsid w:val="000B2C7E"/>
    <w:rsid w:val="000B3A6F"/>
    <w:rsid w:val="000B4B46"/>
    <w:rsid w:val="000B4CF2"/>
    <w:rsid w:val="000B5270"/>
    <w:rsid w:val="000B54CE"/>
    <w:rsid w:val="000B553B"/>
    <w:rsid w:val="000B69EA"/>
    <w:rsid w:val="000B6BEE"/>
    <w:rsid w:val="000B7934"/>
    <w:rsid w:val="000B7BE6"/>
    <w:rsid w:val="000B7F0F"/>
    <w:rsid w:val="000C0944"/>
    <w:rsid w:val="000C13F9"/>
    <w:rsid w:val="000C1C0A"/>
    <w:rsid w:val="000C28C6"/>
    <w:rsid w:val="000C3160"/>
    <w:rsid w:val="000C3689"/>
    <w:rsid w:val="000C46D3"/>
    <w:rsid w:val="000C4A9A"/>
    <w:rsid w:val="000C4E1A"/>
    <w:rsid w:val="000C5B70"/>
    <w:rsid w:val="000C65DE"/>
    <w:rsid w:val="000C6C8F"/>
    <w:rsid w:val="000D0B04"/>
    <w:rsid w:val="000D0C9F"/>
    <w:rsid w:val="000D26D4"/>
    <w:rsid w:val="000D2C67"/>
    <w:rsid w:val="000D3A73"/>
    <w:rsid w:val="000D6C7B"/>
    <w:rsid w:val="000D7FDE"/>
    <w:rsid w:val="000E0318"/>
    <w:rsid w:val="000E036B"/>
    <w:rsid w:val="000E13EA"/>
    <w:rsid w:val="000E1C52"/>
    <w:rsid w:val="000E254C"/>
    <w:rsid w:val="000E2721"/>
    <w:rsid w:val="000E2AD3"/>
    <w:rsid w:val="000E3627"/>
    <w:rsid w:val="000E4EB1"/>
    <w:rsid w:val="000E54DA"/>
    <w:rsid w:val="000E5622"/>
    <w:rsid w:val="000E5B4B"/>
    <w:rsid w:val="000E60C2"/>
    <w:rsid w:val="000E742D"/>
    <w:rsid w:val="000E7AC9"/>
    <w:rsid w:val="000E7D46"/>
    <w:rsid w:val="000F0121"/>
    <w:rsid w:val="000F17D5"/>
    <w:rsid w:val="000F20BC"/>
    <w:rsid w:val="000F2B31"/>
    <w:rsid w:val="000F2D09"/>
    <w:rsid w:val="000F2DBE"/>
    <w:rsid w:val="000F2F89"/>
    <w:rsid w:val="000F33AC"/>
    <w:rsid w:val="000F4A05"/>
    <w:rsid w:val="000F4AB7"/>
    <w:rsid w:val="000F5EE9"/>
    <w:rsid w:val="000F6AB7"/>
    <w:rsid w:val="000F6D63"/>
    <w:rsid w:val="001004A7"/>
    <w:rsid w:val="001004AD"/>
    <w:rsid w:val="001004E4"/>
    <w:rsid w:val="001012A3"/>
    <w:rsid w:val="001012B3"/>
    <w:rsid w:val="00101FCB"/>
    <w:rsid w:val="0010288F"/>
    <w:rsid w:val="001044D7"/>
    <w:rsid w:val="001048EB"/>
    <w:rsid w:val="00104B78"/>
    <w:rsid w:val="00104DE8"/>
    <w:rsid w:val="00104F62"/>
    <w:rsid w:val="00104F98"/>
    <w:rsid w:val="00106012"/>
    <w:rsid w:val="00106187"/>
    <w:rsid w:val="0010648F"/>
    <w:rsid w:val="001066A2"/>
    <w:rsid w:val="00107058"/>
    <w:rsid w:val="001079F7"/>
    <w:rsid w:val="00107CBD"/>
    <w:rsid w:val="0011076E"/>
    <w:rsid w:val="00110D3A"/>
    <w:rsid w:val="001112C9"/>
    <w:rsid w:val="001128F3"/>
    <w:rsid w:val="00112BA7"/>
    <w:rsid w:val="00113AB6"/>
    <w:rsid w:val="00113D29"/>
    <w:rsid w:val="00114C21"/>
    <w:rsid w:val="00115173"/>
    <w:rsid w:val="00115AC1"/>
    <w:rsid w:val="00115DA9"/>
    <w:rsid w:val="00117305"/>
    <w:rsid w:val="00117510"/>
    <w:rsid w:val="00117756"/>
    <w:rsid w:val="0012048E"/>
    <w:rsid w:val="0012068D"/>
    <w:rsid w:val="00120BDF"/>
    <w:rsid w:val="00121216"/>
    <w:rsid w:val="00121265"/>
    <w:rsid w:val="00121DC9"/>
    <w:rsid w:val="00122B37"/>
    <w:rsid w:val="00122BB4"/>
    <w:rsid w:val="00124580"/>
    <w:rsid w:val="00124826"/>
    <w:rsid w:val="00125738"/>
    <w:rsid w:val="001270BA"/>
    <w:rsid w:val="001279AD"/>
    <w:rsid w:val="001314AC"/>
    <w:rsid w:val="00131959"/>
    <w:rsid w:val="00131F99"/>
    <w:rsid w:val="00133881"/>
    <w:rsid w:val="00133DCD"/>
    <w:rsid w:val="00134DB1"/>
    <w:rsid w:val="0013513F"/>
    <w:rsid w:val="00135A3F"/>
    <w:rsid w:val="0013622D"/>
    <w:rsid w:val="001363A5"/>
    <w:rsid w:val="00136417"/>
    <w:rsid w:val="00137804"/>
    <w:rsid w:val="00137975"/>
    <w:rsid w:val="00137A09"/>
    <w:rsid w:val="00137F9D"/>
    <w:rsid w:val="0014022A"/>
    <w:rsid w:val="0014057D"/>
    <w:rsid w:val="00140617"/>
    <w:rsid w:val="00143B5A"/>
    <w:rsid w:val="00143FAA"/>
    <w:rsid w:val="00143FE7"/>
    <w:rsid w:val="00144272"/>
    <w:rsid w:val="0014535C"/>
    <w:rsid w:val="00145DEC"/>
    <w:rsid w:val="001466C8"/>
    <w:rsid w:val="00146B6F"/>
    <w:rsid w:val="00146FE2"/>
    <w:rsid w:val="001471FA"/>
    <w:rsid w:val="00150226"/>
    <w:rsid w:val="00150267"/>
    <w:rsid w:val="001503CE"/>
    <w:rsid w:val="00150F66"/>
    <w:rsid w:val="001512D7"/>
    <w:rsid w:val="001524EF"/>
    <w:rsid w:val="00152D38"/>
    <w:rsid w:val="00153ACF"/>
    <w:rsid w:val="0015466D"/>
    <w:rsid w:val="0015508F"/>
    <w:rsid w:val="001550F5"/>
    <w:rsid w:val="001555CD"/>
    <w:rsid w:val="00155A9D"/>
    <w:rsid w:val="00155F47"/>
    <w:rsid w:val="00156BB1"/>
    <w:rsid w:val="00156E29"/>
    <w:rsid w:val="00156FFE"/>
    <w:rsid w:val="00157086"/>
    <w:rsid w:val="001600BA"/>
    <w:rsid w:val="00160DB7"/>
    <w:rsid w:val="00160DE5"/>
    <w:rsid w:val="00161093"/>
    <w:rsid w:val="0016164B"/>
    <w:rsid w:val="00161C84"/>
    <w:rsid w:val="001620B7"/>
    <w:rsid w:val="00162C27"/>
    <w:rsid w:val="00163352"/>
    <w:rsid w:val="00163F45"/>
    <w:rsid w:val="001644B5"/>
    <w:rsid w:val="0016488E"/>
    <w:rsid w:val="001648DE"/>
    <w:rsid w:val="001649F1"/>
    <w:rsid w:val="00167748"/>
    <w:rsid w:val="00167F57"/>
    <w:rsid w:val="00170156"/>
    <w:rsid w:val="00170F5F"/>
    <w:rsid w:val="001713F4"/>
    <w:rsid w:val="0017393C"/>
    <w:rsid w:val="00173AA2"/>
    <w:rsid w:val="0017464B"/>
    <w:rsid w:val="001746E3"/>
    <w:rsid w:val="0017528C"/>
    <w:rsid w:val="001757D1"/>
    <w:rsid w:val="00175F92"/>
    <w:rsid w:val="00176CDB"/>
    <w:rsid w:val="00176FDB"/>
    <w:rsid w:val="00177FEB"/>
    <w:rsid w:val="001806D6"/>
    <w:rsid w:val="00180C15"/>
    <w:rsid w:val="0018175B"/>
    <w:rsid w:val="00181BCE"/>
    <w:rsid w:val="00181EBD"/>
    <w:rsid w:val="00181F7C"/>
    <w:rsid w:val="00182CD1"/>
    <w:rsid w:val="0018356C"/>
    <w:rsid w:val="00184855"/>
    <w:rsid w:val="00184CB5"/>
    <w:rsid w:val="00185299"/>
    <w:rsid w:val="001853DE"/>
    <w:rsid w:val="0018546E"/>
    <w:rsid w:val="0018565E"/>
    <w:rsid w:val="00185E5B"/>
    <w:rsid w:val="00185E80"/>
    <w:rsid w:val="001861BD"/>
    <w:rsid w:val="00186E68"/>
    <w:rsid w:val="00187045"/>
    <w:rsid w:val="001870DB"/>
    <w:rsid w:val="001872FB"/>
    <w:rsid w:val="001873FE"/>
    <w:rsid w:val="00190322"/>
    <w:rsid w:val="00190360"/>
    <w:rsid w:val="0019096A"/>
    <w:rsid w:val="00191F93"/>
    <w:rsid w:val="0019269A"/>
    <w:rsid w:val="00192A7A"/>
    <w:rsid w:val="00192B30"/>
    <w:rsid w:val="0019524F"/>
    <w:rsid w:val="001964E6"/>
    <w:rsid w:val="00196727"/>
    <w:rsid w:val="00196A9A"/>
    <w:rsid w:val="00196F4C"/>
    <w:rsid w:val="001A0136"/>
    <w:rsid w:val="001A05BC"/>
    <w:rsid w:val="001A07D5"/>
    <w:rsid w:val="001A10F0"/>
    <w:rsid w:val="001A1BB1"/>
    <w:rsid w:val="001A2121"/>
    <w:rsid w:val="001A2972"/>
    <w:rsid w:val="001A31AB"/>
    <w:rsid w:val="001A433F"/>
    <w:rsid w:val="001A43C1"/>
    <w:rsid w:val="001A59BD"/>
    <w:rsid w:val="001A6AA8"/>
    <w:rsid w:val="001A7730"/>
    <w:rsid w:val="001A78E2"/>
    <w:rsid w:val="001A7B5F"/>
    <w:rsid w:val="001B0799"/>
    <w:rsid w:val="001B0938"/>
    <w:rsid w:val="001B1647"/>
    <w:rsid w:val="001B1AAE"/>
    <w:rsid w:val="001B1E1C"/>
    <w:rsid w:val="001B4051"/>
    <w:rsid w:val="001B46C9"/>
    <w:rsid w:val="001B4C6E"/>
    <w:rsid w:val="001B4DCE"/>
    <w:rsid w:val="001B6265"/>
    <w:rsid w:val="001B638F"/>
    <w:rsid w:val="001C0178"/>
    <w:rsid w:val="001C2E51"/>
    <w:rsid w:val="001C303D"/>
    <w:rsid w:val="001C39F6"/>
    <w:rsid w:val="001C3ACE"/>
    <w:rsid w:val="001C3C64"/>
    <w:rsid w:val="001C445B"/>
    <w:rsid w:val="001C57C2"/>
    <w:rsid w:val="001C5AA4"/>
    <w:rsid w:val="001C5CBE"/>
    <w:rsid w:val="001C611D"/>
    <w:rsid w:val="001C727B"/>
    <w:rsid w:val="001D05EB"/>
    <w:rsid w:val="001D2B1F"/>
    <w:rsid w:val="001D358C"/>
    <w:rsid w:val="001D3D49"/>
    <w:rsid w:val="001D404A"/>
    <w:rsid w:val="001D404B"/>
    <w:rsid w:val="001D4A48"/>
    <w:rsid w:val="001D4FF6"/>
    <w:rsid w:val="001D5EF9"/>
    <w:rsid w:val="001D6460"/>
    <w:rsid w:val="001D73BC"/>
    <w:rsid w:val="001D79CF"/>
    <w:rsid w:val="001E00C3"/>
    <w:rsid w:val="001E0645"/>
    <w:rsid w:val="001E0AD2"/>
    <w:rsid w:val="001E1392"/>
    <w:rsid w:val="001E17E1"/>
    <w:rsid w:val="001E29B9"/>
    <w:rsid w:val="001E579B"/>
    <w:rsid w:val="001E57E5"/>
    <w:rsid w:val="001E6047"/>
    <w:rsid w:val="001E6080"/>
    <w:rsid w:val="001E6B1F"/>
    <w:rsid w:val="001E6FA6"/>
    <w:rsid w:val="001E76C9"/>
    <w:rsid w:val="001E7A61"/>
    <w:rsid w:val="001E7E23"/>
    <w:rsid w:val="001F0E4E"/>
    <w:rsid w:val="001F1DDD"/>
    <w:rsid w:val="001F293C"/>
    <w:rsid w:val="001F2AF2"/>
    <w:rsid w:val="001F3339"/>
    <w:rsid w:val="001F33DE"/>
    <w:rsid w:val="001F3EF5"/>
    <w:rsid w:val="001F437D"/>
    <w:rsid w:val="001F4A05"/>
    <w:rsid w:val="001F4DDD"/>
    <w:rsid w:val="001F5229"/>
    <w:rsid w:val="001F53EA"/>
    <w:rsid w:val="001F670D"/>
    <w:rsid w:val="001F695F"/>
    <w:rsid w:val="001F6BB0"/>
    <w:rsid w:val="001F6C40"/>
    <w:rsid w:val="001F7C7F"/>
    <w:rsid w:val="00200651"/>
    <w:rsid w:val="0020116B"/>
    <w:rsid w:val="002015CE"/>
    <w:rsid w:val="0020262C"/>
    <w:rsid w:val="00202954"/>
    <w:rsid w:val="00202BDE"/>
    <w:rsid w:val="00203201"/>
    <w:rsid w:val="00203A5E"/>
    <w:rsid w:val="0020427C"/>
    <w:rsid w:val="00204CA7"/>
    <w:rsid w:val="00204E6F"/>
    <w:rsid w:val="002052C0"/>
    <w:rsid w:val="002057B1"/>
    <w:rsid w:val="00205EB2"/>
    <w:rsid w:val="002072C4"/>
    <w:rsid w:val="00207469"/>
    <w:rsid w:val="00207904"/>
    <w:rsid w:val="00207A51"/>
    <w:rsid w:val="00207F41"/>
    <w:rsid w:val="00210193"/>
    <w:rsid w:val="0021083E"/>
    <w:rsid w:val="00210A07"/>
    <w:rsid w:val="00211282"/>
    <w:rsid w:val="00212568"/>
    <w:rsid w:val="00213D01"/>
    <w:rsid w:val="00214225"/>
    <w:rsid w:val="00215402"/>
    <w:rsid w:val="002161BF"/>
    <w:rsid w:val="00216252"/>
    <w:rsid w:val="002165E4"/>
    <w:rsid w:val="0021722E"/>
    <w:rsid w:val="00217298"/>
    <w:rsid w:val="0021799A"/>
    <w:rsid w:val="00217CF5"/>
    <w:rsid w:val="002203F9"/>
    <w:rsid w:val="00220E4E"/>
    <w:rsid w:val="00220E53"/>
    <w:rsid w:val="00221092"/>
    <w:rsid w:val="00221108"/>
    <w:rsid w:val="0022139D"/>
    <w:rsid w:val="002224A2"/>
    <w:rsid w:val="002227A6"/>
    <w:rsid w:val="00222ACB"/>
    <w:rsid w:val="00222BF4"/>
    <w:rsid w:val="002232BD"/>
    <w:rsid w:val="00223458"/>
    <w:rsid w:val="00223621"/>
    <w:rsid w:val="00223AF0"/>
    <w:rsid w:val="00223D5E"/>
    <w:rsid w:val="00223E58"/>
    <w:rsid w:val="002243EA"/>
    <w:rsid w:val="002246DA"/>
    <w:rsid w:val="0022550C"/>
    <w:rsid w:val="0022550D"/>
    <w:rsid w:val="0022571A"/>
    <w:rsid w:val="00225A3D"/>
    <w:rsid w:val="00225C58"/>
    <w:rsid w:val="00225E3D"/>
    <w:rsid w:val="00226198"/>
    <w:rsid w:val="00226453"/>
    <w:rsid w:val="00226554"/>
    <w:rsid w:val="00226A63"/>
    <w:rsid w:val="00226CC7"/>
    <w:rsid w:val="00226CF6"/>
    <w:rsid w:val="002274B9"/>
    <w:rsid w:val="00227568"/>
    <w:rsid w:val="0022782E"/>
    <w:rsid w:val="00227C2C"/>
    <w:rsid w:val="002300AC"/>
    <w:rsid w:val="00230B99"/>
    <w:rsid w:val="002313BA"/>
    <w:rsid w:val="002321A4"/>
    <w:rsid w:val="0023299B"/>
    <w:rsid w:val="00232B6E"/>
    <w:rsid w:val="0023354B"/>
    <w:rsid w:val="00233623"/>
    <w:rsid w:val="0023422D"/>
    <w:rsid w:val="002342F9"/>
    <w:rsid w:val="00234CE9"/>
    <w:rsid w:val="00235811"/>
    <w:rsid w:val="00236B23"/>
    <w:rsid w:val="00236DE6"/>
    <w:rsid w:val="0023717C"/>
    <w:rsid w:val="002375BB"/>
    <w:rsid w:val="00240522"/>
    <w:rsid w:val="0024089C"/>
    <w:rsid w:val="00240955"/>
    <w:rsid w:val="00240FDD"/>
    <w:rsid w:val="00241407"/>
    <w:rsid w:val="00241493"/>
    <w:rsid w:val="00241702"/>
    <w:rsid w:val="00241AB2"/>
    <w:rsid w:val="00241BDE"/>
    <w:rsid w:val="00242266"/>
    <w:rsid w:val="002432FB"/>
    <w:rsid w:val="002433D9"/>
    <w:rsid w:val="00244295"/>
    <w:rsid w:val="00244619"/>
    <w:rsid w:val="00244733"/>
    <w:rsid w:val="00245259"/>
    <w:rsid w:val="0024608F"/>
    <w:rsid w:val="002467B0"/>
    <w:rsid w:val="002476A7"/>
    <w:rsid w:val="002501F5"/>
    <w:rsid w:val="002521C9"/>
    <w:rsid w:val="0025330C"/>
    <w:rsid w:val="00253829"/>
    <w:rsid w:val="00253B7E"/>
    <w:rsid w:val="00254285"/>
    <w:rsid w:val="0025524B"/>
    <w:rsid w:val="00256ACF"/>
    <w:rsid w:val="002576A8"/>
    <w:rsid w:val="002576EA"/>
    <w:rsid w:val="00257987"/>
    <w:rsid w:val="002579C7"/>
    <w:rsid w:val="00257A44"/>
    <w:rsid w:val="00257B7A"/>
    <w:rsid w:val="0026036C"/>
    <w:rsid w:val="002609DB"/>
    <w:rsid w:val="002610BB"/>
    <w:rsid w:val="0026125A"/>
    <w:rsid w:val="002616C3"/>
    <w:rsid w:val="00261A62"/>
    <w:rsid w:val="00261BE0"/>
    <w:rsid w:val="00261E1F"/>
    <w:rsid w:val="002634CD"/>
    <w:rsid w:val="00265A88"/>
    <w:rsid w:val="00265C3D"/>
    <w:rsid w:val="00265DA5"/>
    <w:rsid w:val="00266C3B"/>
    <w:rsid w:val="002710E6"/>
    <w:rsid w:val="0027111E"/>
    <w:rsid w:val="002721A5"/>
    <w:rsid w:val="00272C6A"/>
    <w:rsid w:val="002742B0"/>
    <w:rsid w:val="00274516"/>
    <w:rsid w:val="00274B69"/>
    <w:rsid w:val="002751F3"/>
    <w:rsid w:val="002753DE"/>
    <w:rsid w:val="00275B60"/>
    <w:rsid w:val="00275FDE"/>
    <w:rsid w:val="00276A38"/>
    <w:rsid w:val="002774D2"/>
    <w:rsid w:val="00277A09"/>
    <w:rsid w:val="0028035D"/>
    <w:rsid w:val="0028199F"/>
    <w:rsid w:val="00281A0C"/>
    <w:rsid w:val="00281BA1"/>
    <w:rsid w:val="00282515"/>
    <w:rsid w:val="00282529"/>
    <w:rsid w:val="00282B01"/>
    <w:rsid w:val="00282F5F"/>
    <w:rsid w:val="002830D3"/>
    <w:rsid w:val="00285850"/>
    <w:rsid w:val="002860CF"/>
    <w:rsid w:val="00286DCE"/>
    <w:rsid w:val="00286F80"/>
    <w:rsid w:val="00287225"/>
    <w:rsid w:val="002901FA"/>
    <w:rsid w:val="00290795"/>
    <w:rsid w:val="002909FA"/>
    <w:rsid w:val="00291044"/>
    <w:rsid w:val="00291253"/>
    <w:rsid w:val="002912D0"/>
    <w:rsid w:val="0029225B"/>
    <w:rsid w:val="00292D27"/>
    <w:rsid w:val="0029344D"/>
    <w:rsid w:val="002935E1"/>
    <w:rsid w:val="00293718"/>
    <w:rsid w:val="00293920"/>
    <w:rsid w:val="002940F0"/>
    <w:rsid w:val="002947C1"/>
    <w:rsid w:val="00295013"/>
    <w:rsid w:val="00295EC5"/>
    <w:rsid w:val="002963CC"/>
    <w:rsid w:val="00296FEF"/>
    <w:rsid w:val="002971DC"/>
    <w:rsid w:val="0029786C"/>
    <w:rsid w:val="002978DD"/>
    <w:rsid w:val="002A0502"/>
    <w:rsid w:val="002A0D1A"/>
    <w:rsid w:val="002A162C"/>
    <w:rsid w:val="002A1CD5"/>
    <w:rsid w:val="002A258A"/>
    <w:rsid w:val="002A2DF3"/>
    <w:rsid w:val="002A3246"/>
    <w:rsid w:val="002A35DF"/>
    <w:rsid w:val="002A3C51"/>
    <w:rsid w:val="002A477F"/>
    <w:rsid w:val="002A4D2F"/>
    <w:rsid w:val="002A58FE"/>
    <w:rsid w:val="002A5932"/>
    <w:rsid w:val="002A6335"/>
    <w:rsid w:val="002A7937"/>
    <w:rsid w:val="002B0611"/>
    <w:rsid w:val="002B0D46"/>
    <w:rsid w:val="002B1E9E"/>
    <w:rsid w:val="002B2875"/>
    <w:rsid w:val="002B385D"/>
    <w:rsid w:val="002B44A1"/>
    <w:rsid w:val="002B4500"/>
    <w:rsid w:val="002B451E"/>
    <w:rsid w:val="002B49C3"/>
    <w:rsid w:val="002B4F8F"/>
    <w:rsid w:val="002B5857"/>
    <w:rsid w:val="002B6114"/>
    <w:rsid w:val="002B6815"/>
    <w:rsid w:val="002B6843"/>
    <w:rsid w:val="002B6E87"/>
    <w:rsid w:val="002B759C"/>
    <w:rsid w:val="002C0707"/>
    <w:rsid w:val="002C0AF8"/>
    <w:rsid w:val="002C102C"/>
    <w:rsid w:val="002C1226"/>
    <w:rsid w:val="002C13E1"/>
    <w:rsid w:val="002C245C"/>
    <w:rsid w:val="002C2AD2"/>
    <w:rsid w:val="002C2E57"/>
    <w:rsid w:val="002C38F7"/>
    <w:rsid w:val="002C3B02"/>
    <w:rsid w:val="002C42EC"/>
    <w:rsid w:val="002C4BDC"/>
    <w:rsid w:val="002C4CBC"/>
    <w:rsid w:val="002C53BE"/>
    <w:rsid w:val="002C5550"/>
    <w:rsid w:val="002C5696"/>
    <w:rsid w:val="002C5793"/>
    <w:rsid w:val="002C6817"/>
    <w:rsid w:val="002C6BAD"/>
    <w:rsid w:val="002C6ED3"/>
    <w:rsid w:val="002C708F"/>
    <w:rsid w:val="002C73B4"/>
    <w:rsid w:val="002C78C1"/>
    <w:rsid w:val="002D0313"/>
    <w:rsid w:val="002D0454"/>
    <w:rsid w:val="002D0542"/>
    <w:rsid w:val="002D1326"/>
    <w:rsid w:val="002D1E26"/>
    <w:rsid w:val="002D20F5"/>
    <w:rsid w:val="002D2DC5"/>
    <w:rsid w:val="002D3134"/>
    <w:rsid w:val="002D3734"/>
    <w:rsid w:val="002D3775"/>
    <w:rsid w:val="002D466E"/>
    <w:rsid w:val="002D469C"/>
    <w:rsid w:val="002D4ADC"/>
    <w:rsid w:val="002D5115"/>
    <w:rsid w:val="002D5BCA"/>
    <w:rsid w:val="002D5FD8"/>
    <w:rsid w:val="002D6977"/>
    <w:rsid w:val="002D6BD1"/>
    <w:rsid w:val="002D7873"/>
    <w:rsid w:val="002D7ED3"/>
    <w:rsid w:val="002E1959"/>
    <w:rsid w:val="002E1D36"/>
    <w:rsid w:val="002E2E0A"/>
    <w:rsid w:val="002E322A"/>
    <w:rsid w:val="002E322C"/>
    <w:rsid w:val="002E33DB"/>
    <w:rsid w:val="002E3533"/>
    <w:rsid w:val="002E3D6B"/>
    <w:rsid w:val="002E42A2"/>
    <w:rsid w:val="002E518C"/>
    <w:rsid w:val="002E5788"/>
    <w:rsid w:val="002E68C1"/>
    <w:rsid w:val="002E7C17"/>
    <w:rsid w:val="002E7DAC"/>
    <w:rsid w:val="002F0460"/>
    <w:rsid w:val="002F085B"/>
    <w:rsid w:val="002F0B09"/>
    <w:rsid w:val="002F0B28"/>
    <w:rsid w:val="002F0B60"/>
    <w:rsid w:val="002F0DA0"/>
    <w:rsid w:val="002F14A3"/>
    <w:rsid w:val="002F1ED8"/>
    <w:rsid w:val="002F2151"/>
    <w:rsid w:val="002F22B1"/>
    <w:rsid w:val="002F293C"/>
    <w:rsid w:val="002F2C1B"/>
    <w:rsid w:val="002F40C0"/>
    <w:rsid w:val="002F4E0C"/>
    <w:rsid w:val="002F5386"/>
    <w:rsid w:val="002F55D1"/>
    <w:rsid w:val="002F588F"/>
    <w:rsid w:val="002F5E45"/>
    <w:rsid w:val="002F6947"/>
    <w:rsid w:val="002F6FA9"/>
    <w:rsid w:val="002F7A6F"/>
    <w:rsid w:val="003006F1"/>
    <w:rsid w:val="003014F8"/>
    <w:rsid w:val="00301616"/>
    <w:rsid w:val="00302581"/>
    <w:rsid w:val="0030268C"/>
    <w:rsid w:val="00302B0F"/>
    <w:rsid w:val="00302FD7"/>
    <w:rsid w:val="003031B8"/>
    <w:rsid w:val="00303DA3"/>
    <w:rsid w:val="0030406A"/>
    <w:rsid w:val="00305CA8"/>
    <w:rsid w:val="00306524"/>
    <w:rsid w:val="0030739A"/>
    <w:rsid w:val="003074C4"/>
    <w:rsid w:val="0031086E"/>
    <w:rsid w:val="00310ABC"/>
    <w:rsid w:val="00310B94"/>
    <w:rsid w:val="00310DC0"/>
    <w:rsid w:val="003114AB"/>
    <w:rsid w:val="0031209A"/>
    <w:rsid w:val="00312570"/>
    <w:rsid w:val="00312CA7"/>
    <w:rsid w:val="003133EE"/>
    <w:rsid w:val="00313F9F"/>
    <w:rsid w:val="003151B7"/>
    <w:rsid w:val="003156E4"/>
    <w:rsid w:val="003175EA"/>
    <w:rsid w:val="00320719"/>
    <w:rsid w:val="00321497"/>
    <w:rsid w:val="003216EC"/>
    <w:rsid w:val="00321D1B"/>
    <w:rsid w:val="00321E4A"/>
    <w:rsid w:val="00321E7C"/>
    <w:rsid w:val="0032203D"/>
    <w:rsid w:val="0032248C"/>
    <w:rsid w:val="00322D4C"/>
    <w:rsid w:val="00322DB9"/>
    <w:rsid w:val="003239D1"/>
    <w:rsid w:val="003246B4"/>
    <w:rsid w:val="003247C7"/>
    <w:rsid w:val="00325FFD"/>
    <w:rsid w:val="00326924"/>
    <w:rsid w:val="003272CA"/>
    <w:rsid w:val="003274E8"/>
    <w:rsid w:val="003276BA"/>
    <w:rsid w:val="0033014D"/>
    <w:rsid w:val="00330AC2"/>
    <w:rsid w:val="0033144D"/>
    <w:rsid w:val="0033241E"/>
    <w:rsid w:val="0033285A"/>
    <w:rsid w:val="003329F3"/>
    <w:rsid w:val="00332A44"/>
    <w:rsid w:val="00332B36"/>
    <w:rsid w:val="00333614"/>
    <w:rsid w:val="0033371D"/>
    <w:rsid w:val="00333C58"/>
    <w:rsid w:val="00333CE2"/>
    <w:rsid w:val="003341C9"/>
    <w:rsid w:val="00334357"/>
    <w:rsid w:val="00335286"/>
    <w:rsid w:val="00336CF4"/>
    <w:rsid w:val="0033748F"/>
    <w:rsid w:val="00337954"/>
    <w:rsid w:val="00337C50"/>
    <w:rsid w:val="00337EEC"/>
    <w:rsid w:val="0034008A"/>
    <w:rsid w:val="00340316"/>
    <w:rsid w:val="00340760"/>
    <w:rsid w:val="0034179F"/>
    <w:rsid w:val="00341A44"/>
    <w:rsid w:val="00341A7B"/>
    <w:rsid w:val="003425F0"/>
    <w:rsid w:val="003432C8"/>
    <w:rsid w:val="0034370F"/>
    <w:rsid w:val="00343C39"/>
    <w:rsid w:val="00344003"/>
    <w:rsid w:val="003443EC"/>
    <w:rsid w:val="00344D5A"/>
    <w:rsid w:val="003461A2"/>
    <w:rsid w:val="003461CA"/>
    <w:rsid w:val="00346B0D"/>
    <w:rsid w:val="00346D8F"/>
    <w:rsid w:val="00346F14"/>
    <w:rsid w:val="00351A44"/>
    <w:rsid w:val="00351ADD"/>
    <w:rsid w:val="0035211A"/>
    <w:rsid w:val="003526A2"/>
    <w:rsid w:val="003528CC"/>
    <w:rsid w:val="00352BAB"/>
    <w:rsid w:val="00352E87"/>
    <w:rsid w:val="00353167"/>
    <w:rsid w:val="003534CE"/>
    <w:rsid w:val="00353BCC"/>
    <w:rsid w:val="00354B65"/>
    <w:rsid w:val="00354BF3"/>
    <w:rsid w:val="003558B5"/>
    <w:rsid w:val="00355B33"/>
    <w:rsid w:val="00355CEA"/>
    <w:rsid w:val="003566C9"/>
    <w:rsid w:val="00356FB2"/>
    <w:rsid w:val="003571D0"/>
    <w:rsid w:val="003576DA"/>
    <w:rsid w:val="0036014D"/>
    <w:rsid w:val="00360786"/>
    <w:rsid w:val="00360909"/>
    <w:rsid w:val="00360ACB"/>
    <w:rsid w:val="0036136D"/>
    <w:rsid w:val="00361483"/>
    <w:rsid w:val="0036150C"/>
    <w:rsid w:val="00361933"/>
    <w:rsid w:val="00361DAF"/>
    <w:rsid w:val="00362696"/>
    <w:rsid w:val="00363AB8"/>
    <w:rsid w:val="00363B4A"/>
    <w:rsid w:val="00365558"/>
    <w:rsid w:val="003657B8"/>
    <w:rsid w:val="00366411"/>
    <w:rsid w:val="00366556"/>
    <w:rsid w:val="003669D5"/>
    <w:rsid w:val="0036715A"/>
    <w:rsid w:val="003673FA"/>
    <w:rsid w:val="00367E2F"/>
    <w:rsid w:val="003712E2"/>
    <w:rsid w:val="00372E5D"/>
    <w:rsid w:val="00373B5F"/>
    <w:rsid w:val="00375365"/>
    <w:rsid w:val="00375582"/>
    <w:rsid w:val="003762F3"/>
    <w:rsid w:val="003765A5"/>
    <w:rsid w:val="00377B9A"/>
    <w:rsid w:val="00380697"/>
    <w:rsid w:val="00380DAA"/>
    <w:rsid w:val="00380ECA"/>
    <w:rsid w:val="00381A10"/>
    <w:rsid w:val="00381C6E"/>
    <w:rsid w:val="003831D5"/>
    <w:rsid w:val="00383385"/>
    <w:rsid w:val="00384610"/>
    <w:rsid w:val="003854E6"/>
    <w:rsid w:val="003857F1"/>
    <w:rsid w:val="00386E96"/>
    <w:rsid w:val="00386F67"/>
    <w:rsid w:val="0038704D"/>
    <w:rsid w:val="00387317"/>
    <w:rsid w:val="00387D49"/>
    <w:rsid w:val="00387DEF"/>
    <w:rsid w:val="003902FB"/>
    <w:rsid w:val="00390609"/>
    <w:rsid w:val="00391347"/>
    <w:rsid w:val="00392207"/>
    <w:rsid w:val="00393167"/>
    <w:rsid w:val="00393891"/>
    <w:rsid w:val="00393BBC"/>
    <w:rsid w:val="0039412A"/>
    <w:rsid w:val="0039435B"/>
    <w:rsid w:val="00395198"/>
    <w:rsid w:val="003953F4"/>
    <w:rsid w:val="0039549C"/>
    <w:rsid w:val="00395530"/>
    <w:rsid w:val="003968F6"/>
    <w:rsid w:val="003A02D8"/>
    <w:rsid w:val="003A03D8"/>
    <w:rsid w:val="003A07D3"/>
    <w:rsid w:val="003A08AE"/>
    <w:rsid w:val="003A0B4F"/>
    <w:rsid w:val="003A0D40"/>
    <w:rsid w:val="003A1223"/>
    <w:rsid w:val="003A152A"/>
    <w:rsid w:val="003A206A"/>
    <w:rsid w:val="003A2A46"/>
    <w:rsid w:val="003A2CA2"/>
    <w:rsid w:val="003A4182"/>
    <w:rsid w:val="003A5955"/>
    <w:rsid w:val="003A5AC9"/>
    <w:rsid w:val="003A6620"/>
    <w:rsid w:val="003A70B8"/>
    <w:rsid w:val="003A7610"/>
    <w:rsid w:val="003A7866"/>
    <w:rsid w:val="003B0A3D"/>
    <w:rsid w:val="003B137F"/>
    <w:rsid w:val="003B2402"/>
    <w:rsid w:val="003B2B2E"/>
    <w:rsid w:val="003B48CD"/>
    <w:rsid w:val="003B5CD4"/>
    <w:rsid w:val="003B62AC"/>
    <w:rsid w:val="003B6C49"/>
    <w:rsid w:val="003B6D9C"/>
    <w:rsid w:val="003B6E4B"/>
    <w:rsid w:val="003B6EE5"/>
    <w:rsid w:val="003B7A31"/>
    <w:rsid w:val="003B7EBA"/>
    <w:rsid w:val="003C0411"/>
    <w:rsid w:val="003C11ED"/>
    <w:rsid w:val="003C18C5"/>
    <w:rsid w:val="003C1D01"/>
    <w:rsid w:val="003C28D6"/>
    <w:rsid w:val="003C2900"/>
    <w:rsid w:val="003C29F1"/>
    <w:rsid w:val="003C2D0E"/>
    <w:rsid w:val="003C2E89"/>
    <w:rsid w:val="003C345A"/>
    <w:rsid w:val="003C358D"/>
    <w:rsid w:val="003C37AF"/>
    <w:rsid w:val="003C3A61"/>
    <w:rsid w:val="003C3D91"/>
    <w:rsid w:val="003C48D7"/>
    <w:rsid w:val="003C4CC9"/>
    <w:rsid w:val="003C5279"/>
    <w:rsid w:val="003C5F4F"/>
    <w:rsid w:val="003C69A5"/>
    <w:rsid w:val="003C6F9B"/>
    <w:rsid w:val="003C70C0"/>
    <w:rsid w:val="003C7340"/>
    <w:rsid w:val="003C76AB"/>
    <w:rsid w:val="003C7A80"/>
    <w:rsid w:val="003C7CD4"/>
    <w:rsid w:val="003D0409"/>
    <w:rsid w:val="003D066E"/>
    <w:rsid w:val="003D1157"/>
    <w:rsid w:val="003D19B1"/>
    <w:rsid w:val="003D200D"/>
    <w:rsid w:val="003D2A7A"/>
    <w:rsid w:val="003D384D"/>
    <w:rsid w:val="003D49E4"/>
    <w:rsid w:val="003D5889"/>
    <w:rsid w:val="003D6C3E"/>
    <w:rsid w:val="003D6C80"/>
    <w:rsid w:val="003D75D7"/>
    <w:rsid w:val="003E0677"/>
    <w:rsid w:val="003E1BFA"/>
    <w:rsid w:val="003E1C50"/>
    <w:rsid w:val="003E274A"/>
    <w:rsid w:val="003E2948"/>
    <w:rsid w:val="003E3339"/>
    <w:rsid w:val="003E3A31"/>
    <w:rsid w:val="003E3D58"/>
    <w:rsid w:val="003E3F1B"/>
    <w:rsid w:val="003E436C"/>
    <w:rsid w:val="003E4D17"/>
    <w:rsid w:val="003E4E8F"/>
    <w:rsid w:val="003E5F53"/>
    <w:rsid w:val="003E60EE"/>
    <w:rsid w:val="003E6C5B"/>
    <w:rsid w:val="003E6C8F"/>
    <w:rsid w:val="003E6CBE"/>
    <w:rsid w:val="003E6CDE"/>
    <w:rsid w:val="003E7867"/>
    <w:rsid w:val="003F07B5"/>
    <w:rsid w:val="003F1748"/>
    <w:rsid w:val="003F1FC3"/>
    <w:rsid w:val="003F24E4"/>
    <w:rsid w:val="003F2B98"/>
    <w:rsid w:val="003F3278"/>
    <w:rsid w:val="003F3A23"/>
    <w:rsid w:val="003F3AA0"/>
    <w:rsid w:val="003F3F9F"/>
    <w:rsid w:val="003F4890"/>
    <w:rsid w:val="003F4D4D"/>
    <w:rsid w:val="003F627C"/>
    <w:rsid w:val="003F6E13"/>
    <w:rsid w:val="00400194"/>
    <w:rsid w:val="0040034E"/>
    <w:rsid w:val="0040181A"/>
    <w:rsid w:val="00401E36"/>
    <w:rsid w:val="00402790"/>
    <w:rsid w:val="0040339B"/>
    <w:rsid w:val="00404AC5"/>
    <w:rsid w:val="00404AE9"/>
    <w:rsid w:val="004053DF"/>
    <w:rsid w:val="00405AED"/>
    <w:rsid w:val="004061DC"/>
    <w:rsid w:val="00407B34"/>
    <w:rsid w:val="00407C7D"/>
    <w:rsid w:val="00407DB6"/>
    <w:rsid w:val="00410005"/>
    <w:rsid w:val="00411C06"/>
    <w:rsid w:val="00411CC5"/>
    <w:rsid w:val="00411E6E"/>
    <w:rsid w:val="00412257"/>
    <w:rsid w:val="00412403"/>
    <w:rsid w:val="00412692"/>
    <w:rsid w:val="00414305"/>
    <w:rsid w:val="004150F3"/>
    <w:rsid w:val="00415299"/>
    <w:rsid w:val="00415F4A"/>
    <w:rsid w:val="00415FA7"/>
    <w:rsid w:val="0041621C"/>
    <w:rsid w:val="004176DC"/>
    <w:rsid w:val="004178DC"/>
    <w:rsid w:val="00417F5E"/>
    <w:rsid w:val="00421327"/>
    <w:rsid w:val="00421828"/>
    <w:rsid w:val="0042185F"/>
    <w:rsid w:val="00422686"/>
    <w:rsid w:val="00422E7E"/>
    <w:rsid w:val="00422F39"/>
    <w:rsid w:val="0042325A"/>
    <w:rsid w:val="00423515"/>
    <w:rsid w:val="00423677"/>
    <w:rsid w:val="00423DCE"/>
    <w:rsid w:val="004245FF"/>
    <w:rsid w:val="00425766"/>
    <w:rsid w:val="00425E45"/>
    <w:rsid w:val="004264DF"/>
    <w:rsid w:val="004264F9"/>
    <w:rsid w:val="00426900"/>
    <w:rsid w:val="00426D3B"/>
    <w:rsid w:val="004276AC"/>
    <w:rsid w:val="004277C9"/>
    <w:rsid w:val="00427E18"/>
    <w:rsid w:val="00431601"/>
    <w:rsid w:val="004321BE"/>
    <w:rsid w:val="0043244A"/>
    <w:rsid w:val="00432926"/>
    <w:rsid w:val="00433029"/>
    <w:rsid w:val="004332AB"/>
    <w:rsid w:val="00433EE2"/>
    <w:rsid w:val="0043419D"/>
    <w:rsid w:val="00435300"/>
    <w:rsid w:val="004359E6"/>
    <w:rsid w:val="00435B38"/>
    <w:rsid w:val="00435B5C"/>
    <w:rsid w:val="00436979"/>
    <w:rsid w:val="00436B97"/>
    <w:rsid w:val="00437027"/>
    <w:rsid w:val="00437751"/>
    <w:rsid w:val="00441629"/>
    <w:rsid w:val="00442A65"/>
    <w:rsid w:val="00443115"/>
    <w:rsid w:val="004434FF"/>
    <w:rsid w:val="004447B6"/>
    <w:rsid w:val="00444F52"/>
    <w:rsid w:val="0044514C"/>
    <w:rsid w:val="00445693"/>
    <w:rsid w:val="004458F6"/>
    <w:rsid w:val="00445B1F"/>
    <w:rsid w:val="00445D83"/>
    <w:rsid w:val="00445FA9"/>
    <w:rsid w:val="004462DE"/>
    <w:rsid w:val="0044762A"/>
    <w:rsid w:val="00447935"/>
    <w:rsid w:val="004507EA"/>
    <w:rsid w:val="004517D8"/>
    <w:rsid w:val="004520A8"/>
    <w:rsid w:val="004535A6"/>
    <w:rsid w:val="004542C0"/>
    <w:rsid w:val="004548FB"/>
    <w:rsid w:val="004553EF"/>
    <w:rsid w:val="00455FC5"/>
    <w:rsid w:val="00457081"/>
    <w:rsid w:val="004574A6"/>
    <w:rsid w:val="00457CB6"/>
    <w:rsid w:val="00457F22"/>
    <w:rsid w:val="00460583"/>
    <w:rsid w:val="00460596"/>
    <w:rsid w:val="004609B6"/>
    <w:rsid w:val="00460B88"/>
    <w:rsid w:val="0046171C"/>
    <w:rsid w:val="00461C71"/>
    <w:rsid w:val="00461F65"/>
    <w:rsid w:val="004628F6"/>
    <w:rsid w:val="00462EB7"/>
    <w:rsid w:val="00463614"/>
    <w:rsid w:val="004636A3"/>
    <w:rsid w:val="00464498"/>
    <w:rsid w:val="0046459C"/>
    <w:rsid w:val="00465170"/>
    <w:rsid w:val="004652BF"/>
    <w:rsid w:val="00465861"/>
    <w:rsid w:val="0046594C"/>
    <w:rsid w:val="00465EC0"/>
    <w:rsid w:val="00466298"/>
    <w:rsid w:val="004678CC"/>
    <w:rsid w:val="004678F5"/>
    <w:rsid w:val="00470C67"/>
    <w:rsid w:val="00470DBE"/>
    <w:rsid w:val="004710BD"/>
    <w:rsid w:val="00471450"/>
    <w:rsid w:val="004716FA"/>
    <w:rsid w:val="00472F47"/>
    <w:rsid w:val="00474C00"/>
    <w:rsid w:val="0047517C"/>
    <w:rsid w:val="0047557B"/>
    <w:rsid w:val="0047611E"/>
    <w:rsid w:val="004765D5"/>
    <w:rsid w:val="00476749"/>
    <w:rsid w:val="004777E6"/>
    <w:rsid w:val="004814C3"/>
    <w:rsid w:val="00481A66"/>
    <w:rsid w:val="00481B61"/>
    <w:rsid w:val="00482E56"/>
    <w:rsid w:val="004830D7"/>
    <w:rsid w:val="00484317"/>
    <w:rsid w:val="0048639A"/>
    <w:rsid w:val="00487259"/>
    <w:rsid w:val="00487525"/>
    <w:rsid w:val="00487E4A"/>
    <w:rsid w:val="00490620"/>
    <w:rsid w:val="00491C76"/>
    <w:rsid w:val="00491F64"/>
    <w:rsid w:val="004924CE"/>
    <w:rsid w:val="004925C4"/>
    <w:rsid w:val="0049260B"/>
    <w:rsid w:val="00492A11"/>
    <w:rsid w:val="00492B5B"/>
    <w:rsid w:val="00495286"/>
    <w:rsid w:val="004953B1"/>
    <w:rsid w:val="00495977"/>
    <w:rsid w:val="00496E21"/>
    <w:rsid w:val="00497133"/>
    <w:rsid w:val="004976FC"/>
    <w:rsid w:val="004A0010"/>
    <w:rsid w:val="004A0438"/>
    <w:rsid w:val="004A0812"/>
    <w:rsid w:val="004A0AB0"/>
    <w:rsid w:val="004A118D"/>
    <w:rsid w:val="004A1930"/>
    <w:rsid w:val="004A19A7"/>
    <w:rsid w:val="004A1E63"/>
    <w:rsid w:val="004A27AB"/>
    <w:rsid w:val="004A385E"/>
    <w:rsid w:val="004A3CAF"/>
    <w:rsid w:val="004A3E33"/>
    <w:rsid w:val="004A4119"/>
    <w:rsid w:val="004A464F"/>
    <w:rsid w:val="004A4B92"/>
    <w:rsid w:val="004A5514"/>
    <w:rsid w:val="004A5974"/>
    <w:rsid w:val="004A5C14"/>
    <w:rsid w:val="004A5F9E"/>
    <w:rsid w:val="004A6E66"/>
    <w:rsid w:val="004A7204"/>
    <w:rsid w:val="004A7248"/>
    <w:rsid w:val="004B088B"/>
    <w:rsid w:val="004B11F3"/>
    <w:rsid w:val="004B155F"/>
    <w:rsid w:val="004B179F"/>
    <w:rsid w:val="004B1EA3"/>
    <w:rsid w:val="004B22C0"/>
    <w:rsid w:val="004B23D0"/>
    <w:rsid w:val="004B27D1"/>
    <w:rsid w:val="004B3465"/>
    <w:rsid w:val="004B5117"/>
    <w:rsid w:val="004B53FF"/>
    <w:rsid w:val="004B5491"/>
    <w:rsid w:val="004B57AF"/>
    <w:rsid w:val="004B5A61"/>
    <w:rsid w:val="004B6D0F"/>
    <w:rsid w:val="004B7519"/>
    <w:rsid w:val="004B798A"/>
    <w:rsid w:val="004C0CCA"/>
    <w:rsid w:val="004C0F72"/>
    <w:rsid w:val="004C2B49"/>
    <w:rsid w:val="004C2FFB"/>
    <w:rsid w:val="004C3093"/>
    <w:rsid w:val="004C3344"/>
    <w:rsid w:val="004C3736"/>
    <w:rsid w:val="004C3A63"/>
    <w:rsid w:val="004C3EA1"/>
    <w:rsid w:val="004C4434"/>
    <w:rsid w:val="004C48E2"/>
    <w:rsid w:val="004C5DE6"/>
    <w:rsid w:val="004C6027"/>
    <w:rsid w:val="004C6C1F"/>
    <w:rsid w:val="004C78E3"/>
    <w:rsid w:val="004D02A2"/>
    <w:rsid w:val="004D0808"/>
    <w:rsid w:val="004D1D69"/>
    <w:rsid w:val="004D228B"/>
    <w:rsid w:val="004D2AFC"/>
    <w:rsid w:val="004D3049"/>
    <w:rsid w:val="004D30F9"/>
    <w:rsid w:val="004D3998"/>
    <w:rsid w:val="004D3DA0"/>
    <w:rsid w:val="004D4034"/>
    <w:rsid w:val="004D40BA"/>
    <w:rsid w:val="004D41DD"/>
    <w:rsid w:val="004D4924"/>
    <w:rsid w:val="004D5250"/>
    <w:rsid w:val="004D59B2"/>
    <w:rsid w:val="004D5DA5"/>
    <w:rsid w:val="004D6033"/>
    <w:rsid w:val="004D666E"/>
    <w:rsid w:val="004D6E2F"/>
    <w:rsid w:val="004D7458"/>
    <w:rsid w:val="004D77D4"/>
    <w:rsid w:val="004D7C27"/>
    <w:rsid w:val="004D7C4A"/>
    <w:rsid w:val="004E03C7"/>
    <w:rsid w:val="004E0A39"/>
    <w:rsid w:val="004E0FE4"/>
    <w:rsid w:val="004E1553"/>
    <w:rsid w:val="004E1ACE"/>
    <w:rsid w:val="004E252B"/>
    <w:rsid w:val="004E26B2"/>
    <w:rsid w:val="004E2992"/>
    <w:rsid w:val="004E2DDF"/>
    <w:rsid w:val="004E3539"/>
    <w:rsid w:val="004E3AC2"/>
    <w:rsid w:val="004E4271"/>
    <w:rsid w:val="004E52A2"/>
    <w:rsid w:val="004E61C3"/>
    <w:rsid w:val="004E638A"/>
    <w:rsid w:val="004E7B0C"/>
    <w:rsid w:val="004F025A"/>
    <w:rsid w:val="004F0AB3"/>
    <w:rsid w:val="004F0B63"/>
    <w:rsid w:val="004F0BF7"/>
    <w:rsid w:val="004F137B"/>
    <w:rsid w:val="004F217D"/>
    <w:rsid w:val="004F21C7"/>
    <w:rsid w:val="004F2772"/>
    <w:rsid w:val="004F2932"/>
    <w:rsid w:val="004F34EA"/>
    <w:rsid w:val="004F3BC5"/>
    <w:rsid w:val="004F3CCD"/>
    <w:rsid w:val="004F545F"/>
    <w:rsid w:val="004F5BF8"/>
    <w:rsid w:val="004F609E"/>
    <w:rsid w:val="00500B6D"/>
    <w:rsid w:val="00500C14"/>
    <w:rsid w:val="00500DD8"/>
    <w:rsid w:val="00502D65"/>
    <w:rsid w:val="0050317C"/>
    <w:rsid w:val="00503B65"/>
    <w:rsid w:val="00504790"/>
    <w:rsid w:val="005048F0"/>
    <w:rsid w:val="00504B09"/>
    <w:rsid w:val="00504BAD"/>
    <w:rsid w:val="00504C05"/>
    <w:rsid w:val="00504F89"/>
    <w:rsid w:val="00506266"/>
    <w:rsid w:val="005063C5"/>
    <w:rsid w:val="00506FBE"/>
    <w:rsid w:val="005072BD"/>
    <w:rsid w:val="00507974"/>
    <w:rsid w:val="00507C9D"/>
    <w:rsid w:val="0051179C"/>
    <w:rsid w:val="005118FF"/>
    <w:rsid w:val="00512327"/>
    <w:rsid w:val="0051273A"/>
    <w:rsid w:val="00512C34"/>
    <w:rsid w:val="00513333"/>
    <w:rsid w:val="00513783"/>
    <w:rsid w:val="00513B17"/>
    <w:rsid w:val="00513B4C"/>
    <w:rsid w:val="00513C54"/>
    <w:rsid w:val="005142A2"/>
    <w:rsid w:val="0051533D"/>
    <w:rsid w:val="00515A66"/>
    <w:rsid w:val="00516369"/>
    <w:rsid w:val="00516932"/>
    <w:rsid w:val="00516E4D"/>
    <w:rsid w:val="00516F12"/>
    <w:rsid w:val="00520200"/>
    <w:rsid w:val="005205C3"/>
    <w:rsid w:val="00520CF9"/>
    <w:rsid w:val="00520E70"/>
    <w:rsid w:val="005215B2"/>
    <w:rsid w:val="00521998"/>
    <w:rsid w:val="0052260A"/>
    <w:rsid w:val="0052293A"/>
    <w:rsid w:val="005235D0"/>
    <w:rsid w:val="00523A39"/>
    <w:rsid w:val="00523DC6"/>
    <w:rsid w:val="005241FD"/>
    <w:rsid w:val="00524786"/>
    <w:rsid w:val="005252C7"/>
    <w:rsid w:val="00525614"/>
    <w:rsid w:val="00525BD2"/>
    <w:rsid w:val="00525BEF"/>
    <w:rsid w:val="00525E7A"/>
    <w:rsid w:val="0052611A"/>
    <w:rsid w:val="005265AB"/>
    <w:rsid w:val="005276A1"/>
    <w:rsid w:val="005277D3"/>
    <w:rsid w:val="00527D68"/>
    <w:rsid w:val="00530899"/>
    <w:rsid w:val="0053130E"/>
    <w:rsid w:val="005315E8"/>
    <w:rsid w:val="005323C1"/>
    <w:rsid w:val="005324FD"/>
    <w:rsid w:val="0053275B"/>
    <w:rsid w:val="0053334A"/>
    <w:rsid w:val="0053369D"/>
    <w:rsid w:val="00533B52"/>
    <w:rsid w:val="00533FB1"/>
    <w:rsid w:val="00534CB9"/>
    <w:rsid w:val="00535605"/>
    <w:rsid w:val="0053581D"/>
    <w:rsid w:val="00535DC4"/>
    <w:rsid w:val="005361E2"/>
    <w:rsid w:val="005365B2"/>
    <w:rsid w:val="005365CF"/>
    <w:rsid w:val="00536742"/>
    <w:rsid w:val="00536F1C"/>
    <w:rsid w:val="00536F51"/>
    <w:rsid w:val="00536FA0"/>
    <w:rsid w:val="00537146"/>
    <w:rsid w:val="00537AF1"/>
    <w:rsid w:val="00540C3E"/>
    <w:rsid w:val="00540F76"/>
    <w:rsid w:val="00541511"/>
    <w:rsid w:val="00541824"/>
    <w:rsid w:val="00541EA3"/>
    <w:rsid w:val="005423A5"/>
    <w:rsid w:val="005424C9"/>
    <w:rsid w:val="0054279C"/>
    <w:rsid w:val="00542C9A"/>
    <w:rsid w:val="00543135"/>
    <w:rsid w:val="0054353C"/>
    <w:rsid w:val="0054363B"/>
    <w:rsid w:val="00543B93"/>
    <w:rsid w:val="0054400F"/>
    <w:rsid w:val="0054447F"/>
    <w:rsid w:val="0054577D"/>
    <w:rsid w:val="00545AD6"/>
    <w:rsid w:val="00546C11"/>
    <w:rsid w:val="00546DA6"/>
    <w:rsid w:val="005470F4"/>
    <w:rsid w:val="005472B1"/>
    <w:rsid w:val="0054744F"/>
    <w:rsid w:val="005477F7"/>
    <w:rsid w:val="00550062"/>
    <w:rsid w:val="00550529"/>
    <w:rsid w:val="00551F14"/>
    <w:rsid w:val="00551F2B"/>
    <w:rsid w:val="005528FC"/>
    <w:rsid w:val="00552D77"/>
    <w:rsid w:val="005535EB"/>
    <w:rsid w:val="00553778"/>
    <w:rsid w:val="00553B0C"/>
    <w:rsid w:val="00553E49"/>
    <w:rsid w:val="00554086"/>
    <w:rsid w:val="0055417E"/>
    <w:rsid w:val="00554757"/>
    <w:rsid w:val="005548EC"/>
    <w:rsid w:val="00555F83"/>
    <w:rsid w:val="005562D3"/>
    <w:rsid w:val="0055687E"/>
    <w:rsid w:val="005573AF"/>
    <w:rsid w:val="005575A8"/>
    <w:rsid w:val="00557FE5"/>
    <w:rsid w:val="00557FF8"/>
    <w:rsid w:val="0056024B"/>
    <w:rsid w:val="00560670"/>
    <w:rsid w:val="0056101C"/>
    <w:rsid w:val="005613FB"/>
    <w:rsid w:val="00561A8C"/>
    <w:rsid w:val="00561AB9"/>
    <w:rsid w:val="0056307F"/>
    <w:rsid w:val="0056435C"/>
    <w:rsid w:val="00564D25"/>
    <w:rsid w:val="00564D70"/>
    <w:rsid w:val="00564DD4"/>
    <w:rsid w:val="00564EE8"/>
    <w:rsid w:val="00565338"/>
    <w:rsid w:val="00565D23"/>
    <w:rsid w:val="00565E6A"/>
    <w:rsid w:val="00567B73"/>
    <w:rsid w:val="00567C59"/>
    <w:rsid w:val="00567C7A"/>
    <w:rsid w:val="00570217"/>
    <w:rsid w:val="005705B1"/>
    <w:rsid w:val="00570D82"/>
    <w:rsid w:val="00571072"/>
    <w:rsid w:val="005714D6"/>
    <w:rsid w:val="005716F3"/>
    <w:rsid w:val="00571C76"/>
    <w:rsid w:val="00572166"/>
    <w:rsid w:val="00572679"/>
    <w:rsid w:val="005734F2"/>
    <w:rsid w:val="00573AC7"/>
    <w:rsid w:val="00573DD7"/>
    <w:rsid w:val="0057438D"/>
    <w:rsid w:val="00574EB1"/>
    <w:rsid w:val="00574FAD"/>
    <w:rsid w:val="00575207"/>
    <w:rsid w:val="005756F1"/>
    <w:rsid w:val="0057593D"/>
    <w:rsid w:val="00575E88"/>
    <w:rsid w:val="00576D02"/>
    <w:rsid w:val="00577643"/>
    <w:rsid w:val="00577695"/>
    <w:rsid w:val="00577ADC"/>
    <w:rsid w:val="00577D19"/>
    <w:rsid w:val="00577E1D"/>
    <w:rsid w:val="00580533"/>
    <w:rsid w:val="00581046"/>
    <w:rsid w:val="00583D9C"/>
    <w:rsid w:val="005847B4"/>
    <w:rsid w:val="005851B5"/>
    <w:rsid w:val="00585B88"/>
    <w:rsid w:val="0058604D"/>
    <w:rsid w:val="005861AC"/>
    <w:rsid w:val="00586C83"/>
    <w:rsid w:val="00587A5C"/>
    <w:rsid w:val="00587C1B"/>
    <w:rsid w:val="00590753"/>
    <w:rsid w:val="00590788"/>
    <w:rsid w:val="00590A0A"/>
    <w:rsid w:val="005910FE"/>
    <w:rsid w:val="00591427"/>
    <w:rsid w:val="005915C4"/>
    <w:rsid w:val="005917B5"/>
    <w:rsid w:val="00591930"/>
    <w:rsid w:val="005927C4"/>
    <w:rsid w:val="00592D11"/>
    <w:rsid w:val="005930A6"/>
    <w:rsid w:val="00593573"/>
    <w:rsid w:val="00594303"/>
    <w:rsid w:val="00594C3F"/>
    <w:rsid w:val="00594D4E"/>
    <w:rsid w:val="0059559C"/>
    <w:rsid w:val="0059626C"/>
    <w:rsid w:val="005962B9"/>
    <w:rsid w:val="00596F6D"/>
    <w:rsid w:val="00597877"/>
    <w:rsid w:val="00597E27"/>
    <w:rsid w:val="005A0407"/>
    <w:rsid w:val="005A0B65"/>
    <w:rsid w:val="005A1269"/>
    <w:rsid w:val="005A1C99"/>
    <w:rsid w:val="005A1DF8"/>
    <w:rsid w:val="005A2A1E"/>
    <w:rsid w:val="005A2CEB"/>
    <w:rsid w:val="005A32E1"/>
    <w:rsid w:val="005A3485"/>
    <w:rsid w:val="005A3B4C"/>
    <w:rsid w:val="005A3B57"/>
    <w:rsid w:val="005A4025"/>
    <w:rsid w:val="005A4F22"/>
    <w:rsid w:val="005A5D75"/>
    <w:rsid w:val="005A6D27"/>
    <w:rsid w:val="005A76DF"/>
    <w:rsid w:val="005B0081"/>
    <w:rsid w:val="005B024C"/>
    <w:rsid w:val="005B07E0"/>
    <w:rsid w:val="005B10A7"/>
    <w:rsid w:val="005B1312"/>
    <w:rsid w:val="005B1364"/>
    <w:rsid w:val="005B1E06"/>
    <w:rsid w:val="005B2195"/>
    <w:rsid w:val="005B2739"/>
    <w:rsid w:val="005B2FF5"/>
    <w:rsid w:val="005B3265"/>
    <w:rsid w:val="005B41D8"/>
    <w:rsid w:val="005B4912"/>
    <w:rsid w:val="005B4B74"/>
    <w:rsid w:val="005B5C4A"/>
    <w:rsid w:val="005B63D0"/>
    <w:rsid w:val="005B6D19"/>
    <w:rsid w:val="005B71ED"/>
    <w:rsid w:val="005B7870"/>
    <w:rsid w:val="005B7CC2"/>
    <w:rsid w:val="005B7F55"/>
    <w:rsid w:val="005C0165"/>
    <w:rsid w:val="005C06F5"/>
    <w:rsid w:val="005C08C9"/>
    <w:rsid w:val="005C3DBF"/>
    <w:rsid w:val="005C4312"/>
    <w:rsid w:val="005C4DE0"/>
    <w:rsid w:val="005C57E7"/>
    <w:rsid w:val="005C63F2"/>
    <w:rsid w:val="005C6412"/>
    <w:rsid w:val="005C67E2"/>
    <w:rsid w:val="005C7462"/>
    <w:rsid w:val="005C79B1"/>
    <w:rsid w:val="005D0114"/>
    <w:rsid w:val="005D0282"/>
    <w:rsid w:val="005D0AAD"/>
    <w:rsid w:val="005D0E79"/>
    <w:rsid w:val="005D1BA5"/>
    <w:rsid w:val="005D2457"/>
    <w:rsid w:val="005D24D3"/>
    <w:rsid w:val="005D2AD9"/>
    <w:rsid w:val="005D3C28"/>
    <w:rsid w:val="005D3C65"/>
    <w:rsid w:val="005D3DC4"/>
    <w:rsid w:val="005D53CD"/>
    <w:rsid w:val="005D648B"/>
    <w:rsid w:val="005D707D"/>
    <w:rsid w:val="005D7357"/>
    <w:rsid w:val="005D7E69"/>
    <w:rsid w:val="005E021D"/>
    <w:rsid w:val="005E089F"/>
    <w:rsid w:val="005E0913"/>
    <w:rsid w:val="005E2102"/>
    <w:rsid w:val="005E2A27"/>
    <w:rsid w:val="005E2ADD"/>
    <w:rsid w:val="005E2BE3"/>
    <w:rsid w:val="005E2F06"/>
    <w:rsid w:val="005E2F55"/>
    <w:rsid w:val="005E3D4F"/>
    <w:rsid w:val="005E58CF"/>
    <w:rsid w:val="005E6345"/>
    <w:rsid w:val="005E677B"/>
    <w:rsid w:val="005E7108"/>
    <w:rsid w:val="005F0974"/>
    <w:rsid w:val="005F22C3"/>
    <w:rsid w:val="005F2527"/>
    <w:rsid w:val="005F25E3"/>
    <w:rsid w:val="005F2D6F"/>
    <w:rsid w:val="005F3314"/>
    <w:rsid w:val="005F3319"/>
    <w:rsid w:val="005F41CE"/>
    <w:rsid w:val="005F53E5"/>
    <w:rsid w:val="005F594B"/>
    <w:rsid w:val="005F5DF9"/>
    <w:rsid w:val="005F683E"/>
    <w:rsid w:val="005F7299"/>
    <w:rsid w:val="005F737A"/>
    <w:rsid w:val="005F7A3E"/>
    <w:rsid w:val="005F7B23"/>
    <w:rsid w:val="005F7ECD"/>
    <w:rsid w:val="00600234"/>
    <w:rsid w:val="00600469"/>
    <w:rsid w:val="006004DE"/>
    <w:rsid w:val="00600B63"/>
    <w:rsid w:val="00601194"/>
    <w:rsid w:val="00601393"/>
    <w:rsid w:val="00601BF6"/>
    <w:rsid w:val="0060265A"/>
    <w:rsid w:val="0060328E"/>
    <w:rsid w:val="00603BDB"/>
    <w:rsid w:val="006042C2"/>
    <w:rsid w:val="00604376"/>
    <w:rsid w:val="00604B51"/>
    <w:rsid w:val="00604F70"/>
    <w:rsid w:val="006057BA"/>
    <w:rsid w:val="006057FA"/>
    <w:rsid w:val="00605EC6"/>
    <w:rsid w:val="00605F8A"/>
    <w:rsid w:val="00607CC0"/>
    <w:rsid w:val="006104C6"/>
    <w:rsid w:val="00610680"/>
    <w:rsid w:val="006107F7"/>
    <w:rsid w:val="00610963"/>
    <w:rsid w:val="00610C6F"/>
    <w:rsid w:val="00611978"/>
    <w:rsid w:val="00611B8D"/>
    <w:rsid w:val="00611CAB"/>
    <w:rsid w:val="00611F32"/>
    <w:rsid w:val="006123AA"/>
    <w:rsid w:val="00612862"/>
    <w:rsid w:val="00612CAE"/>
    <w:rsid w:val="00613062"/>
    <w:rsid w:val="006130DF"/>
    <w:rsid w:val="00614084"/>
    <w:rsid w:val="0061418F"/>
    <w:rsid w:val="00615A88"/>
    <w:rsid w:val="00615DD4"/>
    <w:rsid w:val="00616A9C"/>
    <w:rsid w:val="00616E01"/>
    <w:rsid w:val="00616E85"/>
    <w:rsid w:val="0061706B"/>
    <w:rsid w:val="006206A2"/>
    <w:rsid w:val="00620AD5"/>
    <w:rsid w:val="0062271E"/>
    <w:rsid w:val="0062295E"/>
    <w:rsid w:val="00623185"/>
    <w:rsid w:val="006235C9"/>
    <w:rsid w:val="006239B7"/>
    <w:rsid w:val="00623F3A"/>
    <w:rsid w:val="006245E4"/>
    <w:rsid w:val="00625F06"/>
    <w:rsid w:val="00626D78"/>
    <w:rsid w:val="00627063"/>
    <w:rsid w:val="006272BE"/>
    <w:rsid w:val="00627CC1"/>
    <w:rsid w:val="0063059C"/>
    <w:rsid w:val="00630CA2"/>
    <w:rsid w:val="00630D52"/>
    <w:rsid w:val="00630F75"/>
    <w:rsid w:val="0063167C"/>
    <w:rsid w:val="00632343"/>
    <w:rsid w:val="00632828"/>
    <w:rsid w:val="0063308B"/>
    <w:rsid w:val="00633493"/>
    <w:rsid w:val="00633617"/>
    <w:rsid w:val="0063478D"/>
    <w:rsid w:val="006351E5"/>
    <w:rsid w:val="00635374"/>
    <w:rsid w:val="006358F6"/>
    <w:rsid w:val="00636303"/>
    <w:rsid w:val="006363FF"/>
    <w:rsid w:val="00636501"/>
    <w:rsid w:val="006365D3"/>
    <w:rsid w:val="00636D17"/>
    <w:rsid w:val="00636F43"/>
    <w:rsid w:val="006379EE"/>
    <w:rsid w:val="00637F68"/>
    <w:rsid w:val="006408FF"/>
    <w:rsid w:val="00640B5C"/>
    <w:rsid w:val="00640B92"/>
    <w:rsid w:val="00640ECA"/>
    <w:rsid w:val="006418D0"/>
    <w:rsid w:val="00641EC2"/>
    <w:rsid w:val="00641F55"/>
    <w:rsid w:val="00642297"/>
    <w:rsid w:val="00642F51"/>
    <w:rsid w:val="0064311E"/>
    <w:rsid w:val="006439DD"/>
    <w:rsid w:val="00643D4E"/>
    <w:rsid w:val="006444FD"/>
    <w:rsid w:val="006457B8"/>
    <w:rsid w:val="00645B36"/>
    <w:rsid w:val="006476DB"/>
    <w:rsid w:val="00647B25"/>
    <w:rsid w:val="00647FD3"/>
    <w:rsid w:val="00650E7A"/>
    <w:rsid w:val="00651028"/>
    <w:rsid w:val="006510CA"/>
    <w:rsid w:val="00651964"/>
    <w:rsid w:val="006521C8"/>
    <w:rsid w:val="006532A3"/>
    <w:rsid w:val="00653BFE"/>
    <w:rsid w:val="00653F51"/>
    <w:rsid w:val="0065486F"/>
    <w:rsid w:val="00654BB2"/>
    <w:rsid w:val="00655DAA"/>
    <w:rsid w:val="00657A0D"/>
    <w:rsid w:val="006606BB"/>
    <w:rsid w:val="00660BB1"/>
    <w:rsid w:val="00660E16"/>
    <w:rsid w:val="00662228"/>
    <w:rsid w:val="006626E2"/>
    <w:rsid w:val="00663B3E"/>
    <w:rsid w:val="00663F28"/>
    <w:rsid w:val="0066440E"/>
    <w:rsid w:val="0066445A"/>
    <w:rsid w:val="00664F7B"/>
    <w:rsid w:val="00665586"/>
    <w:rsid w:val="0066618D"/>
    <w:rsid w:val="00666DF9"/>
    <w:rsid w:val="006677D1"/>
    <w:rsid w:val="00667887"/>
    <w:rsid w:val="00667EA6"/>
    <w:rsid w:val="006708AD"/>
    <w:rsid w:val="00670D1B"/>
    <w:rsid w:val="00671518"/>
    <w:rsid w:val="00671C43"/>
    <w:rsid w:val="00671D7F"/>
    <w:rsid w:val="00672B14"/>
    <w:rsid w:val="00672D5E"/>
    <w:rsid w:val="00673400"/>
    <w:rsid w:val="006735F7"/>
    <w:rsid w:val="00673F07"/>
    <w:rsid w:val="00673F93"/>
    <w:rsid w:val="006740D8"/>
    <w:rsid w:val="00674684"/>
    <w:rsid w:val="006755D7"/>
    <w:rsid w:val="0067650F"/>
    <w:rsid w:val="0067657B"/>
    <w:rsid w:val="00676693"/>
    <w:rsid w:val="00676700"/>
    <w:rsid w:val="00677314"/>
    <w:rsid w:val="00677A7B"/>
    <w:rsid w:val="00677B69"/>
    <w:rsid w:val="006800D9"/>
    <w:rsid w:val="00680597"/>
    <w:rsid w:val="00681384"/>
    <w:rsid w:val="00681810"/>
    <w:rsid w:val="0068238D"/>
    <w:rsid w:val="006824DC"/>
    <w:rsid w:val="0068471D"/>
    <w:rsid w:val="00684859"/>
    <w:rsid w:val="00685D41"/>
    <w:rsid w:val="0068779B"/>
    <w:rsid w:val="0068784C"/>
    <w:rsid w:val="0068790F"/>
    <w:rsid w:val="0069000B"/>
    <w:rsid w:val="0069039F"/>
    <w:rsid w:val="00691911"/>
    <w:rsid w:val="00691C9D"/>
    <w:rsid w:val="00692191"/>
    <w:rsid w:val="00692F13"/>
    <w:rsid w:val="006934A1"/>
    <w:rsid w:val="00693644"/>
    <w:rsid w:val="00693671"/>
    <w:rsid w:val="006948EC"/>
    <w:rsid w:val="00695569"/>
    <w:rsid w:val="00695730"/>
    <w:rsid w:val="006964F7"/>
    <w:rsid w:val="00696B3F"/>
    <w:rsid w:val="00696B4A"/>
    <w:rsid w:val="006970AE"/>
    <w:rsid w:val="006971F2"/>
    <w:rsid w:val="006A0075"/>
    <w:rsid w:val="006A09D1"/>
    <w:rsid w:val="006A10AE"/>
    <w:rsid w:val="006A19DC"/>
    <w:rsid w:val="006A22D9"/>
    <w:rsid w:val="006A3947"/>
    <w:rsid w:val="006A3E5E"/>
    <w:rsid w:val="006A454A"/>
    <w:rsid w:val="006A462B"/>
    <w:rsid w:val="006A4F1B"/>
    <w:rsid w:val="006A57BC"/>
    <w:rsid w:val="006A5CE6"/>
    <w:rsid w:val="006A5EFF"/>
    <w:rsid w:val="006A6577"/>
    <w:rsid w:val="006A6805"/>
    <w:rsid w:val="006A69DC"/>
    <w:rsid w:val="006A7058"/>
    <w:rsid w:val="006A744E"/>
    <w:rsid w:val="006B12DA"/>
    <w:rsid w:val="006B13C5"/>
    <w:rsid w:val="006B18B2"/>
    <w:rsid w:val="006B19F3"/>
    <w:rsid w:val="006B213F"/>
    <w:rsid w:val="006B2A97"/>
    <w:rsid w:val="006B2BD1"/>
    <w:rsid w:val="006B402D"/>
    <w:rsid w:val="006B5B6D"/>
    <w:rsid w:val="006B6B33"/>
    <w:rsid w:val="006B7193"/>
    <w:rsid w:val="006C0209"/>
    <w:rsid w:val="006C0216"/>
    <w:rsid w:val="006C19C1"/>
    <w:rsid w:val="006C2783"/>
    <w:rsid w:val="006C32E2"/>
    <w:rsid w:val="006C33F5"/>
    <w:rsid w:val="006C3744"/>
    <w:rsid w:val="006C3998"/>
    <w:rsid w:val="006C4642"/>
    <w:rsid w:val="006C5A87"/>
    <w:rsid w:val="006C5DAA"/>
    <w:rsid w:val="006C5F25"/>
    <w:rsid w:val="006C600E"/>
    <w:rsid w:val="006C6754"/>
    <w:rsid w:val="006C692E"/>
    <w:rsid w:val="006C6D26"/>
    <w:rsid w:val="006C716A"/>
    <w:rsid w:val="006C759F"/>
    <w:rsid w:val="006C7CE0"/>
    <w:rsid w:val="006D0681"/>
    <w:rsid w:val="006D0727"/>
    <w:rsid w:val="006D0A26"/>
    <w:rsid w:val="006D1022"/>
    <w:rsid w:val="006D10D6"/>
    <w:rsid w:val="006D129B"/>
    <w:rsid w:val="006D3079"/>
    <w:rsid w:val="006D3B6F"/>
    <w:rsid w:val="006D44BC"/>
    <w:rsid w:val="006D5FAD"/>
    <w:rsid w:val="006D6D6E"/>
    <w:rsid w:val="006D706D"/>
    <w:rsid w:val="006D7425"/>
    <w:rsid w:val="006D7588"/>
    <w:rsid w:val="006D78BD"/>
    <w:rsid w:val="006D7951"/>
    <w:rsid w:val="006E0DD0"/>
    <w:rsid w:val="006E0EC5"/>
    <w:rsid w:val="006E101E"/>
    <w:rsid w:val="006E1647"/>
    <w:rsid w:val="006E1BE4"/>
    <w:rsid w:val="006E1E08"/>
    <w:rsid w:val="006E39D1"/>
    <w:rsid w:val="006E3AE4"/>
    <w:rsid w:val="006E4255"/>
    <w:rsid w:val="006E4530"/>
    <w:rsid w:val="006E47A2"/>
    <w:rsid w:val="006E5003"/>
    <w:rsid w:val="006E52BD"/>
    <w:rsid w:val="006E52DB"/>
    <w:rsid w:val="006E563B"/>
    <w:rsid w:val="006E6370"/>
    <w:rsid w:val="006E63F0"/>
    <w:rsid w:val="006E6B63"/>
    <w:rsid w:val="006E70E1"/>
    <w:rsid w:val="006E7710"/>
    <w:rsid w:val="006E7AFB"/>
    <w:rsid w:val="006E7DA7"/>
    <w:rsid w:val="006F0274"/>
    <w:rsid w:val="006F159C"/>
    <w:rsid w:val="006F1E4C"/>
    <w:rsid w:val="006F2A74"/>
    <w:rsid w:val="006F3122"/>
    <w:rsid w:val="006F3211"/>
    <w:rsid w:val="006F344A"/>
    <w:rsid w:val="006F38E5"/>
    <w:rsid w:val="006F3D95"/>
    <w:rsid w:val="006F4EC7"/>
    <w:rsid w:val="006F5DBB"/>
    <w:rsid w:val="006F6069"/>
    <w:rsid w:val="006F6B21"/>
    <w:rsid w:val="006F6E63"/>
    <w:rsid w:val="006F70AA"/>
    <w:rsid w:val="006F7378"/>
    <w:rsid w:val="007004EA"/>
    <w:rsid w:val="00700508"/>
    <w:rsid w:val="0070056A"/>
    <w:rsid w:val="0070059A"/>
    <w:rsid w:val="0070083C"/>
    <w:rsid w:val="00700921"/>
    <w:rsid w:val="0070097C"/>
    <w:rsid w:val="007010B3"/>
    <w:rsid w:val="0070201F"/>
    <w:rsid w:val="0070203E"/>
    <w:rsid w:val="00702DAF"/>
    <w:rsid w:val="00702F54"/>
    <w:rsid w:val="007030C7"/>
    <w:rsid w:val="007049E3"/>
    <w:rsid w:val="00704C16"/>
    <w:rsid w:val="00705288"/>
    <w:rsid w:val="00705538"/>
    <w:rsid w:val="00705668"/>
    <w:rsid w:val="00705CB5"/>
    <w:rsid w:val="0070644D"/>
    <w:rsid w:val="0070659C"/>
    <w:rsid w:val="00706A14"/>
    <w:rsid w:val="00706E43"/>
    <w:rsid w:val="00707751"/>
    <w:rsid w:val="00707A37"/>
    <w:rsid w:val="007101AD"/>
    <w:rsid w:val="00710AEB"/>
    <w:rsid w:val="00710D48"/>
    <w:rsid w:val="007113D4"/>
    <w:rsid w:val="007118DC"/>
    <w:rsid w:val="007125E7"/>
    <w:rsid w:val="007128BD"/>
    <w:rsid w:val="00713125"/>
    <w:rsid w:val="007134DC"/>
    <w:rsid w:val="00714146"/>
    <w:rsid w:val="007143B0"/>
    <w:rsid w:val="007144C7"/>
    <w:rsid w:val="007145B1"/>
    <w:rsid w:val="007157CF"/>
    <w:rsid w:val="00715939"/>
    <w:rsid w:val="007159A5"/>
    <w:rsid w:val="0071614B"/>
    <w:rsid w:val="007163F9"/>
    <w:rsid w:val="00717689"/>
    <w:rsid w:val="00717FB8"/>
    <w:rsid w:val="007201CD"/>
    <w:rsid w:val="0072070D"/>
    <w:rsid w:val="0072093E"/>
    <w:rsid w:val="00720FD9"/>
    <w:rsid w:val="0072184F"/>
    <w:rsid w:val="00721BC5"/>
    <w:rsid w:val="00721E7B"/>
    <w:rsid w:val="00722651"/>
    <w:rsid w:val="0072294A"/>
    <w:rsid w:val="00722E04"/>
    <w:rsid w:val="00722F99"/>
    <w:rsid w:val="007244CC"/>
    <w:rsid w:val="00724C0C"/>
    <w:rsid w:val="007252F4"/>
    <w:rsid w:val="00725639"/>
    <w:rsid w:val="00725DA2"/>
    <w:rsid w:val="00726BAB"/>
    <w:rsid w:val="00726CA8"/>
    <w:rsid w:val="00726D48"/>
    <w:rsid w:val="00727937"/>
    <w:rsid w:val="00727F4B"/>
    <w:rsid w:val="00730357"/>
    <w:rsid w:val="00731425"/>
    <w:rsid w:val="007315ED"/>
    <w:rsid w:val="00731951"/>
    <w:rsid w:val="00731C40"/>
    <w:rsid w:val="007323F8"/>
    <w:rsid w:val="0073343E"/>
    <w:rsid w:val="007336F2"/>
    <w:rsid w:val="007338A9"/>
    <w:rsid w:val="00733B75"/>
    <w:rsid w:val="00733CBF"/>
    <w:rsid w:val="00734468"/>
    <w:rsid w:val="00734962"/>
    <w:rsid w:val="007353C9"/>
    <w:rsid w:val="007357E7"/>
    <w:rsid w:val="00737A02"/>
    <w:rsid w:val="00737C99"/>
    <w:rsid w:val="007400FE"/>
    <w:rsid w:val="007401B1"/>
    <w:rsid w:val="00740742"/>
    <w:rsid w:val="00741416"/>
    <w:rsid w:val="00742350"/>
    <w:rsid w:val="007434ED"/>
    <w:rsid w:val="0074371B"/>
    <w:rsid w:val="00743A1C"/>
    <w:rsid w:val="00744F36"/>
    <w:rsid w:val="007450E5"/>
    <w:rsid w:val="0074567C"/>
    <w:rsid w:val="00745DA5"/>
    <w:rsid w:val="007460E9"/>
    <w:rsid w:val="00747C65"/>
    <w:rsid w:val="00747D0F"/>
    <w:rsid w:val="00751C88"/>
    <w:rsid w:val="00752516"/>
    <w:rsid w:val="00754548"/>
    <w:rsid w:val="00754559"/>
    <w:rsid w:val="007545D3"/>
    <w:rsid w:val="00754FC1"/>
    <w:rsid w:val="00755244"/>
    <w:rsid w:val="00755EE5"/>
    <w:rsid w:val="0075610C"/>
    <w:rsid w:val="0075630F"/>
    <w:rsid w:val="007569D2"/>
    <w:rsid w:val="007573C1"/>
    <w:rsid w:val="00757511"/>
    <w:rsid w:val="007603EA"/>
    <w:rsid w:val="0076074B"/>
    <w:rsid w:val="00761693"/>
    <w:rsid w:val="0076273B"/>
    <w:rsid w:val="00762DD0"/>
    <w:rsid w:val="007630AF"/>
    <w:rsid w:val="00763931"/>
    <w:rsid w:val="00763B86"/>
    <w:rsid w:val="00764658"/>
    <w:rsid w:val="00764DCF"/>
    <w:rsid w:val="00765188"/>
    <w:rsid w:val="00766007"/>
    <w:rsid w:val="0076650B"/>
    <w:rsid w:val="007665AB"/>
    <w:rsid w:val="00767407"/>
    <w:rsid w:val="0076785E"/>
    <w:rsid w:val="00767F10"/>
    <w:rsid w:val="00770EF6"/>
    <w:rsid w:val="007710BB"/>
    <w:rsid w:val="007728A9"/>
    <w:rsid w:val="00772A2E"/>
    <w:rsid w:val="007764D7"/>
    <w:rsid w:val="00776E9D"/>
    <w:rsid w:val="007779DB"/>
    <w:rsid w:val="00777D84"/>
    <w:rsid w:val="00780711"/>
    <w:rsid w:val="00781008"/>
    <w:rsid w:val="00781293"/>
    <w:rsid w:val="0078148C"/>
    <w:rsid w:val="007832D1"/>
    <w:rsid w:val="00783687"/>
    <w:rsid w:val="007839F7"/>
    <w:rsid w:val="007842A9"/>
    <w:rsid w:val="00784304"/>
    <w:rsid w:val="00784652"/>
    <w:rsid w:val="007849A2"/>
    <w:rsid w:val="00784C83"/>
    <w:rsid w:val="0078503E"/>
    <w:rsid w:val="00785441"/>
    <w:rsid w:val="0078619A"/>
    <w:rsid w:val="0078710B"/>
    <w:rsid w:val="00787813"/>
    <w:rsid w:val="0078794C"/>
    <w:rsid w:val="007900CE"/>
    <w:rsid w:val="007900DF"/>
    <w:rsid w:val="0079050E"/>
    <w:rsid w:val="007909EA"/>
    <w:rsid w:val="00790BD4"/>
    <w:rsid w:val="00790C74"/>
    <w:rsid w:val="007923FF"/>
    <w:rsid w:val="00792C1D"/>
    <w:rsid w:val="007931FA"/>
    <w:rsid w:val="007939BF"/>
    <w:rsid w:val="007942FB"/>
    <w:rsid w:val="0079452E"/>
    <w:rsid w:val="00794777"/>
    <w:rsid w:val="0079534A"/>
    <w:rsid w:val="007955C1"/>
    <w:rsid w:val="00795CC3"/>
    <w:rsid w:val="00796DA3"/>
    <w:rsid w:val="007A12F4"/>
    <w:rsid w:val="007A1400"/>
    <w:rsid w:val="007A1759"/>
    <w:rsid w:val="007A25E1"/>
    <w:rsid w:val="007A2621"/>
    <w:rsid w:val="007A2A6E"/>
    <w:rsid w:val="007A2A78"/>
    <w:rsid w:val="007A2C38"/>
    <w:rsid w:val="007A49C5"/>
    <w:rsid w:val="007A4C70"/>
    <w:rsid w:val="007A4F54"/>
    <w:rsid w:val="007A5022"/>
    <w:rsid w:val="007A5A77"/>
    <w:rsid w:val="007A648E"/>
    <w:rsid w:val="007A6587"/>
    <w:rsid w:val="007A7F92"/>
    <w:rsid w:val="007A7F9E"/>
    <w:rsid w:val="007B020C"/>
    <w:rsid w:val="007B19F3"/>
    <w:rsid w:val="007B1B7E"/>
    <w:rsid w:val="007B2804"/>
    <w:rsid w:val="007B2C77"/>
    <w:rsid w:val="007B31F2"/>
    <w:rsid w:val="007B36E2"/>
    <w:rsid w:val="007B37D5"/>
    <w:rsid w:val="007B3AC8"/>
    <w:rsid w:val="007B489C"/>
    <w:rsid w:val="007B4B1A"/>
    <w:rsid w:val="007B4F29"/>
    <w:rsid w:val="007B5502"/>
    <w:rsid w:val="007B579B"/>
    <w:rsid w:val="007B6231"/>
    <w:rsid w:val="007B639B"/>
    <w:rsid w:val="007B655E"/>
    <w:rsid w:val="007B6767"/>
    <w:rsid w:val="007B7FC9"/>
    <w:rsid w:val="007C01A2"/>
    <w:rsid w:val="007C119A"/>
    <w:rsid w:val="007C13A1"/>
    <w:rsid w:val="007C21E2"/>
    <w:rsid w:val="007C24CC"/>
    <w:rsid w:val="007C2519"/>
    <w:rsid w:val="007C2797"/>
    <w:rsid w:val="007C2C3B"/>
    <w:rsid w:val="007C2DC6"/>
    <w:rsid w:val="007C325B"/>
    <w:rsid w:val="007C33A5"/>
    <w:rsid w:val="007C3A14"/>
    <w:rsid w:val="007C424C"/>
    <w:rsid w:val="007C49B1"/>
    <w:rsid w:val="007C49F5"/>
    <w:rsid w:val="007C52C4"/>
    <w:rsid w:val="007C5AC7"/>
    <w:rsid w:val="007C7D3E"/>
    <w:rsid w:val="007D07DB"/>
    <w:rsid w:val="007D088E"/>
    <w:rsid w:val="007D0F87"/>
    <w:rsid w:val="007D1BDC"/>
    <w:rsid w:val="007D24E2"/>
    <w:rsid w:val="007D3307"/>
    <w:rsid w:val="007D38CC"/>
    <w:rsid w:val="007D3D70"/>
    <w:rsid w:val="007D4E55"/>
    <w:rsid w:val="007D63B8"/>
    <w:rsid w:val="007D6971"/>
    <w:rsid w:val="007D706C"/>
    <w:rsid w:val="007D7877"/>
    <w:rsid w:val="007E09E5"/>
    <w:rsid w:val="007E0D08"/>
    <w:rsid w:val="007E1266"/>
    <w:rsid w:val="007E133F"/>
    <w:rsid w:val="007E223A"/>
    <w:rsid w:val="007E27C2"/>
    <w:rsid w:val="007E2A98"/>
    <w:rsid w:val="007E2DCC"/>
    <w:rsid w:val="007E323C"/>
    <w:rsid w:val="007E3268"/>
    <w:rsid w:val="007E560E"/>
    <w:rsid w:val="007E59C7"/>
    <w:rsid w:val="007E6332"/>
    <w:rsid w:val="007E6D02"/>
    <w:rsid w:val="007F031D"/>
    <w:rsid w:val="007F20A0"/>
    <w:rsid w:val="007F267C"/>
    <w:rsid w:val="007F26AE"/>
    <w:rsid w:val="007F292B"/>
    <w:rsid w:val="007F42FA"/>
    <w:rsid w:val="007F46CF"/>
    <w:rsid w:val="007F4711"/>
    <w:rsid w:val="007F4F24"/>
    <w:rsid w:val="007F5113"/>
    <w:rsid w:val="007F549C"/>
    <w:rsid w:val="007F6569"/>
    <w:rsid w:val="007F69FE"/>
    <w:rsid w:val="007F6A45"/>
    <w:rsid w:val="007F6C65"/>
    <w:rsid w:val="007F6EB1"/>
    <w:rsid w:val="00801347"/>
    <w:rsid w:val="008017EF"/>
    <w:rsid w:val="00801E94"/>
    <w:rsid w:val="00802D82"/>
    <w:rsid w:val="00803184"/>
    <w:rsid w:val="00804DC9"/>
    <w:rsid w:val="008059E3"/>
    <w:rsid w:val="008064EE"/>
    <w:rsid w:val="008065FD"/>
    <w:rsid w:val="0080662D"/>
    <w:rsid w:val="008105D2"/>
    <w:rsid w:val="008106D3"/>
    <w:rsid w:val="00810EED"/>
    <w:rsid w:val="008118A5"/>
    <w:rsid w:val="0081221E"/>
    <w:rsid w:val="008123DC"/>
    <w:rsid w:val="0081257A"/>
    <w:rsid w:val="0081265F"/>
    <w:rsid w:val="00812878"/>
    <w:rsid w:val="008130CF"/>
    <w:rsid w:val="008134A0"/>
    <w:rsid w:val="00813888"/>
    <w:rsid w:val="0081390F"/>
    <w:rsid w:val="00814025"/>
    <w:rsid w:val="008145B9"/>
    <w:rsid w:val="008150E7"/>
    <w:rsid w:val="00815114"/>
    <w:rsid w:val="008156E1"/>
    <w:rsid w:val="008159DA"/>
    <w:rsid w:val="008163A2"/>
    <w:rsid w:val="00816AC0"/>
    <w:rsid w:val="00816DD3"/>
    <w:rsid w:val="008175A0"/>
    <w:rsid w:val="00817AA3"/>
    <w:rsid w:val="008207B0"/>
    <w:rsid w:val="0082088D"/>
    <w:rsid w:val="00820B1C"/>
    <w:rsid w:val="00820D9E"/>
    <w:rsid w:val="00820E5C"/>
    <w:rsid w:val="00821405"/>
    <w:rsid w:val="008215F5"/>
    <w:rsid w:val="00821913"/>
    <w:rsid w:val="00821D89"/>
    <w:rsid w:val="00823C5D"/>
    <w:rsid w:val="00824419"/>
    <w:rsid w:val="00825757"/>
    <w:rsid w:val="00825AEF"/>
    <w:rsid w:val="0082602F"/>
    <w:rsid w:val="00826116"/>
    <w:rsid w:val="008261A4"/>
    <w:rsid w:val="00826C4D"/>
    <w:rsid w:val="00827414"/>
    <w:rsid w:val="00827710"/>
    <w:rsid w:val="00827B5C"/>
    <w:rsid w:val="00827BFB"/>
    <w:rsid w:val="0083138B"/>
    <w:rsid w:val="00831571"/>
    <w:rsid w:val="0083159F"/>
    <w:rsid w:val="00831A49"/>
    <w:rsid w:val="00832825"/>
    <w:rsid w:val="008329ED"/>
    <w:rsid w:val="00832AF9"/>
    <w:rsid w:val="008336E8"/>
    <w:rsid w:val="00833783"/>
    <w:rsid w:val="00834DB0"/>
    <w:rsid w:val="00835E89"/>
    <w:rsid w:val="00836071"/>
    <w:rsid w:val="0083714D"/>
    <w:rsid w:val="00837C4D"/>
    <w:rsid w:val="008400F9"/>
    <w:rsid w:val="00840100"/>
    <w:rsid w:val="00840418"/>
    <w:rsid w:val="00840562"/>
    <w:rsid w:val="008410C6"/>
    <w:rsid w:val="0084363D"/>
    <w:rsid w:val="008436C9"/>
    <w:rsid w:val="00843F6D"/>
    <w:rsid w:val="00844252"/>
    <w:rsid w:val="008442D6"/>
    <w:rsid w:val="008444B5"/>
    <w:rsid w:val="0084451B"/>
    <w:rsid w:val="00844750"/>
    <w:rsid w:val="00844836"/>
    <w:rsid w:val="00844A2A"/>
    <w:rsid w:val="00844F0B"/>
    <w:rsid w:val="00845033"/>
    <w:rsid w:val="00845261"/>
    <w:rsid w:val="00845A3C"/>
    <w:rsid w:val="00845B17"/>
    <w:rsid w:val="0084728E"/>
    <w:rsid w:val="00847541"/>
    <w:rsid w:val="008479B9"/>
    <w:rsid w:val="008510F6"/>
    <w:rsid w:val="00851423"/>
    <w:rsid w:val="00851E82"/>
    <w:rsid w:val="00853801"/>
    <w:rsid w:val="00853896"/>
    <w:rsid w:val="00854B72"/>
    <w:rsid w:val="00855560"/>
    <w:rsid w:val="00855AA6"/>
    <w:rsid w:val="00855AFD"/>
    <w:rsid w:val="00856BD3"/>
    <w:rsid w:val="008575AC"/>
    <w:rsid w:val="00860008"/>
    <w:rsid w:val="008602DE"/>
    <w:rsid w:val="0086032A"/>
    <w:rsid w:val="00860675"/>
    <w:rsid w:val="008611E8"/>
    <w:rsid w:val="00862386"/>
    <w:rsid w:val="008634D1"/>
    <w:rsid w:val="00863668"/>
    <w:rsid w:val="0086420B"/>
    <w:rsid w:val="00864C8F"/>
    <w:rsid w:val="00864EDF"/>
    <w:rsid w:val="00866B82"/>
    <w:rsid w:val="008672E3"/>
    <w:rsid w:val="008673BD"/>
    <w:rsid w:val="00867413"/>
    <w:rsid w:val="008676B2"/>
    <w:rsid w:val="0087016E"/>
    <w:rsid w:val="0087127E"/>
    <w:rsid w:val="008718EF"/>
    <w:rsid w:val="00872937"/>
    <w:rsid w:val="00872A13"/>
    <w:rsid w:val="00873593"/>
    <w:rsid w:val="00873E92"/>
    <w:rsid w:val="008741A1"/>
    <w:rsid w:val="00874926"/>
    <w:rsid w:val="00875084"/>
    <w:rsid w:val="00875253"/>
    <w:rsid w:val="00875C60"/>
    <w:rsid w:val="00875D35"/>
    <w:rsid w:val="00875E53"/>
    <w:rsid w:val="008777A3"/>
    <w:rsid w:val="00877AD7"/>
    <w:rsid w:val="00880245"/>
    <w:rsid w:val="0088084F"/>
    <w:rsid w:val="00881F5C"/>
    <w:rsid w:val="008827E1"/>
    <w:rsid w:val="0088284F"/>
    <w:rsid w:val="008833C6"/>
    <w:rsid w:val="00883F80"/>
    <w:rsid w:val="008844DD"/>
    <w:rsid w:val="00885CB8"/>
    <w:rsid w:val="00886DD8"/>
    <w:rsid w:val="00887F0F"/>
    <w:rsid w:val="0089015C"/>
    <w:rsid w:val="008908AE"/>
    <w:rsid w:val="00890BEE"/>
    <w:rsid w:val="0089107F"/>
    <w:rsid w:val="00892B55"/>
    <w:rsid w:val="00892B74"/>
    <w:rsid w:val="00892F6E"/>
    <w:rsid w:val="008933FA"/>
    <w:rsid w:val="008934F4"/>
    <w:rsid w:val="00895591"/>
    <w:rsid w:val="008959DE"/>
    <w:rsid w:val="00896233"/>
    <w:rsid w:val="00897195"/>
    <w:rsid w:val="00897A5D"/>
    <w:rsid w:val="008A0155"/>
    <w:rsid w:val="008A05E9"/>
    <w:rsid w:val="008A0AD6"/>
    <w:rsid w:val="008A0D14"/>
    <w:rsid w:val="008A10F8"/>
    <w:rsid w:val="008A1159"/>
    <w:rsid w:val="008A1ACA"/>
    <w:rsid w:val="008A25AF"/>
    <w:rsid w:val="008A35CB"/>
    <w:rsid w:val="008A3627"/>
    <w:rsid w:val="008A36FD"/>
    <w:rsid w:val="008A42C2"/>
    <w:rsid w:val="008A4509"/>
    <w:rsid w:val="008A4C56"/>
    <w:rsid w:val="008A5451"/>
    <w:rsid w:val="008A605B"/>
    <w:rsid w:val="008A6080"/>
    <w:rsid w:val="008A6193"/>
    <w:rsid w:val="008A61CB"/>
    <w:rsid w:val="008A61F7"/>
    <w:rsid w:val="008A66F7"/>
    <w:rsid w:val="008A6A2C"/>
    <w:rsid w:val="008A6D70"/>
    <w:rsid w:val="008B035F"/>
    <w:rsid w:val="008B0B38"/>
    <w:rsid w:val="008B17CE"/>
    <w:rsid w:val="008B421B"/>
    <w:rsid w:val="008B4A05"/>
    <w:rsid w:val="008B4FBE"/>
    <w:rsid w:val="008B5A4E"/>
    <w:rsid w:val="008B6179"/>
    <w:rsid w:val="008B6450"/>
    <w:rsid w:val="008B690A"/>
    <w:rsid w:val="008B6E04"/>
    <w:rsid w:val="008C0AE3"/>
    <w:rsid w:val="008C0E92"/>
    <w:rsid w:val="008C11C8"/>
    <w:rsid w:val="008C1629"/>
    <w:rsid w:val="008C1D32"/>
    <w:rsid w:val="008C2D2B"/>
    <w:rsid w:val="008C35B5"/>
    <w:rsid w:val="008C36D4"/>
    <w:rsid w:val="008C3BAC"/>
    <w:rsid w:val="008C3BE4"/>
    <w:rsid w:val="008C3E3D"/>
    <w:rsid w:val="008C471D"/>
    <w:rsid w:val="008C4990"/>
    <w:rsid w:val="008C5C55"/>
    <w:rsid w:val="008C5CC4"/>
    <w:rsid w:val="008C617F"/>
    <w:rsid w:val="008C6196"/>
    <w:rsid w:val="008C6A1A"/>
    <w:rsid w:val="008C6D31"/>
    <w:rsid w:val="008C7001"/>
    <w:rsid w:val="008C70A3"/>
    <w:rsid w:val="008C70DD"/>
    <w:rsid w:val="008C71D0"/>
    <w:rsid w:val="008C7693"/>
    <w:rsid w:val="008D16EA"/>
    <w:rsid w:val="008D2360"/>
    <w:rsid w:val="008D299B"/>
    <w:rsid w:val="008D31FC"/>
    <w:rsid w:val="008D34CC"/>
    <w:rsid w:val="008D4276"/>
    <w:rsid w:val="008D4DE2"/>
    <w:rsid w:val="008D5809"/>
    <w:rsid w:val="008D5D1E"/>
    <w:rsid w:val="008D5DB5"/>
    <w:rsid w:val="008D64C2"/>
    <w:rsid w:val="008D7FC9"/>
    <w:rsid w:val="008E0748"/>
    <w:rsid w:val="008E1A26"/>
    <w:rsid w:val="008E262A"/>
    <w:rsid w:val="008E27A9"/>
    <w:rsid w:val="008E340F"/>
    <w:rsid w:val="008E373E"/>
    <w:rsid w:val="008E3A2D"/>
    <w:rsid w:val="008E3A91"/>
    <w:rsid w:val="008E3CA1"/>
    <w:rsid w:val="008E4327"/>
    <w:rsid w:val="008E559D"/>
    <w:rsid w:val="008E6570"/>
    <w:rsid w:val="008E6817"/>
    <w:rsid w:val="008E7D65"/>
    <w:rsid w:val="008E7EAE"/>
    <w:rsid w:val="008F046B"/>
    <w:rsid w:val="008F265C"/>
    <w:rsid w:val="008F516D"/>
    <w:rsid w:val="008F5486"/>
    <w:rsid w:val="008F552A"/>
    <w:rsid w:val="008F5D58"/>
    <w:rsid w:val="008F6564"/>
    <w:rsid w:val="008F72B6"/>
    <w:rsid w:val="0090174A"/>
    <w:rsid w:val="00902565"/>
    <w:rsid w:val="00902E0B"/>
    <w:rsid w:val="00902F08"/>
    <w:rsid w:val="00903401"/>
    <w:rsid w:val="0090343A"/>
    <w:rsid w:val="009040F5"/>
    <w:rsid w:val="0090481A"/>
    <w:rsid w:val="009048E5"/>
    <w:rsid w:val="00904AE5"/>
    <w:rsid w:val="00904B86"/>
    <w:rsid w:val="00905806"/>
    <w:rsid w:val="00906DA1"/>
    <w:rsid w:val="00907A6D"/>
    <w:rsid w:val="00910BBE"/>
    <w:rsid w:val="00910F1F"/>
    <w:rsid w:val="00911843"/>
    <w:rsid w:val="00911901"/>
    <w:rsid w:val="009120DA"/>
    <w:rsid w:val="00912269"/>
    <w:rsid w:val="00912701"/>
    <w:rsid w:val="00912B6B"/>
    <w:rsid w:val="00914648"/>
    <w:rsid w:val="00914696"/>
    <w:rsid w:val="00914E36"/>
    <w:rsid w:val="009159A4"/>
    <w:rsid w:val="00915E68"/>
    <w:rsid w:val="009165B3"/>
    <w:rsid w:val="009173B2"/>
    <w:rsid w:val="0091770E"/>
    <w:rsid w:val="00917EA1"/>
    <w:rsid w:val="00920021"/>
    <w:rsid w:val="009201F7"/>
    <w:rsid w:val="009204CA"/>
    <w:rsid w:val="00920C3B"/>
    <w:rsid w:val="00920CBD"/>
    <w:rsid w:val="0092197A"/>
    <w:rsid w:val="00922A88"/>
    <w:rsid w:val="00922FFD"/>
    <w:rsid w:val="00923106"/>
    <w:rsid w:val="0092347F"/>
    <w:rsid w:val="009239D6"/>
    <w:rsid w:val="00923C56"/>
    <w:rsid w:val="00923FB8"/>
    <w:rsid w:val="00924072"/>
    <w:rsid w:val="0092438F"/>
    <w:rsid w:val="0092491E"/>
    <w:rsid w:val="00924ACD"/>
    <w:rsid w:val="00925EA0"/>
    <w:rsid w:val="00926233"/>
    <w:rsid w:val="00926808"/>
    <w:rsid w:val="00927CDE"/>
    <w:rsid w:val="00927D76"/>
    <w:rsid w:val="009300E2"/>
    <w:rsid w:val="0093015F"/>
    <w:rsid w:val="009305CE"/>
    <w:rsid w:val="00930D07"/>
    <w:rsid w:val="00931A25"/>
    <w:rsid w:val="00931B01"/>
    <w:rsid w:val="0093291D"/>
    <w:rsid w:val="00932CE5"/>
    <w:rsid w:val="00933610"/>
    <w:rsid w:val="00933F2B"/>
    <w:rsid w:val="00934D7B"/>
    <w:rsid w:val="00936BD1"/>
    <w:rsid w:val="00936DEF"/>
    <w:rsid w:val="0093772E"/>
    <w:rsid w:val="0094085F"/>
    <w:rsid w:val="00940A0B"/>
    <w:rsid w:val="00940C78"/>
    <w:rsid w:val="00942952"/>
    <w:rsid w:val="00942D89"/>
    <w:rsid w:val="009432D7"/>
    <w:rsid w:val="009433CD"/>
    <w:rsid w:val="00943795"/>
    <w:rsid w:val="00943DFC"/>
    <w:rsid w:val="0094441E"/>
    <w:rsid w:val="00944C41"/>
    <w:rsid w:val="00945C29"/>
    <w:rsid w:val="00945D74"/>
    <w:rsid w:val="009464D9"/>
    <w:rsid w:val="00946766"/>
    <w:rsid w:val="00946971"/>
    <w:rsid w:val="009477AD"/>
    <w:rsid w:val="00947DD1"/>
    <w:rsid w:val="00950872"/>
    <w:rsid w:val="0095105F"/>
    <w:rsid w:val="009511D8"/>
    <w:rsid w:val="009513BE"/>
    <w:rsid w:val="00951475"/>
    <w:rsid w:val="00951928"/>
    <w:rsid w:val="00951A02"/>
    <w:rsid w:val="00951F19"/>
    <w:rsid w:val="009521EF"/>
    <w:rsid w:val="00952D09"/>
    <w:rsid w:val="00953530"/>
    <w:rsid w:val="00953C10"/>
    <w:rsid w:val="0095513A"/>
    <w:rsid w:val="00955940"/>
    <w:rsid w:val="00956048"/>
    <w:rsid w:val="009570C8"/>
    <w:rsid w:val="009571B8"/>
    <w:rsid w:val="00957A0D"/>
    <w:rsid w:val="00957FF4"/>
    <w:rsid w:val="0096055D"/>
    <w:rsid w:val="00960FA6"/>
    <w:rsid w:val="00962310"/>
    <w:rsid w:val="00962762"/>
    <w:rsid w:val="00962BA2"/>
    <w:rsid w:val="009630BB"/>
    <w:rsid w:val="00963F86"/>
    <w:rsid w:val="0096492A"/>
    <w:rsid w:val="00965369"/>
    <w:rsid w:val="00965543"/>
    <w:rsid w:val="00966507"/>
    <w:rsid w:val="0096740A"/>
    <w:rsid w:val="00967689"/>
    <w:rsid w:val="009679FD"/>
    <w:rsid w:val="00967BA5"/>
    <w:rsid w:val="00967C6F"/>
    <w:rsid w:val="00970677"/>
    <w:rsid w:val="0097083E"/>
    <w:rsid w:val="009709D2"/>
    <w:rsid w:val="00971BC1"/>
    <w:rsid w:val="00971BCF"/>
    <w:rsid w:val="00972484"/>
    <w:rsid w:val="0097264C"/>
    <w:rsid w:val="00972805"/>
    <w:rsid w:val="00973D1B"/>
    <w:rsid w:val="00975270"/>
    <w:rsid w:val="00975316"/>
    <w:rsid w:val="00975AF1"/>
    <w:rsid w:val="00977C7A"/>
    <w:rsid w:val="00980FF4"/>
    <w:rsid w:val="00981859"/>
    <w:rsid w:val="0098272B"/>
    <w:rsid w:val="0098420B"/>
    <w:rsid w:val="00984C32"/>
    <w:rsid w:val="00985418"/>
    <w:rsid w:val="00985468"/>
    <w:rsid w:val="00985559"/>
    <w:rsid w:val="00985871"/>
    <w:rsid w:val="00985CD0"/>
    <w:rsid w:val="00985D41"/>
    <w:rsid w:val="00986070"/>
    <w:rsid w:val="0098656A"/>
    <w:rsid w:val="0098684B"/>
    <w:rsid w:val="0098689D"/>
    <w:rsid w:val="00986C2C"/>
    <w:rsid w:val="00987564"/>
    <w:rsid w:val="00987731"/>
    <w:rsid w:val="00987773"/>
    <w:rsid w:val="00991041"/>
    <w:rsid w:val="009913CE"/>
    <w:rsid w:val="00991403"/>
    <w:rsid w:val="009920E5"/>
    <w:rsid w:val="0099245A"/>
    <w:rsid w:val="00992D1C"/>
    <w:rsid w:val="00992F82"/>
    <w:rsid w:val="00993AEB"/>
    <w:rsid w:val="0099425D"/>
    <w:rsid w:val="00994B76"/>
    <w:rsid w:val="00994E55"/>
    <w:rsid w:val="00995053"/>
    <w:rsid w:val="009953D5"/>
    <w:rsid w:val="00996618"/>
    <w:rsid w:val="00997515"/>
    <w:rsid w:val="009977EA"/>
    <w:rsid w:val="00997D2E"/>
    <w:rsid w:val="009A04C9"/>
    <w:rsid w:val="009A04CA"/>
    <w:rsid w:val="009A0745"/>
    <w:rsid w:val="009A08ED"/>
    <w:rsid w:val="009A0C73"/>
    <w:rsid w:val="009A2CEC"/>
    <w:rsid w:val="009A3E71"/>
    <w:rsid w:val="009A442A"/>
    <w:rsid w:val="009A443F"/>
    <w:rsid w:val="009A4755"/>
    <w:rsid w:val="009A52CD"/>
    <w:rsid w:val="009A57E8"/>
    <w:rsid w:val="009A6B08"/>
    <w:rsid w:val="009A70B4"/>
    <w:rsid w:val="009B0028"/>
    <w:rsid w:val="009B0515"/>
    <w:rsid w:val="009B2437"/>
    <w:rsid w:val="009B2E89"/>
    <w:rsid w:val="009B319D"/>
    <w:rsid w:val="009B394F"/>
    <w:rsid w:val="009B4B5D"/>
    <w:rsid w:val="009B6643"/>
    <w:rsid w:val="009B6721"/>
    <w:rsid w:val="009C0058"/>
    <w:rsid w:val="009C0F3D"/>
    <w:rsid w:val="009C12F7"/>
    <w:rsid w:val="009C13F6"/>
    <w:rsid w:val="009C1454"/>
    <w:rsid w:val="009C282F"/>
    <w:rsid w:val="009C2D45"/>
    <w:rsid w:val="009C2D4E"/>
    <w:rsid w:val="009C4769"/>
    <w:rsid w:val="009C4CA9"/>
    <w:rsid w:val="009C584A"/>
    <w:rsid w:val="009C68B0"/>
    <w:rsid w:val="009D06FC"/>
    <w:rsid w:val="009D0D0D"/>
    <w:rsid w:val="009D0E69"/>
    <w:rsid w:val="009D1753"/>
    <w:rsid w:val="009D2B7C"/>
    <w:rsid w:val="009D2B8D"/>
    <w:rsid w:val="009D322C"/>
    <w:rsid w:val="009D467C"/>
    <w:rsid w:val="009D5091"/>
    <w:rsid w:val="009D6128"/>
    <w:rsid w:val="009D6137"/>
    <w:rsid w:val="009D6D9B"/>
    <w:rsid w:val="009D7CC8"/>
    <w:rsid w:val="009E0144"/>
    <w:rsid w:val="009E064E"/>
    <w:rsid w:val="009E07A6"/>
    <w:rsid w:val="009E0EEB"/>
    <w:rsid w:val="009E19DA"/>
    <w:rsid w:val="009E1B19"/>
    <w:rsid w:val="009E28B4"/>
    <w:rsid w:val="009E2905"/>
    <w:rsid w:val="009E4212"/>
    <w:rsid w:val="009E478E"/>
    <w:rsid w:val="009E50E2"/>
    <w:rsid w:val="009E5C6E"/>
    <w:rsid w:val="009E679D"/>
    <w:rsid w:val="009E70CA"/>
    <w:rsid w:val="009E77BA"/>
    <w:rsid w:val="009F00D3"/>
    <w:rsid w:val="009F0175"/>
    <w:rsid w:val="009F06FE"/>
    <w:rsid w:val="009F1158"/>
    <w:rsid w:val="009F116D"/>
    <w:rsid w:val="009F1200"/>
    <w:rsid w:val="009F152C"/>
    <w:rsid w:val="009F162A"/>
    <w:rsid w:val="009F1FAA"/>
    <w:rsid w:val="009F2857"/>
    <w:rsid w:val="009F2FAC"/>
    <w:rsid w:val="009F3292"/>
    <w:rsid w:val="009F43E3"/>
    <w:rsid w:val="009F4D9F"/>
    <w:rsid w:val="009F5197"/>
    <w:rsid w:val="009F54E8"/>
    <w:rsid w:val="009F57EB"/>
    <w:rsid w:val="009F5811"/>
    <w:rsid w:val="009F5C10"/>
    <w:rsid w:val="009F63DC"/>
    <w:rsid w:val="009F74DA"/>
    <w:rsid w:val="009F74EE"/>
    <w:rsid w:val="009F76E7"/>
    <w:rsid w:val="009F7D54"/>
    <w:rsid w:val="00A00264"/>
    <w:rsid w:val="00A0026A"/>
    <w:rsid w:val="00A00A25"/>
    <w:rsid w:val="00A025BD"/>
    <w:rsid w:val="00A039D9"/>
    <w:rsid w:val="00A03B24"/>
    <w:rsid w:val="00A043EA"/>
    <w:rsid w:val="00A046A3"/>
    <w:rsid w:val="00A055C8"/>
    <w:rsid w:val="00A05766"/>
    <w:rsid w:val="00A05B1A"/>
    <w:rsid w:val="00A06446"/>
    <w:rsid w:val="00A0692D"/>
    <w:rsid w:val="00A069F3"/>
    <w:rsid w:val="00A06CFE"/>
    <w:rsid w:val="00A06E72"/>
    <w:rsid w:val="00A06F11"/>
    <w:rsid w:val="00A104FA"/>
    <w:rsid w:val="00A11654"/>
    <w:rsid w:val="00A12910"/>
    <w:rsid w:val="00A13365"/>
    <w:rsid w:val="00A1357D"/>
    <w:rsid w:val="00A13971"/>
    <w:rsid w:val="00A13FA8"/>
    <w:rsid w:val="00A14C02"/>
    <w:rsid w:val="00A14DB6"/>
    <w:rsid w:val="00A1634A"/>
    <w:rsid w:val="00A169AB"/>
    <w:rsid w:val="00A16A40"/>
    <w:rsid w:val="00A16ACA"/>
    <w:rsid w:val="00A16E31"/>
    <w:rsid w:val="00A17421"/>
    <w:rsid w:val="00A177C9"/>
    <w:rsid w:val="00A17EBE"/>
    <w:rsid w:val="00A2057F"/>
    <w:rsid w:val="00A20844"/>
    <w:rsid w:val="00A20B82"/>
    <w:rsid w:val="00A212BB"/>
    <w:rsid w:val="00A214AA"/>
    <w:rsid w:val="00A21659"/>
    <w:rsid w:val="00A21DC8"/>
    <w:rsid w:val="00A21E20"/>
    <w:rsid w:val="00A22A54"/>
    <w:rsid w:val="00A22B0A"/>
    <w:rsid w:val="00A22F26"/>
    <w:rsid w:val="00A22F52"/>
    <w:rsid w:val="00A24115"/>
    <w:rsid w:val="00A245C2"/>
    <w:rsid w:val="00A24758"/>
    <w:rsid w:val="00A24E36"/>
    <w:rsid w:val="00A253ED"/>
    <w:rsid w:val="00A2616D"/>
    <w:rsid w:val="00A261BB"/>
    <w:rsid w:val="00A2658F"/>
    <w:rsid w:val="00A26836"/>
    <w:rsid w:val="00A27873"/>
    <w:rsid w:val="00A279FA"/>
    <w:rsid w:val="00A27CD6"/>
    <w:rsid w:val="00A27FCC"/>
    <w:rsid w:val="00A30D58"/>
    <w:rsid w:val="00A310E1"/>
    <w:rsid w:val="00A317F5"/>
    <w:rsid w:val="00A318EB"/>
    <w:rsid w:val="00A326C2"/>
    <w:rsid w:val="00A32798"/>
    <w:rsid w:val="00A327E1"/>
    <w:rsid w:val="00A32891"/>
    <w:rsid w:val="00A32D11"/>
    <w:rsid w:val="00A331C0"/>
    <w:rsid w:val="00A33E8B"/>
    <w:rsid w:val="00A34873"/>
    <w:rsid w:val="00A35F91"/>
    <w:rsid w:val="00A40B95"/>
    <w:rsid w:val="00A4123F"/>
    <w:rsid w:val="00A41273"/>
    <w:rsid w:val="00A413C2"/>
    <w:rsid w:val="00A41544"/>
    <w:rsid w:val="00A4207B"/>
    <w:rsid w:val="00A4211C"/>
    <w:rsid w:val="00A4235E"/>
    <w:rsid w:val="00A42727"/>
    <w:rsid w:val="00A4336D"/>
    <w:rsid w:val="00A443F9"/>
    <w:rsid w:val="00A44412"/>
    <w:rsid w:val="00A446B7"/>
    <w:rsid w:val="00A446E3"/>
    <w:rsid w:val="00A44997"/>
    <w:rsid w:val="00A45290"/>
    <w:rsid w:val="00A461DA"/>
    <w:rsid w:val="00A46CD2"/>
    <w:rsid w:val="00A46E24"/>
    <w:rsid w:val="00A47516"/>
    <w:rsid w:val="00A479A9"/>
    <w:rsid w:val="00A47BA1"/>
    <w:rsid w:val="00A50CCF"/>
    <w:rsid w:val="00A51259"/>
    <w:rsid w:val="00A51315"/>
    <w:rsid w:val="00A51DBD"/>
    <w:rsid w:val="00A51DEB"/>
    <w:rsid w:val="00A5283A"/>
    <w:rsid w:val="00A52952"/>
    <w:rsid w:val="00A53341"/>
    <w:rsid w:val="00A5376B"/>
    <w:rsid w:val="00A53846"/>
    <w:rsid w:val="00A54543"/>
    <w:rsid w:val="00A548D4"/>
    <w:rsid w:val="00A54A3B"/>
    <w:rsid w:val="00A55005"/>
    <w:rsid w:val="00A5516C"/>
    <w:rsid w:val="00A55A9C"/>
    <w:rsid w:val="00A55DC9"/>
    <w:rsid w:val="00A5609B"/>
    <w:rsid w:val="00A56953"/>
    <w:rsid w:val="00A56A1E"/>
    <w:rsid w:val="00A56FE5"/>
    <w:rsid w:val="00A61F11"/>
    <w:rsid w:val="00A625B7"/>
    <w:rsid w:val="00A625E9"/>
    <w:rsid w:val="00A6267F"/>
    <w:rsid w:val="00A63259"/>
    <w:rsid w:val="00A63366"/>
    <w:rsid w:val="00A6336E"/>
    <w:rsid w:val="00A63C8F"/>
    <w:rsid w:val="00A6414D"/>
    <w:rsid w:val="00A64476"/>
    <w:rsid w:val="00A6455E"/>
    <w:rsid w:val="00A649E9"/>
    <w:rsid w:val="00A64B4C"/>
    <w:rsid w:val="00A652EC"/>
    <w:rsid w:val="00A653C6"/>
    <w:rsid w:val="00A66476"/>
    <w:rsid w:val="00A666AB"/>
    <w:rsid w:val="00A66A53"/>
    <w:rsid w:val="00A672B4"/>
    <w:rsid w:val="00A6740C"/>
    <w:rsid w:val="00A67B70"/>
    <w:rsid w:val="00A7069C"/>
    <w:rsid w:val="00A70C9F"/>
    <w:rsid w:val="00A71BC6"/>
    <w:rsid w:val="00A7201F"/>
    <w:rsid w:val="00A7222C"/>
    <w:rsid w:val="00A72381"/>
    <w:rsid w:val="00A7268D"/>
    <w:rsid w:val="00A72AF7"/>
    <w:rsid w:val="00A730E7"/>
    <w:rsid w:val="00A7350B"/>
    <w:rsid w:val="00A7738A"/>
    <w:rsid w:val="00A8024F"/>
    <w:rsid w:val="00A80332"/>
    <w:rsid w:val="00A809AF"/>
    <w:rsid w:val="00A80A0D"/>
    <w:rsid w:val="00A81110"/>
    <w:rsid w:val="00A812BD"/>
    <w:rsid w:val="00A814BF"/>
    <w:rsid w:val="00A81558"/>
    <w:rsid w:val="00A820FA"/>
    <w:rsid w:val="00A82150"/>
    <w:rsid w:val="00A8239A"/>
    <w:rsid w:val="00A823D3"/>
    <w:rsid w:val="00A82B2B"/>
    <w:rsid w:val="00A82CEB"/>
    <w:rsid w:val="00A8334F"/>
    <w:rsid w:val="00A8361D"/>
    <w:rsid w:val="00A83752"/>
    <w:rsid w:val="00A84590"/>
    <w:rsid w:val="00A8475C"/>
    <w:rsid w:val="00A85366"/>
    <w:rsid w:val="00A854FE"/>
    <w:rsid w:val="00A8587E"/>
    <w:rsid w:val="00A865F6"/>
    <w:rsid w:val="00A872F4"/>
    <w:rsid w:val="00A90321"/>
    <w:rsid w:val="00A9189B"/>
    <w:rsid w:val="00A91FA1"/>
    <w:rsid w:val="00A9202F"/>
    <w:rsid w:val="00A922F0"/>
    <w:rsid w:val="00A932AD"/>
    <w:rsid w:val="00A93488"/>
    <w:rsid w:val="00A9371B"/>
    <w:rsid w:val="00A9373B"/>
    <w:rsid w:val="00A94956"/>
    <w:rsid w:val="00A94C38"/>
    <w:rsid w:val="00A954BA"/>
    <w:rsid w:val="00A95CF6"/>
    <w:rsid w:val="00A960BC"/>
    <w:rsid w:val="00A96ADC"/>
    <w:rsid w:val="00A9723F"/>
    <w:rsid w:val="00AA0403"/>
    <w:rsid w:val="00AA0DE9"/>
    <w:rsid w:val="00AA1637"/>
    <w:rsid w:val="00AA1770"/>
    <w:rsid w:val="00AA1B4D"/>
    <w:rsid w:val="00AA2748"/>
    <w:rsid w:val="00AA2EF0"/>
    <w:rsid w:val="00AA30BB"/>
    <w:rsid w:val="00AA4839"/>
    <w:rsid w:val="00AA51AF"/>
    <w:rsid w:val="00AA5328"/>
    <w:rsid w:val="00AA59BF"/>
    <w:rsid w:val="00AA5DED"/>
    <w:rsid w:val="00AA5EFA"/>
    <w:rsid w:val="00AA7297"/>
    <w:rsid w:val="00AA7740"/>
    <w:rsid w:val="00AA7907"/>
    <w:rsid w:val="00AB06D0"/>
    <w:rsid w:val="00AB1D15"/>
    <w:rsid w:val="00AB2E6F"/>
    <w:rsid w:val="00AB2EA7"/>
    <w:rsid w:val="00AB4B1E"/>
    <w:rsid w:val="00AB4C22"/>
    <w:rsid w:val="00AB5158"/>
    <w:rsid w:val="00AB56B8"/>
    <w:rsid w:val="00AB6784"/>
    <w:rsid w:val="00AB6F7A"/>
    <w:rsid w:val="00AB755F"/>
    <w:rsid w:val="00AB7B69"/>
    <w:rsid w:val="00AC0016"/>
    <w:rsid w:val="00AC0334"/>
    <w:rsid w:val="00AC07C2"/>
    <w:rsid w:val="00AC14A4"/>
    <w:rsid w:val="00AC1A36"/>
    <w:rsid w:val="00AC1E37"/>
    <w:rsid w:val="00AC2FAF"/>
    <w:rsid w:val="00AC5066"/>
    <w:rsid w:val="00AC59EB"/>
    <w:rsid w:val="00AC5A21"/>
    <w:rsid w:val="00AC6094"/>
    <w:rsid w:val="00AC6A8F"/>
    <w:rsid w:val="00AC6CC4"/>
    <w:rsid w:val="00AC765A"/>
    <w:rsid w:val="00AD0AF9"/>
    <w:rsid w:val="00AD0C6B"/>
    <w:rsid w:val="00AD0F32"/>
    <w:rsid w:val="00AD1317"/>
    <w:rsid w:val="00AD1D87"/>
    <w:rsid w:val="00AD1F36"/>
    <w:rsid w:val="00AD2C1C"/>
    <w:rsid w:val="00AD3080"/>
    <w:rsid w:val="00AD312C"/>
    <w:rsid w:val="00AD3477"/>
    <w:rsid w:val="00AD5085"/>
    <w:rsid w:val="00AD5163"/>
    <w:rsid w:val="00AD5BEB"/>
    <w:rsid w:val="00AD5D69"/>
    <w:rsid w:val="00AD603A"/>
    <w:rsid w:val="00AD62E4"/>
    <w:rsid w:val="00AD6711"/>
    <w:rsid w:val="00AD6881"/>
    <w:rsid w:val="00AD7214"/>
    <w:rsid w:val="00AD7FFD"/>
    <w:rsid w:val="00AE02C8"/>
    <w:rsid w:val="00AE03B7"/>
    <w:rsid w:val="00AE07D9"/>
    <w:rsid w:val="00AE0A59"/>
    <w:rsid w:val="00AE0A89"/>
    <w:rsid w:val="00AE0DBB"/>
    <w:rsid w:val="00AE0E2D"/>
    <w:rsid w:val="00AE0EFD"/>
    <w:rsid w:val="00AE148E"/>
    <w:rsid w:val="00AE14F3"/>
    <w:rsid w:val="00AE1B86"/>
    <w:rsid w:val="00AE1C83"/>
    <w:rsid w:val="00AE1CCF"/>
    <w:rsid w:val="00AE20AF"/>
    <w:rsid w:val="00AE38C3"/>
    <w:rsid w:val="00AE3C50"/>
    <w:rsid w:val="00AE3F16"/>
    <w:rsid w:val="00AE531E"/>
    <w:rsid w:val="00AE6918"/>
    <w:rsid w:val="00AE69F3"/>
    <w:rsid w:val="00AE7101"/>
    <w:rsid w:val="00AE797C"/>
    <w:rsid w:val="00AF018A"/>
    <w:rsid w:val="00AF05ED"/>
    <w:rsid w:val="00AF09D4"/>
    <w:rsid w:val="00AF14B5"/>
    <w:rsid w:val="00AF32CE"/>
    <w:rsid w:val="00AF3341"/>
    <w:rsid w:val="00AF3C41"/>
    <w:rsid w:val="00AF4A34"/>
    <w:rsid w:val="00AF631C"/>
    <w:rsid w:val="00AF64EE"/>
    <w:rsid w:val="00AF679D"/>
    <w:rsid w:val="00B001B4"/>
    <w:rsid w:val="00B00EDA"/>
    <w:rsid w:val="00B0195D"/>
    <w:rsid w:val="00B02302"/>
    <w:rsid w:val="00B023AD"/>
    <w:rsid w:val="00B0242B"/>
    <w:rsid w:val="00B025E7"/>
    <w:rsid w:val="00B0368D"/>
    <w:rsid w:val="00B0370E"/>
    <w:rsid w:val="00B0385B"/>
    <w:rsid w:val="00B03FAC"/>
    <w:rsid w:val="00B0422F"/>
    <w:rsid w:val="00B0432F"/>
    <w:rsid w:val="00B051B4"/>
    <w:rsid w:val="00B0574B"/>
    <w:rsid w:val="00B05797"/>
    <w:rsid w:val="00B0655E"/>
    <w:rsid w:val="00B070EE"/>
    <w:rsid w:val="00B071AD"/>
    <w:rsid w:val="00B0734B"/>
    <w:rsid w:val="00B07587"/>
    <w:rsid w:val="00B07E1C"/>
    <w:rsid w:val="00B10768"/>
    <w:rsid w:val="00B1149A"/>
    <w:rsid w:val="00B11A82"/>
    <w:rsid w:val="00B11E4E"/>
    <w:rsid w:val="00B12FE7"/>
    <w:rsid w:val="00B13BA3"/>
    <w:rsid w:val="00B13BB8"/>
    <w:rsid w:val="00B13BF5"/>
    <w:rsid w:val="00B15EC0"/>
    <w:rsid w:val="00B16554"/>
    <w:rsid w:val="00B172B8"/>
    <w:rsid w:val="00B208AF"/>
    <w:rsid w:val="00B20931"/>
    <w:rsid w:val="00B20D68"/>
    <w:rsid w:val="00B211CE"/>
    <w:rsid w:val="00B214E8"/>
    <w:rsid w:val="00B23305"/>
    <w:rsid w:val="00B23811"/>
    <w:rsid w:val="00B2428E"/>
    <w:rsid w:val="00B24A58"/>
    <w:rsid w:val="00B24BA8"/>
    <w:rsid w:val="00B24E73"/>
    <w:rsid w:val="00B24FF1"/>
    <w:rsid w:val="00B25A73"/>
    <w:rsid w:val="00B25A7A"/>
    <w:rsid w:val="00B26227"/>
    <w:rsid w:val="00B26A1C"/>
    <w:rsid w:val="00B26AEE"/>
    <w:rsid w:val="00B26F2F"/>
    <w:rsid w:val="00B26FA0"/>
    <w:rsid w:val="00B305CC"/>
    <w:rsid w:val="00B306DB"/>
    <w:rsid w:val="00B3083D"/>
    <w:rsid w:val="00B30BDF"/>
    <w:rsid w:val="00B31B0C"/>
    <w:rsid w:val="00B31FE7"/>
    <w:rsid w:val="00B325ED"/>
    <w:rsid w:val="00B32E15"/>
    <w:rsid w:val="00B32E33"/>
    <w:rsid w:val="00B33A9A"/>
    <w:rsid w:val="00B33DB7"/>
    <w:rsid w:val="00B33DDA"/>
    <w:rsid w:val="00B3450E"/>
    <w:rsid w:val="00B34EFB"/>
    <w:rsid w:val="00B3549F"/>
    <w:rsid w:val="00B3678D"/>
    <w:rsid w:val="00B3690B"/>
    <w:rsid w:val="00B36E7A"/>
    <w:rsid w:val="00B37278"/>
    <w:rsid w:val="00B374B4"/>
    <w:rsid w:val="00B37CFE"/>
    <w:rsid w:val="00B40884"/>
    <w:rsid w:val="00B408E1"/>
    <w:rsid w:val="00B40A11"/>
    <w:rsid w:val="00B4129C"/>
    <w:rsid w:val="00B4278A"/>
    <w:rsid w:val="00B43AD5"/>
    <w:rsid w:val="00B43E75"/>
    <w:rsid w:val="00B44148"/>
    <w:rsid w:val="00B445E4"/>
    <w:rsid w:val="00B447DE"/>
    <w:rsid w:val="00B449DF"/>
    <w:rsid w:val="00B44D8C"/>
    <w:rsid w:val="00B45AFD"/>
    <w:rsid w:val="00B467B9"/>
    <w:rsid w:val="00B47961"/>
    <w:rsid w:val="00B50AC9"/>
    <w:rsid w:val="00B511CB"/>
    <w:rsid w:val="00B5153F"/>
    <w:rsid w:val="00B523BB"/>
    <w:rsid w:val="00B52480"/>
    <w:rsid w:val="00B527F6"/>
    <w:rsid w:val="00B531B4"/>
    <w:rsid w:val="00B543B3"/>
    <w:rsid w:val="00B54867"/>
    <w:rsid w:val="00B55B03"/>
    <w:rsid w:val="00B56B26"/>
    <w:rsid w:val="00B56FB5"/>
    <w:rsid w:val="00B57A06"/>
    <w:rsid w:val="00B608D4"/>
    <w:rsid w:val="00B60C48"/>
    <w:rsid w:val="00B61E3A"/>
    <w:rsid w:val="00B62375"/>
    <w:rsid w:val="00B62551"/>
    <w:rsid w:val="00B62627"/>
    <w:rsid w:val="00B633B6"/>
    <w:rsid w:val="00B6404A"/>
    <w:rsid w:val="00B64315"/>
    <w:rsid w:val="00B645E8"/>
    <w:rsid w:val="00B65231"/>
    <w:rsid w:val="00B656A8"/>
    <w:rsid w:val="00B65EC9"/>
    <w:rsid w:val="00B66285"/>
    <w:rsid w:val="00B6790A"/>
    <w:rsid w:val="00B704B0"/>
    <w:rsid w:val="00B706D3"/>
    <w:rsid w:val="00B707E4"/>
    <w:rsid w:val="00B70E42"/>
    <w:rsid w:val="00B711FD"/>
    <w:rsid w:val="00B7159F"/>
    <w:rsid w:val="00B71844"/>
    <w:rsid w:val="00B71C5D"/>
    <w:rsid w:val="00B733DB"/>
    <w:rsid w:val="00B73A51"/>
    <w:rsid w:val="00B75840"/>
    <w:rsid w:val="00B75A69"/>
    <w:rsid w:val="00B762DE"/>
    <w:rsid w:val="00B7701A"/>
    <w:rsid w:val="00B7769A"/>
    <w:rsid w:val="00B7786D"/>
    <w:rsid w:val="00B80645"/>
    <w:rsid w:val="00B80CED"/>
    <w:rsid w:val="00B81190"/>
    <w:rsid w:val="00B8143B"/>
    <w:rsid w:val="00B81675"/>
    <w:rsid w:val="00B82250"/>
    <w:rsid w:val="00B82730"/>
    <w:rsid w:val="00B831DD"/>
    <w:rsid w:val="00B83245"/>
    <w:rsid w:val="00B83ADC"/>
    <w:rsid w:val="00B84174"/>
    <w:rsid w:val="00B844D8"/>
    <w:rsid w:val="00B86492"/>
    <w:rsid w:val="00B866C9"/>
    <w:rsid w:val="00B8677E"/>
    <w:rsid w:val="00B87CDD"/>
    <w:rsid w:val="00B90157"/>
    <w:rsid w:val="00B902AE"/>
    <w:rsid w:val="00B90488"/>
    <w:rsid w:val="00B90786"/>
    <w:rsid w:val="00B9093A"/>
    <w:rsid w:val="00B90A77"/>
    <w:rsid w:val="00B90F54"/>
    <w:rsid w:val="00B91349"/>
    <w:rsid w:val="00B916EA"/>
    <w:rsid w:val="00B92C5F"/>
    <w:rsid w:val="00B93255"/>
    <w:rsid w:val="00B93E9F"/>
    <w:rsid w:val="00B93EB4"/>
    <w:rsid w:val="00B93FE8"/>
    <w:rsid w:val="00B95697"/>
    <w:rsid w:val="00B9660A"/>
    <w:rsid w:val="00B970C9"/>
    <w:rsid w:val="00BA08F1"/>
    <w:rsid w:val="00BA09F3"/>
    <w:rsid w:val="00BA0AB7"/>
    <w:rsid w:val="00BA0FE6"/>
    <w:rsid w:val="00BA29D7"/>
    <w:rsid w:val="00BA2F9D"/>
    <w:rsid w:val="00BA3B24"/>
    <w:rsid w:val="00BA3D1B"/>
    <w:rsid w:val="00BA4976"/>
    <w:rsid w:val="00BA4A65"/>
    <w:rsid w:val="00BA514D"/>
    <w:rsid w:val="00BA60C1"/>
    <w:rsid w:val="00BA6C06"/>
    <w:rsid w:val="00BA7730"/>
    <w:rsid w:val="00BA7947"/>
    <w:rsid w:val="00BA7BE9"/>
    <w:rsid w:val="00BB11A0"/>
    <w:rsid w:val="00BB1874"/>
    <w:rsid w:val="00BB1BFD"/>
    <w:rsid w:val="00BB1C82"/>
    <w:rsid w:val="00BB231B"/>
    <w:rsid w:val="00BB2792"/>
    <w:rsid w:val="00BB49CC"/>
    <w:rsid w:val="00BB4BD4"/>
    <w:rsid w:val="00BB5427"/>
    <w:rsid w:val="00BB610A"/>
    <w:rsid w:val="00BB62B5"/>
    <w:rsid w:val="00BB6920"/>
    <w:rsid w:val="00BB7764"/>
    <w:rsid w:val="00BC02C0"/>
    <w:rsid w:val="00BC0578"/>
    <w:rsid w:val="00BC120F"/>
    <w:rsid w:val="00BC13B9"/>
    <w:rsid w:val="00BC1F07"/>
    <w:rsid w:val="00BC2A9A"/>
    <w:rsid w:val="00BC2DF4"/>
    <w:rsid w:val="00BC3050"/>
    <w:rsid w:val="00BC3EF1"/>
    <w:rsid w:val="00BC3EF2"/>
    <w:rsid w:val="00BC3F65"/>
    <w:rsid w:val="00BC4397"/>
    <w:rsid w:val="00BC4D12"/>
    <w:rsid w:val="00BC512F"/>
    <w:rsid w:val="00BC52EF"/>
    <w:rsid w:val="00BC6228"/>
    <w:rsid w:val="00BC6EBB"/>
    <w:rsid w:val="00BC6ECB"/>
    <w:rsid w:val="00BC6ED1"/>
    <w:rsid w:val="00BC7242"/>
    <w:rsid w:val="00BC73FD"/>
    <w:rsid w:val="00BC743E"/>
    <w:rsid w:val="00BC77AF"/>
    <w:rsid w:val="00BD0772"/>
    <w:rsid w:val="00BD0DD7"/>
    <w:rsid w:val="00BD0E44"/>
    <w:rsid w:val="00BD0E85"/>
    <w:rsid w:val="00BD175F"/>
    <w:rsid w:val="00BD2208"/>
    <w:rsid w:val="00BD2683"/>
    <w:rsid w:val="00BD27D2"/>
    <w:rsid w:val="00BD2851"/>
    <w:rsid w:val="00BD29FB"/>
    <w:rsid w:val="00BD2AB8"/>
    <w:rsid w:val="00BD52ED"/>
    <w:rsid w:val="00BD5AB0"/>
    <w:rsid w:val="00BD5F16"/>
    <w:rsid w:val="00BD652B"/>
    <w:rsid w:val="00BD6BCB"/>
    <w:rsid w:val="00BD6BF3"/>
    <w:rsid w:val="00BD6E1D"/>
    <w:rsid w:val="00BD70B1"/>
    <w:rsid w:val="00BD724F"/>
    <w:rsid w:val="00BD74E2"/>
    <w:rsid w:val="00BD7513"/>
    <w:rsid w:val="00BE0078"/>
    <w:rsid w:val="00BE013C"/>
    <w:rsid w:val="00BE0717"/>
    <w:rsid w:val="00BE0D5F"/>
    <w:rsid w:val="00BE0E7F"/>
    <w:rsid w:val="00BE10F0"/>
    <w:rsid w:val="00BE2024"/>
    <w:rsid w:val="00BE2A69"/>
    <w:rsid w:val="00BE3192"/>
    <w:rsid w:val="00BE382D"/>
    <w:rsid w:val="00BE4413"/>
    <w:rsid w:val="00BE4519"/>
    <w:rsid w:val="00BE4A34"/>
    <w:rsid w:val="00BE51CE"/>
    <w:rsid w:val="00BE54C3"/>
    <w:rsid w:val="00BE5D23"/>
    <w:rsid w:val="00BE6521"/>
    <w:rsid w:val="00BE79A0"/>
    <w:rsid w:val="00BF0280"/>
    <w:rsid w:val="00BF0317"/>
    <w:rsid w:val="00BF1B3B"/>
    <w:rsid w:val="00BF2645"/>
    <w:rsid w:val="00BF28C1"/>
    <w:rsid w:val="00BF2A3F"/>
    <w:rsid w:val="00BF2BB2"/>
    <w:rsid w:val="00BF2C92"/>
    <w:rsid w:val="00BF30D5"/>
    <w:rsid w:val="00BF33BF"/>
    <w:rsid w:val="00BF378B"/>
    <w:rsid w:val="00BF3E4C"/>
    <w:rsid w:val="00BF3EFB"/>
    <w:rsid w:val="00BF603D"/>
    <w:rsid w:val="00BF69C9"/>
    <w:rsid w:val="00BF73B4"/>
    <w:rsid w:val="00BF76D1"/>
    <w:rsid w:val="00BF7E9E"/>
    <w:rsid w:val="00C00225"/>
    <w:rsid w:val="00C004C5"/>
    <w:rsid w:val="00C0051B"/>
    <w:rsid w:val="00C008A0"/>
    <w:rsid w:val="00C00A5D"/>
    <w:rsid w:val="00C00D1D"/>
    <w:rsid w:val="00C010F6"/>
    <w:rsid w:val="00C017DD"/>
    <w:rsid w:val="00C01E89"/>
    <w:rsid w:val="00C01EB2"/>
    <w:rsid w:val="00C022CF"/>
    <w:rsid w:val="00C02686"/>
    <w:rsid w:val="00C02E23"/>
    <w:rsid w:val="00C03314"/>
    <w:rsid w:val="00C035C7"/>
    <w:rsid w:val="00C03CD1"/>
    <w:rsid w:val="00C03D01"/>
    <w:rsid w:val="00C03E0E"/>
    <w:rsid w:val="00C0506D"/>
    <w:rsid w:val="00C05C54"/>
    <w:rsid w:val="00C05F90"/>
    <w:rsid w:val="00C07E27"/>
    <w:rsid w:val="00C07E8C"/>
    <w:rsid w:val="00C07F60"/>
    <w:rsid w:val="00C10791"/>
    <w:rsid w:val="00C1244D"/>
    <w:rsid w:val="00C12C6D"/>
    <w:rsid w:val="00C13805"/>
    <w:rsid w:val="00C13907"/>
    <w:rsid w:val="00C13F65"/>
    <w:rsid w:val="00C14145"/>
    <w:rsid w:val="00C14A7D"/>
    <w:rsid w:val="00C15B78"/>
    <w:rsid w:val="00C16BFE"/>
    <w:rsid w:val="00C17793"/>
    <w:rsid w:val="00C17EDC"/>
    <w:rsid w:val="00C17FEE"/>
    <w:rsid w:val="00C207AC"/>
    <w:rsid w:val="00C207DF"/>
    <w:rsid w:val="00C21337"/>
    <w:rsid w:val="00C21470"/>
    <w:rsid w:val="00C2269B"/>
    <w:rsid w:val="00C230C0"/>
    <w:rsid w:val="00C23FE4"/>
    <w:rsid w:val="00C23FF3"/>
    <w:rsid w:val="00C24457"/>
    <w:rsid w:val="00C245D6"/>
    <w:rsid w:val="00C250E9"/>
    <w:rsid w:val="00C25448"/>
    <w:rsid w:val="00C25A3E"/>
    <w:rsid w:val="00C25EDF"/>
    <w:rsid w:val="00C262B5"/>
    <w:rsid w:val="00C264BF"/>
    <w:rsid w:val="00C2655F"/>
    <w:rsid w:val="00C26897"/>
    <w:rsid w:val="00C26C34"/>
    <w:rsid w:val="00C2703B"/>
    <w:rsid w:val="00C27315"/>
    <w:rsid w:val="00C275A0"/>
    <w:rsid w:val="00C27CA6"/>
    <w:rsid w:val="00C27E37"/>
    <w:rsid w:val="00C304FC"/>
    <w:rsid w:val="00C3103B"/>
    <w:rsid w:val="00C310D8"/>
    <w:rsid w:val="00C31D20"/>
    <w:rsid w:val="00C3225E"/>
    <w:rsid w:val="00C32FDA"/>
    <w:rsid w:val="00C34123"/>
    <w:rsid w:val="00C349CC"/>
    <w:rsid w:val="00C34A68"/>
    <w:rsid w:val="00C35213"/>
    <w:rsid w:val="00C369D0"/>
    <w:rsid w:val="00C36A3D"/>
    <w:rsid w:val="00C36B68"/>
    <w:rsid w:val="00C36FEF"/>
    <w:rsid w:val="00C4016B"/>
    <w:rsid w:val="00C402F9"/>
    <w:rsid w:val="00C406ED"/>
    <w:rsid w:val="00C409A6"/>
    <w:rsid w:val="00C40A04"/>
    <w:rsid w:val="00C41179"/>
    <w:rsid w:val="00C41503"/>
    <w:rsid w:val="00C42A03"/>
    <w:rsid w:val="00C42F69"/>
    <w:rsid w:val="00C43ECF"/>
    <w:rsid w:val="00C43FC8"/>
    <w:rsid w:val="00C45994"/>
    <w:rsid w:val="00C459DD"/>
    <w:rsid w:val="00C46686"/>
    <w:rsid w:val="00C466EE"/>
    <w:rsid w:val="00C46C1A"/>
    <w:rsid w:val="00C47137"/>
    <w:rsid w:val="00C47782"/>
    <w:rsid w:val="00C47F33"/>
    <w:rsid w:val="00C5016F"/>
    <w:rsid w:val="00C5074D"/>
    <w:rsid w:val="00C509D5"/>
    <w:rsid w:val="00C51065"/>
    <w:rsid w:val="00C512F9"/>
    <w:rsid w:val="00C5206F"/>
    <w:rsid w:val="00C52E12"/>
    <w:rsid w:val="00C5306D"/>
    <w:rsid w:val="00C5452C"/>
    <w:rsid w:val="00C54D09"/>
    <w:rsid w:val="00C555E6"/>
    <w:rsid w:val="00C562B1"/>
    <w:rsid w:val="00C56A59"/>
    <w:rsid w:val="00C60712"/>
    <w:rsid w:val="00C61279"/>
    <w:rsid w:val="00C615F6"/>
    <w:rsid w:val="00C618C2"/>
    <w:rsid w:val="00C62687"/>
    <w:rsid w:val="00C63B73"/>
    <w:rsid w:val="00C63DA3"/>
    <w:rsid w:val="00C6468C"/>
    <w:rsid w:val="00C6593A"/>
    <w:rsid w:val="00C66484"/>
    <w:rsid w:val="00C6737F"/>
    <w:rsid w:val="00C67A11"/>
    <w:rsid w:val="00C67E99"/>
    <w:rsid w:val="00C7017A"/>
    <w:rsid w:val="00C70F68"/>
    <w:rsid w:val="00C71403"/>
    <w:rsid w:val="00C71848"/>
    <w:rsid w:val="00C72279"/>
    <w:rsid w:val="00C72426"/>
    <w:rsid w:val="00C72A82"/>
    <w:rsid w:val="00C72FA5"/>
    <w:rsid w:val="00C7353B"/>
    <w:rsid w:val="00C742BB"/>
    <w:rsid w:val="00C742D1"/>
    <w:rsid w:val="00C74561"/>
    <w:rsid w:val="00C75543"/>
    <w:rsid w:val="00C758D3"/>
    <w:rsid w:val="00C7679D"/>
    <w:rsid w:val="00C767A1"/>
    <w:rsid w:val="00C768DC"/>
    <w:rsid w:val="00C800C9"/>
    <w:rsid w:val="00C80156"/>
    <w:rsid w:val="00C80570"/>
    <w:rsid w:val="00C80BE8"/>
    <w:rsid w:val="00C817BA"/>
    <w:rsid w:val="00C81A4B"/>
    <w:rsid w:val="00C82170"/>
    <w:rsid w:val="00C8231F"/>
    <w:rsid w:val="00C8253D"/>
    <w:rsid w:val="00C82B0D"/>
    <w:rsid w:val="00C83307"/>
    <w:rsid w:val="00C83BED"/>
    <w:rsid w:val="00C84042"/>
    <w:rsid w:val="00C845BB"/>
    <w:rsid w:val="00C846CF"/>
    <w:rsid w:val="00C8472A"/>
    <w:rsid w:val="00C85527"/>
    <w:rsid w:val="00C855A9"/>
    <w:rsid w:val="00C862D8"/>
    <w:rsid w:val="00C86499"/>
    <w:rsid w:val="00C86A13"/>
    <w:rsid w:val="00C870D0"/>
    <w:rsid w:val="00C87115"/>
    <w:rsid w:val="00C906CE"/>
    <w:rsid w:val="00C9118A"/>
    <w:rsid w:val="00C912B1"/>
    <w:rsid w:val="00C91621"/>
    <w:rsid w:val="00C9167C"/>
    <w:rsid w:val="00C91F31"/>
    <w:rsid w:val="00C921CA"/>
    <w:rsid w:val="00C928AD"/>
    <w:rsid w:val="00C92E8B"/>
    <w:rsid w:val="00C93A74"/>
    <w:rsid w:val="00C93F81"/>
    <w:rsid w:val="00C94023"/>
    <w:rsid w:val="00C941FE"/>
    <w:rsid w:val="00C943B0"/>
    <w:rsid w:val="00C9471B"/>
    <w:rsid w:val="00C94C3E"/>
    <w:rsid w:val="00C95579"/>
    <w:rsid w:val="00C95589"/>
    <w:rsid w:val="00C9655E"/>
    <w:rsid w:val="00C9656E"/>
    <w:rsid w:val="00C966E0"/>
    <w:rsid w:val="00C96B29"/>
    <w:rsid w:val="00C96BB6"/>
    <w:rsid w:val="00C9708E"/>
    <w:rsid w:val="00C97446"/>
    <w:rsid w:val="00C9765B"/>
    <w:rsid w:val="00C97C80"/>
    <w:rsid w:val="00CA0BCA"/>
    <w:rsid w:val="00CA194E"/>
    <w:rsid w:val="00CA1BEE"/>
    <w:rsid w:val="00CA1C6A"/>
    <w:rsid w:val="00CA20FE"/>
    <w:rsid w:val="00CA2142"/>
    <w:rsid w:val="00CA2805"/>
    <w:rsid w:val="00CA297D"/>
    <w:rsid w:val="00CA2C44"/>
    <w:rsid w:val="00CA2EB6"/>
    <w:rsid w:val="00CA2F6C"/>
    <w:rsid w:val="00CA353B"/>
    <w:rsid w:val="00CA3590"/>
    <w:rsid w:val="00CA3663"/>
    <w:rsid w:val="00CA39FD"/>
    <w:rsid w:val="00CA3FEA"/>
    <w:rsid w:val="00CA4BDC"/>
    <w:rsid w:val="00CA4BE5"/>
    <w:rsid w:val="00CA5052"/>
    <w:rsid w:val="00CA56B6"/>
    <w:rsid w:val="00CA5BFB"/>
    <w:rsid w:val="00CA6421"/>
    <w:rsid w:val="00CA64C7"/>
    <w:rsid w:val="00CA72E4"/>
    <w:rsid w:val="00CA7613"/>
    <w:rsid w:val="00CA7C50"/>
    <w:rsid w:val="00CA7D48"/>
    <w:rsid w:val="00CA7F9B"/>
    <w:rsid w:val="00CB0621"/>
    <w:rsid w:val="00CB06F6"/>
    <w:rsid w:val="00CB0C73"/>
    <w:rsid w:val="00CB13DE"/>
    <w:rsid w:val="00CB1493"/>
    <w:rsid w:val="00CB26FF"/>
    <w:rsid w:val="00CB27BB"/>
    <w:rsid w:val="00CB27EA"/>
    <w:rsid w:val="00CB2976"/>
    <w:rsid w:val="00CB2C76"/>
    <w:rsid w:val="00CB2FAC"/>
    <w:rsid w:val="00CB3BC0"/>
    <w:rsid w:val="00CB534F"/>
    <w:rsid w:val="00CB5991"/>
    <w:rsid w:val="00CB5B5F"/>
    <w:rsid w:val="00CB6233"/>
    <w:rsid w:val="00CB674A"/>
    <w:rsid w:val="00CB7164"/>
    <w:rsid w:val="00CB7FDA"/>
    <w:rsid w:val="00CC02DC"/>
    <w:rsid w:val="00CC08C0"/>
    <w:rsid w:val="00CC0CE7"/>
    <w:rsid w:val="00CC1073"/>
    <w:rsid w:val="00CC268B"/>
    <w:rsid w:val="00CC26BD"/>
    <w:rsid w:val="00CC297C"/>
    <w:rsid w:val="00CC2EEC"/>
    <w:rsid w:val="00CC32A9"/>
    <w:rsid w:val="00CC37CB"/>
    <w:rsid w:val="00CC3A63"/>
    <w:rsid w:val="00CC6C7B"/>
    <w:rsid w:val="00CC6DA8"/>
    <w:rsid w:val="00CC6F1D"/>
    <w:rsid w:val="00CC745C"/>
    <w:rsid w:val="00CC7799"/>
    <w:rsid w:val="00CD03AE"/>
    <w:rsid w:val="00CD06C8"/>
    <w:rsid w:val="00CD09C9"/>
    <w:rsid w:val="00CD182B"/>
    <w:rsid w:val="00CD26F3"/>
    <w:rsid w:val="00CD286C"/>
    <w:rsid w:val="00CD2AC1"/>
    <w:rsid w:val="00CD3164"/>
    <w:rsid w:val="00CD34F6"/>
    <w:rsid w:val="00CD36D5"/>
    <w:rsid w:val="00CD485C"/>
    <w:rsid w:val="00CD501B"/>
    <w:rsid w:val="00CD5904"/>
    <w:rsid w:val="00CD5DCC"/>
    <w:rsid w:val="00CD607A"/>
    <w:rsid w:val="00CD6451"/>
    <w:rsid w:val="00CD651B"/>
    <w:rsid w:val="00CD706C"/>
    <w:rsid w:val="00CE00FE"/>
    <w:rsid w:val="00CE037B"/>
    <w:rsid w:val="00CE0EFB"/>
    <w:rsid w:val="00CE17F6"/>
    <w:rsid w:val="00CE2163"/>
    <w:rsid w:val="00CE226D"/>
    <w:rsid w:val="00CE24EC"/>
    <w:rsid w:val="00CE2526"/>
    <w:rsid w:val="00CE40B4"/>
    <w:rsid w:val="00CE41E3"/>
    <w:rsid w:val="00CE490F"/>
    <w:rsid w:val="00CE583A"/>
    <w:rsid w:val="00CE5980"/>
    <w:rsid w:val="00CE5C57"/>
    <w:rsid w:val="00CE64B8"/>
    <w:rsid w:val="00CE6AB2"/>
    <w:rsid w:val="00CE74D2"/>
    <w:rsid w:val="00CE7DDF"/>
    <w:rsid w:val="00CE7F3E"/>
    <w:rsid w:val="00CF1237"/>
    <w:rsid w:val="00CF1C6A"/>
    <w:rsid w:val="00CF1D2C"/>
    <w:rsid w:val="00CF332E"/>
    <w:rsid w:val="00CF357A"/>
    <w:rsid w:val="00CF3806"/>
    <w:rsid w:val="00CF4005"/>
    <w:rsid w:val="00CF4175"/>
    <w:rsid w:val="00CF4F26"/>
    <w:rsid w:val="00CF5405"/>
    <w:rsid w:val="00CF59C3"/>
    <w:rsid w:val="00CF6247"/>
    <w:rsid w:val="00CF6737"/>
    <w:rsid w:val="00CF6B76"/>
    <w:rsid w:val="00CF6BD0"/>
    <w:rsid w:val="00CF6DCE"/>
    <w:rsid w:val="00D002CB"/>
    <w:rsid w:val="00D005B8"/>
    <w:rsid w:val="00D00ED9"/>
    <w:rsid w:val="00D014DE"/>
    <w:rsid w:val="00D01581"/>
    <w:rsid w:val="00D018EF"/>
    <w:rsid w:val="00D01B60"/>
    <w:rsid w:val="00D01D59"/>
    <w:rsid w:val="00D02743"/>
    <w:rsid w:val="00D02DE0"/>
    <w:rsid w:val="00D0313F"/>
    <w:rsid w:val="00D03319"/>
    <w:rsid w:val="00D035DE"/>
    <w:rsid w:val="00D03AD1"/>
    <w:rsid w:val="00D05647"/>
    <w:rsid w:val="00D06237"/>
    <w:rsid w:val="00D06281"/>
    <w:rsid w:val="00D0723A"/>
    <w:rsid w:val="00D072FC"/>
    <w:rsid w:val="00D074EA"/>
    <w:rsid w:val="00D07A85"/>
    <w:rsid w:val="00D07AF2"/>
    <w:rsid w:val="00D10FAF"/>
    <w:rsid w:val="00D110D8"/>
    <w:rsid w:val="00D11514"/>
    <w:rsid w:val="00D1231C"/>
    <w:rsid w:val="00D1261A"/>
    <w:rsid w:val="00D13450"/>
    <w:rsid w:val="00D13527"/>
    <w:rsid w:val="00D14084"/>
    <w:rsid w:val="00D16EF9"/>
    <w:rsid w:val="00D16F28"/>
    <w:rsid w:val="00D173FA"/>
    <w:rsid w:val="00D175F7"/>
    <w:rsid w:val="00D17A8C"/>
    <w:rsid w:val="00D2009C"/>
    <w:rsid w:val="00D20500"/>
    <w:rsid w:val="00D209B3"/>
    <w:rsid w:val="00D20A9F"/>
    <w:rsid w:val="00D20B36"/>
    <w:rsid w:val="00D21D88"/>
    <w:rsid w:val="00D22330"/>
    <w:rsid w:val="00D22ED5"/>
    <w:rsid w:val="00D230FD"/>
    <w:rsid w:val="00D232C9"/>
    <w:rsid w:val="00D236E2"/>
    <w:rsid w:val="00D2373F"/>
    <w:rsid w:val="00D2384B"/>
    <w:rsid w:val="00D23B07"/>
    <w:rsid w:val="00D24549"/>
    <w:rsid w:val="00D2495A"/>
    <w:rsid w:val="00D24BDD"/>
    <w:rsid w:val="00D24D41"/>
    <w:rsid w:val="00D2521A"/>
    <w:rsid w:val="00D26484"/>
    <w:rsid w:val="00D271BA"/>
    <w:rsid w:val="00D27A6C"/>
    <w:rsid w:val="00D30292"/>
    <w:rsid w:val="00D30B4D"/>
    <w:rsid w:val="00D30C9B"/>
    <w:rsid w:val="00D31244"/>
    <w:rsid w:val="00D3139D"/>
    <w:rsid w:val="00D32930"/>
    <w:rsid w:val="00D32B55"/>
    <w:rsid w:val="00D33980"/>
    <w:rsid w:val="00D34198"/>
    <w:rsid w:val="00D34E15"/>
    <w:rsid w:val="00D35C1C"/>
    <w:rsid w:val="00D36509"/>
    <w:rsid w:val="00D36764"/>
    <w:rsid w:val="00D36B5D"/>
    <w:rsid w:val="00D37915"/>
    <w:rsid w:val="00D40444"/>
    <w:rsid w:val="00D4070B"/>
    <w:rsid w:val="00D40CC5"/>
    <w:rsid w:val="00D41035"/>
    <w:rsid w:val="00D413B8"/>
    <w:rsid w:val="00D42054"/>
    <w:rsid w:val="00D42A0F"/>
    <w:rsid w:val="00D42B6F"/>
    <w:rsid w:val="00D42C5C"/>
    <w:rsid w:val="00D42C65"/>
    <w:rsid w:val="00D42F53"/>
    <w:rsid w:val="00D43205"/>
    <w:rsid w:val="00D43D1F"/>
    <w:rsid w:val="00D4457B"/>
    <w:rsid w:val="00D44CC3"/>
    <w:rsid w:val="00D44D3E"/>
    <w:rsid w:val="00D44F61"/>
    <w:rsid w:val="00D458E7"/>
    <w:rsid w:val="00D45E9B"/>
    <w:rsid w:val="00D469A0"/>
    <w:rsid w:val="00D46B08"/>
    <w:rsid w:val="00D46E2F"/>
    <w:rsid w:val="00D46FD0"/>
    <w:rsid w:val="00D47046"/>
    <w:rsid w:val="00D479E7"/>
    <w:rsid w:val="00D505A6"/>
    <w:rsid w:val="00D50B0D"/>
    <w:rsid w:val="00D50D3A"/>
    <w:rsid w:val="00D51532"/>
    <w:rsid w:val="00D5159C"/>
    <w:rsid w:val="00D52868"/>
    <w:rsid w:val="00D52CA2"/>
    <w:rsid w:val="00D52E97"/>
    <w:rsid w:val="00D53305"/>
    <w:rsid w:val="00D53F08"/>
    <w:rsid w:val="00D546CA"/>
    <w:rsid w:val="00D54C5E"/>
    <w:rsid w:val="00D54FAE"/>
    <w:rsid w:val="00D5545C"/>
    <w:rsid w:val="00D56C40"/>
    <w:rsid w:val="00D57351"/>
    <w:rsid w:val="00D57678"/>
    <w:rsid w:val="00D57766"/>
    <w:rsid w:val="00D57B4A"/>
    <w:rsid w:val="00D60DDB"/>
    <w:rsid w:val="00D6122B"/>
    <w:rsid w:val="00D613E4"/>
    <w:rsid w:val="00D61C26"/>
    <w:rsid w:val="00D62438"/>
    <w:rsid w:val="00D637C1"/>
    <w:rsid w:val="00D63FE7"/>
    <w:rsid w:val="00D64172"/>
    <w:rsid w:val="00D64418"/>
    <w:rsid w:val="00D64460"/>
    <w:rsid w:val="00D64517"/>
    <w:rsid w:val="00D64778"/>
    <w:rsid w:val="00D64E1C"/>
    <w:rsid w:val="00D652CD"/>
    <w:rsid w:val="00D65669"/>
    <w:rsid w:val="00D668BA"/>
    <w:rsid w:val="00D66DE5"/>
    <w:rsid w:val="00D66DF7"/>
    <w:rsid w:val="00D66ED7"/>
    <w:rsid w:val="00D673CE"/>
    <w:rsid w:val="00D6770E"/>
    <w:rsid w:val="00D67E76"/>
    <w:rsid w:val="00D701A5"/>
    <w:rsid w:val="00D7023A"/>
    <w:rsid w:val="00D703F3"/>
    <w:rsid w:val="00D70DBE"/>
    <w:rsid w:val="00D70E88"/>
    <w:rsid w:val="00D71469"/>
    <w:rsid w:val="00D72338"/>
    <w:rsid w:val="00D72FEC"/>
    <w:rsid w:val="00D731E8"/>
    <w:rsid w:val="00D73390"/>
    <w:rsid w:val="00D74EF5"/>
    <w:rsid w:val="00D74FCE"/>
    <w:rsid w:val="00D762D2"/>
    <w:rsid w:val="00D77923"/>
    <w:rsid w:val="00D77AC3"/>
    <w:rsid w:val="00D80CB3"/>
    <w:rsid w:val="00D80D8E"/>
    <w:rsid w:val="00D81E7F"/>
    <w:rsid w:val="00D82333"/>
    <w:rsid w:val="00D82DC1"/>
    <w:rsid w:val="00D839C3"/>
    <w:rsid w:val="00D83CDF"/>
    <w:rsid w:val="00D844D8"/>
    <w:rsid w:val="00D84555"/>
    <w:rsid w:val="00D84918"/>
    <w:rsid w:val="00D850E7"/>
    <w:rsid w:val="00D853CE"/>
    <w:rsid w:val="00D85853"/>
    <w:rsid w:val="00D85E2F"/>
    <w:rsid w:val="00D87AC5"/>
    <w:rsid w:val="00D91150"/>
    <w:rsid w:val="00D9158C"/>
    <w:rsid w:val="00D922CC"/>
    <w:rsid w:val="00D9249D"/>
    <w:rsid w:val="00D9269B"/>
    <w:rsid w:val="00D929AB"/>
    <w:rsid w:val="00D92A0F"/>
    <w:rsid w:val="00D92BBF"/>
    <w:rsid w:val="00D933E2"/>
    <w:rsid w:val="00D94810"/>
    <w:rsid w:val="00D949D5"/>
    <w:rsid w:val="00D95848"/>
    <w:rsid w:val="00D95C77"/>
    <w:rsid w:val="00D95E7B"/>
    <w:rsid w:val="00D960CF"/>
    <w:rsid w:val="00D96330"/>
    <w:rsid w:val="00D964C6"/>
    <w:rsid w:val="00D9653A"/>
    <w:rsid w:val="00D968D9"/>
    <w:rsid w:val="00D97821"/>
    <w:rsid w:val="00DA0E4B"/>
    <w:rsid w:val="00DA0E8C"/>
    <w:rsid w:val="00DA1202"/>
    <w:rsid w:val="00DA1712"/>
    <w:rsid w:val="00DA1A2B"/>
    <w:rsid w:val="00DA1A92"/>
    <w:rsid w:val="00DA1AC1"/>
    <w:rsid w:val="00DA1D8A"/>
    <w:rsid w:val="00DA1E64"/>
    <w:rsid w:val="00DA2601"/>
    <w:rsid w:val="00DA3323"/>
    <w:rsid w:val="00DA3407"/>
    <w:rsid w:val="00DA366D"/>
    <w:rsid w:val="00DA374D"/>
    <w:rsid w:val="00DA3F03"/>
    <w:rsid w:val="00DA4075"/>
    <w:rsid w:val="00DA4E53"/>
    <w:rsid w:val="00DA5755"/>
    <w:rsid w:val="00DA669A"/>
    <w:rsid w:val="00DA66CF"/>
    <w:rsid w:val="00DA6E30"/>
    <w:rsid w:val="00DA7022"/>
    <w:rsid w:val="00DA73CE"/>
    <w:rsid w:val="00DA77DC"/>
    <w:rsid w:val="00DA7A07"/>
    <w:rsid w:val="00DB04FE"/>
    <w:rsid w:val="00DB0812"/>
    <w:rsid w:val="00DB1A70"/>
    <w:rsid w:val="00DB2BB4"/>
    <w:rsid w:val="00DB3021"/>
    <w:rsid w:val="00DB3187"/>
    <w:rsid w:val="00DB31F2"/>
    <w:rsid w:val="00DB32D0"/>
    <w:rsid w:val="00DB3C77"/>
    <w:rsid w:val="00DB3D56"/>
    <w:rsid w:val="00DB3EFC"/>
    <w:rsid w:val="00DB45F6"/>
    <w:rsid w:val="00DB474C"/>
    <w:rsid w:val="00DB5284"/>
    <w:rsid w:val="00DB5700"/>
    <w:rsid w:val="00DB575F"/>
    <w:rsid w:val="00DB5762"/>
    <w:rsid w:val="00DB5AAB"/>
    <w:rsid w:val="00DB5E4A"/>
    <w:rsid w:val="00DB6328"/>
    <w:rsid w:val="00DB6EE0"/>
    <w:rsid w:val="00DB72B2"/>
    <w:rsid w:val="00DB7BB2"/>
    <w:rsid w:val="00DB7DFB"/>
    <w:rsid w:val="00DC1ED8"/>
    <w:rsid w:val="00DC25F7"/>
    <w:rsid w:val="00DC2DBC"/>
    <w:rsid w:val="00DC2F07"/>
    <w:rsid w:val="00DC2F18"/>
    <w:rsid w:val="00DC3300"/>
    <w:rsid w:val="00DC3D1A"/>
    <w:rsid w:val="00DC412B"/>
    <w:rsid w:val="00DC473B"/>
    <w:rsid w:val="00DC56BA"/>
    <w:rsid w:val="00DC6FF1"/>
    <w:rsid w:val="00DD011C"/>
    <w:rsid w:val="00DD1314"/>
    <w:rsid w:val="00DD2098"/>
    <w:rsid w:val="00DD212C"/>
    <w:rsid w:val="00DD2362"/>
    <w:rsid w:val="00DD3B33"/>
    <w:rsid w:val="00DD3DB9"/>
    <w:rsid w:val="00DD482D"/>
    <w:rsid w:val="00DD4C62"/>
    <w:rsid w:val="00DD4E3B"/>
    <w:rsid w:val="00DD540A"/>
    <w:rsid w:val="00DD711C"/>
    <w:rsid w:val="00DD7519"/>
    <w:rsid w:val="00DD7A17"/>
    <w:rsid w:val="00DD7E75"/>
    <w:rsid w:val="00DE077A"/>
    <w:rsid w:val="00DE08BA"/>
    <w:rsid w:val="00DE091D"/>
    <w:rsid w:val="00DE13C2"/>
    <w:rsid w:val="00DE1F85"/>
    <w:rsid w:val="00DE21D0"/>
    <w:rsid w:val="00DE25D3"/>
    <w:rsid w:val="00DE2D29"/>
    <w:rsid w:val="00DE3810"/>
    <w:rsid w:val="00DE3C2C"/>
    <w:rsid w:val="00DE3DAD"/>
    <w:rsid w:val="00DE3E21"/>
    <w:rsid w:val="00DE3E4D"/>
    <w:rsid w:val="00DE50DC"/>
    <w:rsid w:val="00DE62C9"/>
    <w:rsid w:val="00DE73BB"/>
    <w:rsid w:val="00DE7433"/>
    <w:rsid w:val="00DE7442"/>
    <w:rsid w:val="00DE7944"/>
    <w:rsid w:val="00DE7E4B"/>
    <w:rsid w:val="00DE7FCE"/>
    <w:rsid w:val="00DF03C8"/>
    <w:rsid w:val="00DF06DC"/>
    <w:rsid w:val="00DF16C8"/>
    <w:rsid w:val="00DF1B3C"/>
    <w:rsid w:val="00DF2589"/>
    <w:rsid w:val="00DF3DEC"/>
    <w:rsid w:val="00DF46AC"/>
    <w:rsid w:val="00DF6069"/>
    <w:rsid w:val="00DF6566"/>
    <w:rsid w:val="00DF7511"/>
    <w:rsid w:val="00DF7760"/>
    <w:rsid w:val="00DF77BB"/>
    <w:rsid w:val="00E00D75"/>
    <w:rsid w:val="00E011C2"/>
    <w:rsid w:val="00E014F0"/>
    <w:rsid w:val="00E01C04"/>
    <w:rsid w:val="00E01C86"/>
    <w:rsid w:val="00E01D79"/>
    <w:rsid w:val="00E020C6"/>
    <w:rsid w:val="00E020DD"/>
    <w:rsid w:val="00E023A2"/>
    <w:rsid w:val="00E024F6"/>
    <w:rsid w:val="00E0294B"/>
    <w:rsid w:val="00E02C2C"/>
    <w:rsid w:val="00E02FDB"/>
    <w:rsid w:val="00E03BBA"/>
    <w:rsid w:val="00E04028"/>
    <w:rsid w:val="00E05005"/>
    <w:rsid w:val="00E055A2"/>
    <w:rsid w:val="00E05D46"/>
    <w:rsid w:val="00E060FF"/>
    <w:rsid w:val="00E0640B"/>
    <w:rsid w:val="00E06F93"/>
    <w:rsid w:val="00E07395"/>
    <w:rsid w:val="00E1094C"/>
    <w:rsid w:val="00E11686"/>
    <w:rsid w:val="00E117AE"/>
    <w:rsid w:val="00E12B58"/>
    <w:rsid w:val="00E130D9"/>
    <w:rsid w:val="00E14882"/>
    <w:rsid w:val="00E14C4E"/>
    <w:rsid w:val="00E15174"/>
    <w:rsid w:val="00E15B85"/>
    <w:rsid w:val="00E15CFC"/>
    <w:rsid w:val="00E15DF5"/>
    <w:rsid w:val="00E15ECA"/>
    <w:rsid w:val="00E15EE0"/>
    <w:rsid w:val="00E15F56"/>
    <w:rsid w:val="00E16224"/>
    <w:rsid w:val="00E163CF"/>
    <w:rsid w:val="00E1642F"/>
    <w:rsid w:val="00E164E6"/>
    <w:rsid w:val="00E16B65"/>
    <w:rsid w:val="00E16CA2"/>
    <w:rsid w:val="00E17A20"/>
    <w:rsid w:val="00E201A1"/>
    <w:rsid w:val="00E21B12"/>
    <w:rsid w:val="00E231E1"/>
    <w:rsid w:val="00E235BE"/>
    <w:rsid w:val="00E23991"/>
    <w:rsid w:val="00E24BE1"/>
    <w:rsid w:val="00E24CE7"/>
    <w:rsid w:val="00E24D5B"/>
    <w:rsid w:val="00E2533F"/>
    <w:rsid w:val="00E25832"/>
    <w:rsid w:val="00E25A03"/>
    <w:rsid w:val="00E2639F"/>
    <w:rsid w:val="00E27461"/>
    <w:rsid w:val="00E2797E"/>
    <w:rsid w:val="00E27B48"/>
    <w:rsid w:val="00E3020C"/>
    <w:rsid w:val="00E306B1"/>
    <w:rsid w:val="00E31EE1"/>
    <w:rsid w:val="00E32089"/>
    <w:rsid w:val="00E3254C"/>
    <w:rsid w:val="00E32616"/>
    <w:rsid w:val="00E3421C"/>
    <w:rsid w:val="00E34346"/>
    <w:rsid w:val="00E343BF"/>
    <w:rsid w:val="00E34D2E"/>
    <w:rsid w:val="00E3662F"/>
    <w:rsid w:val="00E371F7"/>
    <w:rsid w:val="00E374B7"/>
    <w:rsid w:val="00E37605"/>
    <w:rsid w:val="00E37EF6"/>
    <w:rsid w:val="00E37F99"/>
    <w:rsid w:val="00E40098"/>
    <w:rsid w:val="00E404F4"/>
    <w:rsid w:val="00E40C88"/>
    <w:rsid w:val="00E41156"/>
    <w:rsid w:val="00E411FC"/>
    <w:rsid w:val="00E4150D"/>
    <w:rsid w:val="00E41CCE"/>
    <w:rsid w:val="00E41DA6"/>
    <w:rsid w:val="00E42358"/>
    <w:rsid w:val="00E42BDE"/>
    <w:rsid w:val="00E432EE"/>
    <w:rsid w:val="00E43AD3"/>
    <w:rsid w:val="00E44274"/>
    <w:rsid w:val="00E447B5"/>
    <w:rsid w:val="00E44A17"/>
    <w:rsid w:val="00E44D51"/>
    <w:rsid w:val="00E458E1"/>
    <w:rsid w:val="00E46E7E"/>
    <w:rsid w:val="00E50292"/>
    <w:rsid w:val="00E51BD5"/>
    <w:rsid w:val="00E52413"/>
    <w:rsid w:val="00E52C2D"/>
    <w:rsid w:val="00E52EFB"/>
    <w:rsid w:val="00E52F1D"/>
    <w:rsid w:val="00E534D4"/>
    <w:rsid w:val="00E54058"/>
    <w:rsid w:val="00E54B21"/>
    <w:rsid w:val="00E54D9C"/>
    <w:rsid w:val="00E55485"/>
    <w:rsid w:val="00E55901"/>
    <w:rsid w:val="00E5591E"/>
    <w:rsid w:val="00E56114"/>
    <w:rsid w:val="00E564B3"/>
    <w:rsid w:val="00E57C84"/>
    <w:rsid w:val="00E57D4F"/>
    <w:rsid w:val="00E6022B"/>
    <w:rsid w:val="00E6051B"/>
    <w:rsid w:val="00E61990"/>
    <w:rsid w:val="00E61F08"/>
    <w:rsid w:val="00E62057"/>
    <w:rsid w:val="00E6223E"/>
    <w:rsid w:val="00E6244A"/>
    <w:rsid w:val="00E6307C"/>
    <w:rsid w:val="00E649DB"/>
    <w:rsid w:val="00E64A40"/>
    <w:rsid w:val="00E64C44"/>
    <w:rsid w:val="00E64C67"/>
    <w:rsid w:val="00E65B2E"/>
    <w:rsid w:val="00E66C32"/>
    <w:rsid w:val="00E6719C"/>
    <w:rsid w:val="00E671B9"/>
    <w:rsid w:val="00E67586"/>
    <w:rsid w:val="00E67B64"/>
    <w:rsid w:val="00E67BDD"/>
    <w:rsid w:val="00E70368"/>
    <w:rsid w:val="00E713CB"/>
    <w:rsid w:val="00E716A8"/>
    <w:rsid w:val="00E71FA1"/>
    <w:rsid w:val="00E7384E"/>
    <w:rsid w:val="00E743A5"/>
    <w:rsid w:val="00E743A9"/>
    <w:rsid w:val="00E74539"/>
    <w:rsid w:val="00E74741"/>
    <w:rsid w:val="00E748A3"/>
    <w:rsid w:val="00E7628F"/>
    <w:rsid w:val="00E76497"/>
    <w:rsid w:val="00E76A7F"/>
    <w:rsid w:val="00E77D34"/>
    <w:rsid w:val="00E80795"/>
    <w:rsid w:val="00E82C28"/>
    <w:rsid w:val="00E82FDC"/>
    <w:rsid w:val="00E84943"/>
    <w:rsid w:val="00E85670"/>
    <w:rsid w:val="00E87057"/>
    <w:rsid w:val="00E87A31"/>
    <w:rsid w:val="00E87B98"/>
    <w:rsid w:val="00E90824"/>
    <w:rsid w:val="00E90858"/>
    <w:rsid w:val="00E90E28"/>
    <w:rsid w:val="00E9100D"/>
    <w:rsid w:val="00E911DA"/>
    <w:rsid w:val="00E914F8"/>
    <w:rsid w:val="00E91873"/>
    <w:rsid w:val="00E91B00"/>
    <w:rsid w:val="00E91B1F"/>
    <w:rsid w:val="00E92C3A"/>
    <w:rsid w:val="00E93355"/>
    <w:rsid w:val="00E935C4"/>
    <w:rsid w:val="00E936D8"/>
    <w:rsid w:val="00E9386A"/>
    <w:rsid w:val="00E93D0E"/>
    <w:rsid w:val="00E942C6"/>
    <w:rsid w:val="00E943ED"/>
    <w:rsid w:val="00E9489B"/>
    <w:rsid w:val="00E94A12"/>
    <w:rsid w:val="00E94B77"/>
    <w:rsid w:val="00E94D95"/>
    <w:rsid w:val="00E958CD"/>
    <w:rsid w:val="00E95ABF"/>
    <w:rsid w:val="00E9694C"/>
    <w:rsid w:val="00E96F14"/>
    <w:rsid w:val="00E97763"/>
    <w:rsid w:val="00EA00A8"/>
    <w:rsid w:val="00EA0706"/>
    <w:rsid w:val="00EA0C27"/>
    <w:rsid w:val="00EA0E53"/>
    <w:rsid w:val="00EA2106"/>
    <w:rsid w:val="00EA29B6"/>
    <w:rsid w:val="00EA2A18"/>
    <w:rsid w:val="00EA2DFD"/>
    <w:rsid w:val="00EA32EC"/>
    <w:rsid w:val="00EA334E"/>
    <w:rsid w:val="00EA3A02"/>
    <w:rsid w:val="00EA3A5F"/>
    <w:rsid w:val="00EA3C8D"/>
    <w:rsid w:val="00EA4164"/>
    <w:rsid w:val="00EA43E0"/>
    <w:rsid w:val="00EA46CE"/>
    <w:rsid w:val="00EA50A7"/>
    <w:rsid w:val="00EA5237"/>
    <w:rsid w:val="00EA53F4"/>
    <w:rsid w:val="00EA62C0"/>
    <w:rsid w:val="00EA6307"/>
    <w:rsid w:val="00EA641C"/>
    <w:rsid w:val="00EA7551"/>
    <w:rsid w:val="00EA764D"/>
    <w:rsid w:val="00EA784E"/>
    <w:rsid w:val="00EB0054"/>
    <w:rsid w:val="00EB054E"/>
    <w:rsid w:val="00EB082C"/>
    <w:rsid w:val="00EB0846"/>
    <w:rsid w:val="00EB0E27"/>
    <w:rsid w:val="00EB0F9E"/>
    <w:rsid w:val="00EB1198"/>
    <w:rsid w:val="00EB1634"/>
    <w:rsid w:val="00EB1A22"/>
    <w:rsid w:val="00EB2539"/>
    <w:rsid w:val="00EB25C3"/>
    <w:rsid w:val="00EB3CA8"/>
    <w:rsid w:val="00EB3F0B"/>
    <w:rsid w:val="00EB49AA"/>
    <w:rsid w:val="00EB4D34"/>
    <w:rsid w:val="00EB5DB5"/>
    <w:rsid w:val="00EB6E8F"/>
    <w:rsid w:val="00EB718A"/>
    <w:rsid w:val="00EB735F"/>
    <w:rsid w:val="00EB74CB"/>
    <w:rsid w:val="00EB77A0"/>
    <w:rsid w:val="00EB78C1"/>
    <w:rsid w:val="00EC08A6"/>
    <w:rsid w:val="00EC0F4C"/>
    <w:rsid w:val="00EC0FD3"/>
    <w:rsid w:val="00EC195C"/>
    <w:rsid w:val="00EC1E0D"/>
    <w:rsid w:val="00EC1E27"/>
    <w:rsid w:val="00EC3031"/>
    <w:rsid w:val="00EC3181"/>
    <w:rsid w:val="00EC3599"/>
    <w:rsid w:val="00EC3710"/>
    <w:rsid w:val="00EC3CF5"/>
    <w:rsid w:val="00EC3D5A"/>
    <w:rsid w:val="00EC4BC5"/>
    <w:rsid w:val="00EC5D0B"/>
    <w:rsid w:val="00EC6092"/>
    <w:rsid w:val="00EC6311"/>
    <w:rsid w:val="00EC666C"/>
    <w:rsid w:val="00EC6BDD"/>
    <w:rsid w:val="00EC74C5"/>
    <w:rsid w:val="00ED0AC1"/>
    <w:rsid w:val="00ED10F6"/>
    <w:rsid w:val="00ED17D3"/>
    <w:rsid w:val="00ED18EA"/>
    <w:rsid w:val="00ED2659"/>
    <w:rsid w:val="00ED38ED"/>
    <w:rsid w:val="00ED3E9E"/>
    <w:rsid w:val="00ED4A85"/>
    <w:rsid w:val="00ED58C3"/>
    <w:rsid w:val="00ED5CE7"/>
    <w:rsid w:val="00ED70EB"/>
    <w:rsid w:val="00ED7BB1"/>
    <w:rsid w:val="00EE0DCE"/>
    <w:rsid w:val="00EE17D2"/>
    <w:rsid w:val="00EE193D"/>
    <w:rsid w:val="00EE1A01"/>
    <w:rsid w:val="00EE1A5D"/>
    <w:rsid w:val="00EE1D87"/>
    <w:rsid w:val="00EE22CE"/>
    <w:rsid w:val="00EE23FE"/>
    <w:rsid w:val="00EE2695"/>
    <w:rsid w:val="00EE27BB"/>
    <w:rsid w:val="00EE2895"/>
    <w:rsid w:val="00EE3929"/>
    <w:rsid w:val="00EE3A73"/>
    <w:rsid w:val="00EE3ED0"/>
    <w:rsid w:val="00EE47CC"/>
    <w:rsid w:val="00EE4959"/>
    <w:rsid w:val="00EE4E92"/>
    <w:rsid w:val="00EE57BB"/>
    <w:rsid w:val="00EE6118"/>
    <w:rsid w:val="00EE6900"/>
    <w:rsid w:val="00EF02B1"/>
    <w:rsid w:val="00EF033D"/>
    <w:rsid w:val="00EF10BE"/>
    <w:rsid w:val="00EF12D4"/>
    <w:rsid w:val="00EF1372"/>
    <w:rsid w:val="00EF164B"/>
    <w:rsid w:val="00EF2552"/>
    <w:rsid w:val="00EF3711"/>
    <w:rsid w:val="00EF3C50"/>
    <w:rsid w:val="00EF3F2A"/>
    <w:rsid w:val="00EF40CA"/>
    <w:rsid w:val="00EF41BE"/>
    <w:rsid w:val="00EF4706"/>
    <w:rsid w:val="00EF53C8"/>
    <w:rsid w:val="00EF56FD"/>
    <w:rsid w:val="00EF5BF5"/>
    <w:rsid w:val="00EF5CE7"/>
    <w:rsid w:val="00EF66D1"/>
    <w:rsid w:val="00EF74A3"/>
    <w:rsid w:val="00EF76B0"/>
    <w:rsid w:val="00EF7A60"/>
    <w:rsid w:val="00EF7D2F"/>
    <w:rsid w:val="00F00213"/>
    <w:rsid w:val="00F0033C"/>
    <w:rsid w:val="00F00CF1"/>
    <w:rsid w:val="00F014B1"/>
    <w:rsid w:val="00F019BB"/>
    <w:rsid w:val="00F020C8"/>
    <w:rsid w:val="00F03316"/>
    <w:rsid w:val="00F03338"/>
    <w:rsid w:val="00F034F1"/>
    <w:rsid w:val="00F03FC2"/>
    <w:rsid w:val="00F042A6"/>
    <w:rsid w:val="00F04989"/>
    <w:rsid w:val="00F04CEE"/>
    <w:rsid w:val="00F04F8C"/>
    <w:rsid w:val="00F06570"/>
    <w:rsid w:val="00F06821"/>
    <w:rsid w:val="00F070C2"/>
    <w:rsid w:val="00F07646"/>
    <w:rsid w:val="00F07A79"/>
    <w:rsid w:val="00F07BAB"/>
    <w:rsid w:val="00F07D00"/>
    <w:rsid w:val="00F07E6C"/>
    <w:rsid w:val="00F1120E"/>
    <w:rsid w:val="00F11F54"/>
    <w:rsid w:val="00F1242C"/>
    <w:rsid w:val="00F12875"/>
    <w:rsid w:val="00F13577"/>
    <w:rsid w:val="00F139C3"/>
    <w:rsid w:val="00F13A43"/>
    <w:rsid w:val="00F13CF7"/>
    <w:rsid w:val="00F140BE"/>
    <w:rsid w:val="00F147A0"/>
    <w:rsid w:val="00F1484F"/>
    <w:rsid w:val="00F15181"/>
    <w:rsid w:val="00F1518A"/>
    <w:rsid w:val="00F1567D"/>
    <w:rsid w:val="00F15F15"/>
    <w:rsid w:val="00F1629E"/>
    <w:rsid w:val="00F1629F"/>
    <w:rsid w:val="00F16739"/>
    <w:rsid w:val="00F1698F"/>
    <w:rsid w:val="00F170AB"/>
    <w:rsid w:val="00F173AE"/>
    <w:rsid w:val="00F17B06"/>
    <w:rsid w:val="00F17E15"/>
    <w:rsid w:val="00F17F09"/>
    <w:rsid w:val="00F200A3"/>
    <w:rsid w:val="00F206EB"/>
    <w:rsid w:val="00F20730"/>
    <w:rsid w:val="00F211C8"/>
    <w:rsid w:val="00F2226D"/>
    <w:rsid w:val="00F236FC"/>
    <w:rsid w:val="00F23F57"/>
    <w:rsid w:val="00F24525"/>
    <w:rsid w:val="00F24C4A"/>
    <w:rsid w:val="00F24EA1"/>
    <w:rsid w:val="00F25686"/>
    <w:rsid w:val="00F259BC"/>
    <w:rsid w:val="00F2717D"/>
    <w:rsid w:val="00F27477"/>
    <w:rsid w:val="00F27F24"/>
    <w:rsid w:val="00F27F97"/>
    <w:rsid w:val="00F30200"/>
    <w:rsid w:val="00F30723"/>
    <w:rsid w:val="00F30872"/>
    <w:rsid w:val="00F3091F"/>
    <w:rsid w:val="00F313BB"/>
    <w:rsid w:val="00F31664"/>
    <w:rsid w:val="00F339E8"/>
    <w:rsid w:val="00F33E35"/>
    <w:rsid w:val="00F34B2A"/>
    <w:rsid w:val="00F356A4"/>
    <w:rsid w:val="00F35D1B"/>
    <w:rsid w:val="00F36660"/>
    <w:rsid w:val="00F37892"/>
    <w:rsid w:val="00F4006A"/>
    <w:rsid w:val="00F404E0"/>
    <w:rsid w:val="00F41765"/>
    <w:rsid w:val="00F417D0"/>
    <w:rsid w:val="00F41F5D"/>
    <w:rsid w:val="00F424AC"/>
    <w:rsid w:val="00F437E7"/>
    <w:rsid w:val="00F43827"/>
    <w:rsid w:val="00F438A3"/>
    <w:rsid w:val="00F44636"/>
    <w:rsid w:val="00F44A54"/>
    <w:rsid w:val="00F450DE"/>
    <w:rsid w:val="00F451A5"/>
    <w:rsid w:val="00F454DE"/>
    <w:rsid w:val="00F4576F"/>
    <w:rsid w:val="00F4589F"/>
    <w:rsid w:val="00F469A5"/>
    <w:rsid w:val="00F46C63"/>
    <w:rsid w:val="00F46DE4"/>
    <w:rsid w:val="00F47300"/>
    <w:rsid w:val="00F50324"/>
    <w:rsid w:val="00F50370"/>
    <w:rsid w:val="00F5117E"/>
    <w:rsid w:val="00F5218C"/>
    <w:rsid w:val="00F52A83"/>
    <w:rsid w:val="00F52C33"/>
    <w:rsid w:val="00F52C50"/>
    <w:rsid w:val="00F53298"/>
    <w:rsid w:val="00F55235"/>
    <w:rsid w:val="00F5551F"/>
    <w:rsid w:val="00F55784"/>
    <w:rsid w:val="00F55C5B"/>
    <w:rsid w:val="00F561E4"/>
    <w:rsid w:val="00F56822"/>
    <w:rsid w:val="00F56C94"/>
    <w:rsid w:val="00F5735E"/>
    <w:rsid w:val="00F60094"/>
    <w:rsid w:val="00F606E7"/>
    <w:rsid w:val="00F60882"/>
    <w:rsid w:val="00F60AF5"/>
    <w:rsid w:val="00F613C8"/>
    <w:rsid w:val="00F61D6E"/>
    <w:rsid w:val="00F62E5D"/>
    <w:rsid w:val="00F6351A"/>
    <w:rsid w:val="00F649BE"/>
    <w:rsid w:val="00F64C53"/>
    <w:rsid w:val="00F661C4"/>
    <w:rsid w:val="00F66491"/>
    <w:rsid w:val="00F670DA"/>
    <w:rsid w:val="00F6711A"/>
    <w:rsid w:val="00F672AE"/>
    <w:rsid w:val="00F67BBF"/>
    <w:rsid w:val="00F67D40"/>
    <w:rsid w:val="00F706BF"/>
    <w:rsid w:val="00F710B1"/>
    <w:rsid w:val="00F716B5"/>
    <w:rsid w:val="00F71B06"/>
    <w:rsid w:val="00F71FC5"/>
    <w:rsid w:val="00F732E0"/>
    <w:rsid w:val="00F7341E"/>
    <w:rsid w:val="00F73D41"/>
    <w:rsid w:val="00F743D1"/>
    <w:rsid w:val="00F74417"/>
    <w:rsid w:val="00F74AC8"/>
    <w:rsid w:val="00F74C71"/>
    <w:rsid w:val="00F74E37"/>
    <w:rsid w:val="00F7516A"/>
    <w:rsid w:val="00F75445"/>
    <w:rsid w:val="00F756C4"/>
    <w:rsid w:val="00F76207"/>
    <w:rsid w:val="00F76C70"/>
    <w:rsid w:val="00F773CF"/>
    <w:rsid w:val="00F778A8"/>
    <w:rsid w:val="00F7792B"/>
    <w:rsid w:val="00F77B58"/>
    <w:rsid w:val="00F82561"/>
    <w:rsid w:val="00F84219"/>
    <w:rsid w:val="00F84633"/>
    <w:rsid w:val="00F84A7E"/>
    <w:rsid w:val="00F84B92"/>
    <w:rsid w:val="00F8604A"/>
    <w:rsid w:val="00F86BFD"/>
    <w:rsid w:val="00F87597"/>
    <w:rsid w:val="00F87907"/>
    <w:rsid w:val="00F905BB"/>
    <w:rsid w:val="00F91112"/>
    <w:rsid w:val="00F916DA"/>
    <w:rsid w:val="00F91BD7"/>
    <w:rsid w:val="00F91F70"/>
    <w:rsid w:val="00F92E8C"/>
    <w:rsid w:val="00F95A4E"/>
    <w:rsid w:val="00F97077"/>
    <w:rsid w:val="00F971F3"/>
    <w:rsid w:val="00FA0C48"/>
    <w:rsid w:val="00FA0DB2"/>
    <w:rsid w:val="00FA14F8"/>
    <w:rsid w:val="00FA316A"/>
    <w:rsid w:val="00FA512A"/>
    <w:rsid w:val="00FA516B"/>
    <w:rsid w:val="00FA5C49"/>
    <w:rsid w:val="00FA5FE8"/>
    <w:rsid w:val="00FA6051"/>
    <w:rsid w:val="00FA60D9"/>
    <w:rsid w:val="00FA6FB6"/>
    <w:rsid w:val="00FA747B"/>
    <w:rsid w:val="00FA7573"/>
    <w:rsid w:val="00FA7675"/>
    <w:rsid w:val="00FA7C38"/>
    <w:rsid w:val="00FB042A"/>
    <w:rsid w:val="00FB0A40"/>
    <w:rsid w:val="00FB0C35"/>
    <w:rsid w:val="00FB1411"/>
    <w:rsid w:val="00FB14DE"/>
    <w:rsid w:val="00FB200B"/>
    <w:rsid w:val="00FB211F"/>
    <w:rsid w:val="00FB2EAE"/>
    <w:rsid w:val="00FB2EC0"/>
    <w:rsid w:val="00FB322C"/>
    <w:rsid w:val="00FB3EBA"/>
    <w:rsid w:val="00FB440E"/>
    <w:rsid w:val="00FB55B9"/>
    <w:rsid w:val="00FB5B09"/>
    <w:rsid w:val="00FB5EAA"/>
    <w:rsid w:val="00FB6667"/>
    <w:rsid w:val="00FB713E"/>
    <w:rsid w:val="00FB7637"/>
    <w:rsid w:val="00FC088F"/>
    <w:rsid w:val="00FC0CC1"/>
    <w:rsid w:val="00FC0CEB"/>
    <w:rsid w:val="00FC12F8"/>
    <w:rsid w:val="00FC156E"/>
    <w:rsid w:val="00FC1D19"/>
    <w:rsid w:val="00FC283C"/>
    <w:rsid w:val="00FC315B"/>
    <w:rsid w:val="00FC362F"/>
    <w:rsid w:val="00FC36F7"/>
    <w:rsid w:val="00FC4120"/>
    <w:rsid w:val="00FC4262"/>
    <w:rsid w:val="00FC4BFB"/>
    <w:rsid w:val="00FC4E14"/>
    <w:rsid w:val="00FC59B2"/>
    <w:rsid w:val="00FC5E7F"/>
    <w:rsid w:val="00FC62DF"/>
    <w:rsid w:val="00FC6681"/>
    <w:rsid w:val="00FC6E3D"/>
    <w:rsid w:val="00FC73FE"/>
    <w:rsid w:val="00FC79C6"/>
    <w:rsid w:val="00FD0B2D"/>
    <w:rsid w:val="00FD0DE0"/>
    <w:rsid w:val="00FD0ED9"/>
    <w:rsid w:val="00FD12C5"/>
    <w:rsid w:val="00FD1C34"/>
    <w:rsid w:val="00FD3E80"/>
    <w:rsid w:val="00FD3EE1"/>
    <w:rsid w:val="00FD44F7"/>
    <w:rsid w:val="00FD499C"/>
    <w:rsid w:val="00FD4E98"/>
    <w:rsid w:val="00FD5E69"/>
    <w:rsid w:val="00FD5EE8"/>
    <w:rsid w:val="00FE0095"/>
    <w:rsid w:val="00FE0F9F"/>
    <w:rsid w:val="00FE1351"/>
    <w:rsid w:val="00FE1FDC"/>
    <w:rsid w:val="00FE2044"/>
    <w:rsid w:val="00FE2084"/>
    <w:rsid w:val="00FE2203"/>
    <w:rsid w:val="00FE24B5"/>
    <w:rsid w:val="00FE2708"/>
    <w:rsid w:val="00FE28D6"/>
    <w:rsid w:val="00FE341F"/>
    <w:rsid w:val="00FE3717"/>
    <w:rsid w:val="00FE3787"/>
    <w:rsid w:val="00FE3DAF"/>
    <w:rsid w:val="00FE3EA0"/>
    <w:rsid w:val="00FE4591"/>
    <w:rsid w:val="00FE483D"/>
    <w:rsid w:val="00FE4A73"/>
    <w:rsid w:val="00FE52EE"/>
    <w:rsid w:val="00FE54CE"/>
    <w:rsid w:val="00FE5784"/>
    <w:rsid w:val="00FE5D71"/>
    <w:rsid w:val="00FE5DAA"/>
    <w:rsid w:val="00FE605B"/>
    <w:rsid w:val="00FE6061"/>
    <w:rsid w:val="00FE672C"/>
    <w:rsid w:val="00FE70AC"/>
    <w:rsid w:val="00FE727A"/>
    <w:rsid w:val="00FE738C"/>
    <w:rsid w:val="00FE767F"/>
    <w:rsid w:val="00FE7B47"/>
    <w:rsid w:val="00FE7F65"/>
    <w:rsid w:val="00FF1280"/>
    <w:rsid w:val="00FF16D7"/>
    <w:rsid w:val="00FF17E2"/>
    <w:rsid w:val="00FF197F"/>
    <w:rsid w:val="00FF1EC3"/>
    <w:rsid w:val="00FF2A3D"/>
    <w:rsid w:val="00FF2C6B"/>
    <w:rsid w:val="00FF2FE7"/>
    <w:rsid w:val="00FF46E9"/>
    <w:rsid w:val="00FF4B60"/>
    <w:rsid w:val="00FF598C"/>
    <w:rsid w:val="00FF628E"/>
    <w:rsid w:val="00FF6377"/>
    <w:rsid w:val="00FF6BCB"/>
    <w:rsid w:val="00FF6C08"/>
    <w:rsid w:val="00FF722C"/>
    <w:rsid w:val="00FF7B6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9FBB7EB-531C-4129-9AC6-670ED7C04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header" w:uiPriority="99"/>
    <w:lsdException w:name="footer" w:uiPriority="99"/>
    <w:lsdException w:name="caption" w:semiHidden="1" w:uiPriority="35" w:unhideWhenUsed="1" w:qFormat="1"/>
    <w:lsdException w:name="footnote reference" w:uiPriority="99" w:qFormat="1"/>
    <w:lsdException w:name="Title" w:qFormat="1"/>
    <w:lsdException w:name="Subtitle" w:qFormat="1"/>
    <w:lsdException w:name="Hyperlink" w:uiPriority="99"/>
    <w:lsdException w:name="Emphasis" w:uiPriority="20" w:qFormat="1"/>
    <w:lsdException w:name="HTML Preformatted"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727937"/>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character" w:customStyle="1" w:styleId="a5">
    <w:name w:val="(一)(二)(三) 字元"/>
    <w:rsid w:val="00513C54"/>
    <w:rPr>
      <w:rFonts w:ascii="標楷體" w:eastAsia="標楷體"/>
      <w:snapToGrid w:val="0"/>
      <w:kern w:val="2"/>
      <w:sz w:val="28"/>
      <w:szCs w:val="28"/>
      <w:lang w:val="en-US" w:eastAsia="zh-TW" w:bidi="ar-SA"/>
    </w:rPr>
  </w:style>
  <w:style w:type="paragraph" w:customStyle="1" w:styleId="a6">
    <w:name w:val="(一)下內文"/>
    <w:basedOn w:val="a0"/>
    <w:link w:val="a7"/>
    <w:rsid w:val="001270BA"/>
    <w:pPr>
      <w:adjustRightInd w:val="0"/>
      <w:ind w:leftChars="300" w:left="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0"/>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
    <w:name w:val="表格內文(20行高)"/>
    <w:basedOn w:val="142"/>
    <w:link w:val="200"/>
    <w:pPr>
      <w:spacing w:line="400" w:lineRule="exact"/>
    </w:pPr>
  </w:style>
  <w:style w:type="paragraph" w:customStyle="1" w:styleId="2">
    <w:name w:val="(一)下內文縮2"/>
    <w:basedOn w:val="a0"/>
    <w:link w:val="21"/>
    <w:qFormat/>
    <w:pPr>
      <w:adjustRightInd w:val="0"/>
      <w:ind w:leftChars="300" w:left="300"/>
    </w:pPr>
  </w:style>
  <w:style w:type="character" w:styleId="af">
    <w:name w:val="Hyperlink"/>
    <w:uiPriority w:val="99"/>
    <w:rPr>
      <w:color w:val="0000FF"/>
      <w:u w:val="single"/>
    </w:rPr>
  </w:style>
  <w:style w:type="paragraph" w:styleId="1">
    <w:name w:val="toc 1"/>
    <w:basedOn w:val="a0"/>
    <w:next w:val="a0"/>
    <w:autoRedefine/>
    <w:uiPriority w:val="39"/>
    <w:rsid w:val="008E7D65"/>
    <w:pPr>
      <w:tabs>
        <w:tab w:val="right" w:leader="hyphen" w:pos="8567"/>
      </w:tabs>
      <w:ind w:leftChars="0" w:left="487" w:hangingChars="200" w:hanging="487"/>
    </w:pPr>
    <w:rPr>
      <w:b/>
      <w:noProof/>
      <w:sz w:val="24"/>
    </w:rPr>
  </w:style>
  <w:style w:type="paragraph" w:styleId="22">
    <w:name w:val="toc 2"/>
    <w:basedOn w:val="a0"/>
    <w:next w:val="a0"/>
    <w:autoRedefine/>
    <w:uiPriority w:val="39"/>
    <w:rsid w:val="00055363"/>
    <w:pPr>
      <w:tabs>
        <w:tab w:val="right" w:leader="hyphen" w:pos="8567"/>
      </w:tabs>
      <w:ind w:leftChars="0" w:left="433" w:rightChars="77" w:right="218" w:hangingChars="178" w:hanging="433"/>
    </w:pPr>
    <w:rPr>
      <w:rFonts w:hAnsi="標楷體" w:cs="細明體"/>
      <w:noProof/>
      <w:sz w:val="24"/>
      <w:szCs w:val="24"/>
    </w:rPr>
  </w:style>
  <w:style w:type="paragraph" w:styleId="af0">
    <w:name w:val="Body Text Indent"/>
    <w:basedOn w:val="a0"/>
    <w:pPr>
      <w:ind w:left="567" w:firstLine="567"/>
    </w:pPr>
    <w:rPr>
      <w:rFonts w:hAnsi="標楷體"/>
    </w:rPr>
  </w:style>
  <w:style w:type="paragraph" w:styleId="3">
    <w:name w:val="toc 3"/>
    <w:basedOn w:val="a0"/>
    <w:next w:val="a0"/>
    <w:autoRedefine/>
    <w:semiHidden/>
    <w:pPr>
      <w:spacing w:line="240" w:lineRule="auto"/>
      <w:ind w:leftChars="400" w:left="960" w:firstLineChars="0" w:firstLine="0"/>
      <w:jc w:val="left"/>
    </w:pPr>
    <w:rPr>
      <w:rFonts w:ascii="Times New Roman" w:eastAsia="新細明體"/>
      <w:snapToGrid/>
      <w:sz w:val="24"/>
      <w:szCs w:val="24"/>
    </w:rPr>
  </w:style>
  <w:style w:type="paragraph" w:styleId="4">
    <w:name w:val="toc 4"/>
    <w:basedOn w:val="a0"/>
    <w:next w:val="a0"/>
    <w:autoRedefine/>
    <w:semiHidden/>
    <w:pPr>
      <w:spacing w:line="240" w:lineRule="auto"/>
      <w:ind w:leftChars="600" w:left="1440" w:firstLineChars="0" w:firstLine="0"/>
      <w:jc w:val="left"/>
    </w:pPr>
    <w:rPr>
      <w:rFonts w:ascii="Times New Roman" w:eastAsia="新細明體"/>
      <w:snapToGrid/>
      <w:sz w:val="24"/>
      <w:szCs w:val="24"/>
    </w:rPr>
  </w:style>
  <w:style w:type="paragraph" w:styleId="5">
    <w:name w:val="toc 5"/>
    <w:basedOn w:val="a0"/>
    <w:next w:val="a0"/>
    <w:autoRedefine/>
    <w:semiHidden/>
    <w:pPr>
      <w:spacing w:line="240" w:lineRule="auto"/>
      <w:ind w:leftChars="800" w:left="1920" w:firstLineChars="0" w:firstLine="0"/>
      <w:jc w:val="left"/>
    </w:pPr>
    <w:rPr>
      <w:rFonts w:ascii="Times New Roman" w:eastAsia="新細明體"/>
      <w:snapToGrid/>
      <w:sz w:val="24"/>
      <w:szCs w:val="24"/>
    </w:rPr>
  </w:style>
  <w:style w:type="paragraph" w:styleId="6">
    <w:name w:val="toc 6"/>
    <w:basedOn w:val="a0"/>
    <w:next w:val="a0"/>
    <w:autoRedefine/>
    <w:semiHidden/>
    <w:pPr>
      <w:spacing w:line="240" w:lineRule="auto"/>
      <w:ind w:leftChars="1000" w:left="2400" w:firstLineChars="0" w:firstLine="0"/>
      <w:jc w:val="left"/>
    </w:pPr>
    <w:rPr>
      <w:rFonts w:ascii="Times New Roman" w:eastAsia="新細明體"/>
      <w:snapToGrid/>
      <w:sz w:val="24"/>
      <w:szCs w:val="24"/>
    </w:rPr>
  </w:style>
  <w:style w:type="paragraph" w:styleId="7">
    <w:name w:val="toc 7"/>
    <w:basedOn w:val="a0"/>
    <w:next w:val="a0"/>
    <w:autoRedefine/>
    <w:semiHidden/>
    <w:pPr>
      <w:spacing w:line="240" w:lineRule="auto"/>
      <w:ind w:leftChars="1200" w:left="2880" w:firstLineChars="0" w:firstLine="0"/>
      <w:jc w:val="left"/>
    </w:pPr>
    <w:rPr>
      <w:rFonts w:ascii="Times New Roman" w:eastAsia="新細明體"/>
      <w:snapToGrid/>
      <w:sz w:val="24"/>
      <w:szCs w:val="24"/>
    </w:rPr>
  </w:style>
  <w:style w:type="paragraph" w:styleId="8">
    <w:name w:val="toc 8"/>
    <w:basedOn w:val="a0"/>
    <w:next w:val="a0"/>
    <w:autoRedefine/>
    <w:semiHidden/>
    <w:pPr>
      <w:spacing w:line="240" w:lineRule="auto"/>
      <w:ind w:leftChars="1400" w:left="3360" w:firstLineChars="0" w:firstLine="0"/>
      <w:jc w:val="left"/>
    </w:pPr>
    <w:rPr>
      <w:rFonts w:ascii="Times New Roman" w:eastAsia="新細明體"/>
      <w:snapToGrid/>
      <w:sz w:val="24"/>
      <w:szCs w:val="24"/>
    </w:rPr>
  </w:style>
  <w:style w:type="paragraph" w:styleId="9">
    <w:name w:val="toc 9"/>
    <w:basedOn w:val="a0"/>
    <w:next w:val="a0"/>
    <w:autoRedefine/>
    <w:semiHidden/>
    <w:pPr>
      <w:spacing w:line="240" w:lineRule="auto"/>
      <w:ind w:leftChars="1600" w:left="3840" w:firstLineChars="0" w:firstLine="0"/>
      <w:jc w:val="left"/>
    </w:pPr>
    <w:rPr>
      <w:rFonts w:ascii="Times New Roman" w:eastAsia="新細明體"/>
      <w:snapToGrid/>
      <w:sz w:val="24"/>
      <w:szCs w:val="24"/>
    </w:rPr>
  </w:style>
  <w:style w:type="character" w:styleId="af1">
    <w:name w:val="FollowedHyperlink"/>
    <w:rPr>
      <w:color w:val="800080"/>
      <w:u w:val="single"/>
    </w:rPr>
  </w:style>
  <w:style w:type="paragraph" w:customStyle="1" w:styleId="10">
    <w:name w:val="表格內文1"/>
    <w:pPr>
      <w:spacing w:line="280" w:lineRule="exact"/>
    </w:pPr>
    <w:rPr>
      <w:rFonts w:eastAsia="標楷體"/>
      <w:sz w:val="24"/>
      <w:szCs w:val="24"/>
    </w:rPr>
  </w:style>
  <w:style w:type="paragraph" w:customStyle="1" w:styleId="af2">
    <w:name w:val="最後一段"/>
    <w:basedOn w:val="a0"/>
    <w:pPr>
      <w:spacing w:line="480" w:lineRule="exact"/>
      <w:ind w:firstLineChars="0" w:firstLine="0"/>
    </w:pPr>
    <w:rPr>
      <w:rFonts w:ascii="Times New Roman"/>
    </w:rPr>
  </w:style>
  <w:style w:type="paragraph" w:customStyle="1" w:styleId="11">
    <w:name w:val="標題1."/>
    <w:basedOn w:val="a0"/>
    <w:pPr>
      <w:spacing w:line="480" w:lineRule="exact"/>
      <w:ind w:leftChars="300" w:left="400" w:hangingChars="100" w:hanging="100"/>
    </w:pPr>
    <w:rPr>
      <w:rFonts w:ascii="Times New Roman"/>
    </w:rPr>
  </w:style>
  <w:style w:type="paragraph" w:styleId="23">
    <w:name w:val="Body Text Indent 2"/>
    <w:basedOn w:val="a0"/>
    <w:pPr>
      <w:tabs>
        <w:tab w:val="decimal" w:leader="hyphen" w:pos="11439"/>
      </w:tabs>
      <w:ind w:left="567" w:firstLine="567"/>
      <w:outlineLvl w:val="2"/>
    </w:pPr>
    <w:rPr>
      <w:rFonts w:hAnsi="標楷體"/>
      <w:color w:val="FF0000"/>
    </w:rPr>
  </w:style>
  <w:style w:type="paragraph" w:customStyle="1" w:styleId="af3">
    <w:name w:val="標題(一)"/>
    <w:basedOn w:val="a0"/>
    <w:pPr>
      <w:spacing w:line="480" w:lineRule="exact"/>
      <w:ind w:left="300" w:hangingChars="100" w:hanging="100"/>
    </w:pPr>
    <w:rPr>
      <w:rFonts w:ascii="Times New Roman"/>
    </w:rPr>
  </w:style>
  <w:style w:type="paragraph" w:styleId="af4">
    <w:name w:val="Plain Text"/>
    <w:basedOn w:val="a0"/>
    <w:pPr>
      <w:spacing w:line="240" w:lineRule="auto"/>
      <w:ind w:leftChars="0" w:left="0" w:firstLineChars="0" w:firstLine="0"/>
      <w:jc w:val="left"/>
    </w:pPr>
    <w:rPr>
      <w:rFonts w:ascii="細明體" w:eastAsia="細明體" w:hAnsi="Courier New"/>
      <w:snapToGrid/>
      <w:sz w:val="24"/>
      <w:szCs w:val="24"/>
    </w:rPr>
  </w:style>
  <w:style w:type="paragraph" w:customStyle="1" w:styleId="af5">
    <w:name w:val="中標"/>
    <w:basedOn w:val="a0"/>
    <w:pPr>
      <w:spacing w:line="360" w:lineRule="auto"/>
      <w:ind w:leftChars="0" w:left="0" w:firstLineChars="0" w:firstLine="0"/>
    </w:pPr>
    <w:rPr>
      <w:rFonts w:hint="eastAsia"/>
      <w:b/>
      <w:snapToGrid/>
      <w:sz w:val="36"/>
      <w:szCs w:val="24"/>
    </w:rPr>
  </w:style>
  <w:style w:type="paragraph" w:customStyle="1" w:styleId="af6">
    <w:name w:val="目錄二"/>
    <w:basedOn w:val="a0"/>
    <w:pPr>
      <w:tabs>
        <w:tab w:val="decimal" w:leader="hyphen" w:pos="11439"/>
      </w:tabs>
      <w:spacing w:line="240" w:lineRule="auto"/>
      <w:ind w:leftChars="0" w:left="0" w:firstLineChars="0" w:firstLine="0"/>
      <w:outlineLvl w:val="2"/>
    </w:pPr>
    <w:rPr>
      <w:b/>
      <w:bCs/>
      <w:snapToGrid/>
      <w:szCs w:val="20"/>
    </w:rPr>
  </w:style>
  <w:style w:type="table" w:styleId="af7">
    <w:name w:val="Table Grid"/>
    <w:basedOn w:val="a2"/>
    <w:uiPriority w:val="59"/>
    <w:rsid w:val="00FD5E6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9"/>
    <w:rsid w:val="00616A9C"/>
    <w:rPr>
      <w:rFonts w:ascii="標楷體" w:eastAsia="標楷體"/>
      <w:snapToGrid w:val="0"/>
      <w:kern w:val="2"/>
    </w:rPr>
  </w:style>
  <w:style w:type="paragraph" w:customStyle="1" w:styleId="afa">
    <w:name w:val="(一)(二)(三)"/>
    <w:basedOn w:val="a0"/>
    <w:link w:val="12"/>
    <w:qFormat/>
    <w:rsid w:val="00C406ED"/>
    <w:pPr>
      <w:ind w:left="300" w:hangingChars="100" w:hanging="100"/>
    </w:pPr>
  </w:style>
  <w:style w:type="paragraph" w:styleId="Web">
    <w:name w:val="Normal (Web)"/>
    <w:basedOn w:val="a0"/>
    <w:rsid w:val="0004060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header"/>
    <w:basedOn w:val="a0"/>
    <w:link w:val="afc"/>
    <w:uiPriority w:val="99"/>
    <w:rsid w:val="00A8475C"/>
    <w:pPr>
      <w:tabs>
        <w:tab w:val="center" w:pos="4153"/>
        <w:tab w:val="right" w:pos="8306"/>
      </w:tabs>
      <w:snapToGrid w:val="0"/>
    </w:pPr>
    <w:rPr>
      <w:sz w:val="20"/>
      <w:szCs w:val="20"/>
    </w:rPr>
  </w:style>
  <w:style w:type="paragraph" w:styleId="afd">
    <w:name w:val="footer"/>
    <w:basedOn w:val="a0"/>
    <w:link w:val="afe"/>
    <w:uiPriority w:val="99"/>
    <w:rsid w:val="00A8475C"/>
    <w:pPr>
      <w:tabs>
        <w:tab w:val="center" w:pos="4153"/>
        <w:tab w:val="right" w:pos="8306"/>
      </w:tabs>
      <w:snapToGrid w:val="0"/>
    </w:pPr>
    <w:rPr>
      <w:sz w:val="20"/>
      <w:szCs w:val="20"/>
    </w:rPr>
  </w:style>
  <w:style w:type="character" w:styleId="aff">
    <w:name w:val="page number"/>
    <w:basedOn w:val="a1"/>
    <w:rsid w:val="00CA56B6"/>
  </w:style>
  <w:style w:type="paragraph" w:customStyle="1" w:styleId="13">
    <w:name w:val="樣式1"/>
    <w:basedOn w:val="a0"/>
    <w:rsid w:val="003A7610"/>
    <w:pPr>
      <w:spacing w:line="240" w:lineRule="auto"/>
      <w:ind w:leftChars="0" w:left="0" w:firstLineChars="0" w:firstLine="0"/>
      <w:jc w:val="left"/>
    </w:pPr>
    <w:rPr>
      <w:rFonts w:ascii="新細明體" w:eastAsia="新細明體" w:hAnsi="新細明體"/>
      <w:snapToGrid/>
      <w:sz w:val="24"/>
      <w:szCs w:val="24"/>
    </w:rPr>
  </w:style>
  <w:style w:type="paragraph" w:styleId="aff0">
    <w:name w:val="Balloon Text"/>
    <w:basedOn w:val="a0"/>
    <w:semiHidden/>
    <w:rsid w:val="005E021D"/>
    <w:rPr>
      <w:rFonts w:ascii="Arial" w:eastAsia="新細明體" w:hAnsi="Arial"/>
      <w:sz w:val="18"/>
      <w:szCs w:val="18"/>
    </w:rPr>
  </w:style>
  <w:style w:type="character" w:customStyle="1" w:styleId="21">
    <w:name w:val="(一)下內文縮2 字元"/>
    <w:link w:val="2"/>
    <w:rsid w:val="004A1E63"/>
    <w:rPr>
      <w:rFonts w:ascii="標楷體" w:eastAsia="標楷體"/>
      <w:snapToGrid w:val="0"/>
      <w:kern w:val="2"/>
      <w:sz w:val="28"/>
      <w:szCs w:val="28"/>
      <w:lang w:val="en-US" w:eastAsia="zh-TW" w:bidi="ar-SA"/>
    </w:rPr>
  </w:style>
  <w:style w:type="character" w:customStyle="1" w:styleId="a7">
    <w:name w:val="(一)下內文 字元"/>
    <w:link w:val="a6"/>
    <w:rsid w:val="001270BA"/>
    <w:rPr>
      <w:rFonts w:ascii="標楷體" w:eastAsia="標楷體"/>
      <w:snapToGrid w:val="0"/>
      <w:kern w:val="2"/>
      <w:sz w:val="28"/>
      <w:szCs w:val="28"/>
      <w:lang w:val="en-US" w:eastAsia="zh-TW" w:bidi="ar-SA"/>
    </w:rPr>
  </w:style>
  <w:style w:type="character" w:customStyle="1" w:styleId="145">
    <w:name w:val="第一層(14號字) 字元"/>
    <w:link w:val="144"/>
    <w:rsid w:val="00241702"/>
    <w:rPr>
      <w:rFonts w:ascii="標楷體" w:eastAsia="標楷體"/>
      <w:b/>
      <w:snapToGrid w:val="0"/>
      <w:kern w:val="2"/>
      <w:sz w:val="28"/>
      <w:lang w:val="en-US" w:eastAsia="zh-TW" w:bidi="ar-SA"/>
    </w:rPr>
  </w:style>
  <w:style w:type="character" w:customStyle="1" w:styleId="1230">
    <w:name w:val="1.2.3. 字元"/>
    <w:basedOn w:val="a7"/>
    <w:link w:val="123"/>
    <w:rsid w:val="00241702"/>
    <w:rPr>
      <w:rFonts w:ascii="標楷體" w:eastAsia="標楷體"/>
      <w:snapToGrid w:val="0"/>
      <w:kern w:val="2"/>
      <w:sz w:val="28"/>
      <w:szCs w:val="28"/>
      <w:lang w:val="en-US" w:eastAsia="zh-TW" w:bidi="ar-SA"/>
    </w:rPr>
  </w:style>
  <w:style w:type="character" w:customStyle="1" w:styleId="140">
    <w:name w:val="第二層(14號字) 字元"/>
    <w:link w:val="14"/>
    <w:rsid w:val="001A59BD"/>
    <w:rPr>
      <w:rFonts w:ascii="標楷體" w:eastAsia="標楷體"/>
      <w:b/>
      <w:snapToGrid w:val="0"/>
      <w:kern w:val="2"/>
      <w:sz w:val="28"/>
      <w:lang w:val="en-US" w:eastAsia="zh-TW" w:bidi="ar-SA"/>
    </w:rPr>
  </w:style>
  <w:style w:type="character" w:customStyle="1" w:styleId="12">
    <w:name w:val="(一)(二)(三) 字元1"/>
    <w:link w:val="afa"/>
    <w:rsid w:val="001A59BD"/>
    <w:rPr>
      <w:rFonts w:ascii="標楷體" w:eastAsia="標楷體"/>
      <w:snapToGrid w:val="0"/>
      <w:kern w:val="2"/>
      <w:sz w:val="28"/>
      <w:szCs w:val="28"/>
      <w:lang w:val="en-US" w:eastAsia="zh-TW" w:bidi="ar-SA"/>
    </w:rPr>
  </w:style>
  <w:style w:type="character" w:customStyle="1" w:styleId="1232">
    <w:name w:val="(1)(2)(3) 字元"/>
    <w:link w:val="1231"/>
    <w:locked/>
    <w:rsid w:val="00616A9C"/>
    <w:rPr>
      <w:rFonts w:ascii="標楷體" w:eastAsia="標楷體"/>
      <w:snapToGrid w:val="0"/>
      <w:kern w:val="2"/>
      <w:sz w:val="28"/>
      <w:szCs w:val="28"/>
    </w:rPr>
  </w:style>
  <w:style w:type="character" w:customStyle="1" w:styleId="143">
    <w:name w:val="表格內文(14行高) 字元"/>
    <w:link w:val="142"/>
    <w:qFormat/>
    <w:rsid w:val="008442D6"/>
    <w:rPr>
      <w:rFonts w:ascii="標楷體" w:eastAsia="標楷體"/>
      <w:snapToGrid w:val="0"/>
      <w:kern w:val="2"/>
      <w:sz w:val="24"/>
      <w:szCs w:val="28"/>
      <w:lang w:val="en-US" w:eastAsia="zh-TW" w:bidi="ar-SA"/>
    </w:rPr>
  </w:style>
  <w:style w:type="paragraph" w:styleId="aff1">
    <w:name w:val="Normal Indent"/>
    <w:basedOn w:val="a0"/>
    <w:rsid w:val="00845A3C"/>
    <w:pPr>
      <w:ind w:left="480"/>
    </w:pPr>
  </w:style>
  <w:style w:type="character" w:customStyle="1" w:styleId="200">
    <w:name w:val="表格內文(20行高) 字元"/>
    <w:basedOn w:val="143"/>
    <w:link w:val="20"/>
    <w:rsid w:val="007434ED"/>
    <w:rPr>
      <w:rFonts w:ascii="標楷體" w:eastAsia="標楷體"/>
      <w:snapToGrid w:val="0"/>
      <w:kern w:val="2"/>
      <w:sz w:val="24"/>
      <w:szCs w:val="28"/>
      <w:lang w:val="en-US" w:eastAsia="zh-TW" w:bidi="ar-SA"/>
    </w:rPr>
  </w:style>
  <w:style w:type="paragraph" w:styleId="af9">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8"/>
    <w:rsid w:val="00366556"/>
    <w:pPr>
      <w:snapToGrid w:val="0"/>
      <w:jc w:val="left"/>
    </w:pPr>
    <w:rPr>
      <w:sz w:val="20"/>
      <w:szCs w:val="20"/>
    </w:rPr>
  </w:style>
  <w:style w:type="character" w:styleId="aff2">
    <w:name w:val="footnote reference"/>
    <w:aliases w:val="FR,Ref,de nota al pie,註腳內容,Error-Fußnotenzeichen5,Error-Fußnotenzeichen6,Error-Fußnotenzeichen3,Error-Fusnotßnotenzeichen5,Error-Fußnotenzeic"/>
    <w:uiPriority w:val="99"/>
    <w:qFormat/>
    <w:rsid w:val="00366556"/>
    <w:rPr>
      <w:vertAlign w:val="superscript"/>
    </w:rPr>
  </w:style>
  <w:style w:type="paragraph" w:customStyle="1" w:styleId="24">
    <w:name w:val=" 字元 字元2 字元 字元 字元"/>
    <w:basedOn w:val="a0"/>
    <w:semiHidden/>
    <w:rsid w:val="00080B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第二層(14號字) 字元1"/>
    <w:rsid w:val="00080B22"/>
    <w:rPr>
      <w:rFonts w:ascii="標楷體" w:eastAsia="標楷體"/>
      <w:b/>
      <w:snapToGrid w:val="0"/>
      <w:kern w:val="2"/>
      <w:sz w:val="28"/>
      <w:szCs w:val="28"/>
      <w:lang w:val="en-US" w:eastAsia="zh-TW" w:bidi="ar-SA"/>
    </w:rPr>
  </w:style>
  <w:style w:type="character" w:customStyle="1" w:styleId="ac">
    <w:name w:val="姓名及分機 字元"/>
    <w:link w:val="ab"/>
    <w:rsid w:val="00080B22"/>
    <w:rPr>
      <w:rFonts w:ascii="標楷體" w:eastAsia="標楷體"/>
      <w:snapToGrid w:val="0"/>
      <w:kern w:val="2"/>
      <w:sz w:val="24"/>
      <w:szCs w:val="28"/>
    </w:rPr>
  </w:style>
  <w:style w:type="character" w:customStyle="1" w:styleId="210">
    <w:name w:val="(一)下內文縮2 字元1"/>
    <w:rsid w:val="008D64C2"/>
    <w:rPr>
      <w:rFonts w:ascii="標楷體" w:eastAsia="標楷體"/>
      <w:snapToGrid w:val="0"/>
      <w:kern w:val="2"/>
      <w:sz w:val="28"/>
      <w:szCs w:val="28"/>
    </w:rPr>
  </w:style>
  <w:style w:type="character" w:customStyle="1" w:styleId="25">
    <w:name w:val="(一)(二)(三) 字元2"/>
    <w:rsid w:val="00CF332E"/>
    <w:rPr>
      <w:rFonts w:ascii="標楷體" w:eastAsia="標楷體"/>
      <w:snapToGrid w:val="0"/>
      <w:kern w:val="2"/>
      <w:sz w:val="28"/>
      <w:szCs w:val="28"/>
    </w:rPr>
  </w:style>
  <w:style w:type="character" w:customStyle="1" w:styleId="afe">
    <w:name w:val="頁尾 字元"/>
    <w:link w:val="afd"/>
    <w:uiPriority w:val="99"/>
    <w:rsid w:val="009F5197"/>
    <w:rPr>
      <w:rFonts w:ascii="標楷體" w:eastAsia="標楷體"/>
      <w:snapToGrid w:val="0"/>
      <w:kern w:val="2"/>
    </w:rPr>
  </w:style>
  <w:style w:type="character" w:customStyle="1" w:styleId="ae">
    <w:name w:val="前言(一)(二)(三) 字元"/>
    <w:link w:val="ad"/>
    <w:rsid w:val="00257987"/>
    <w:rPr>
      <w:rFonts w:ascii="標楷體" w:eastAsia="標楷體"/>
      <w:snapToGrid w:val="0"/>
      <w:kern w:val="2"/>
      <w:sz w:val="28"/>
      <w:szCs w:val="28"/>
    </w:rPr>
  </w:style>
  <w:style w:type="paragraph" w:customStyle="1" w:styleId="aff3">
    <w:name w:val="政院質詢項目(函)"/>
    <w:basedOn w:val="a0"/>
    <w:next w:val="a0"/>
    <w:rsid w:val="00E24CE7"/>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4">
    <w:name w:val="Body Text"/>
    <w:basedOn w:val="a0"/>
    <w:link w:val="aff5"/>
    <w:rsid w:val="00A327E1"/>
    <w:pPr>
      <w:spacing w:after="120"/>
    </w:pPr>
  </w:style>
  <w:style w:type="character" w:customStyle="1" w:styleId="aff5">
    <w:name w:val="本文 字元"/>
    <w:link w:val="aff4"/>
    <w:rsid w:val="00A327E1"/>
    <w:rPr>
      <w:rFonts w:ascii="標楷體" w:eastAsia="標楷體"/>
      <w:snapToGrid w:val="0"/>
      <w:kern w:val="2"/>
      <w:sz w:val="28"/>
      <w:szCs w:val="28"/>
    </w:rPr>
  </w:style>
  <w:style w:type="paragraph" w:styleId="aff6">
    <w:name w:val="Date"/>
    <w:basedOn w:val="a0"/>
    <w:next w:val="a0"/>
    <w:link w:val="aff7"/>
    <w:rsid w:val="00A327E1"/>
    <w:pPr>
      <w:spacing w:line="240" w:lineRule="auto"/>
      <w:ind w:leftChars="0" w:left="0" w:firstLineChars="0" w:firstLine="0"/>
      <w:jc w:val="right"/>
    </w:pPr>
    <w:rPr>
      <w:rFonts w:ascii="Times New Roman"/>
      <w:b/>
      <w:bCs/>
      <w:snapToGrid/>
      <w:sz w:val="36"/>
      <w:szCs w:val="24"/>
    </w:rPr>
  </w:style>
  <w:style w:type="character" w:customStyle="1" w:styleId="aff7">
    <w:name w:val="日期 字元"/>
    <w:link w:val="aff6"/>
    <w:rsid w:val="00A327E1"/>
    <w:rPr>
      <w:rFonts w:eastAsia="標楷體"/>
      <w:b/>
      <w:bCs/>
      <w:kern w:val="2"/>
      <w:sz w:val="36"/>
      <w:szCs w:val="24"/>
    </w:rPr>
  </w:style>
  <w:style w:type="paragraph" w:styleId="aff8">
    <w:name w:val="caption"/>
    <w:basedOn w:val="a0"/>
    <w:next w:val="a0"/>
    <w:uiPriority w:val="35"/>
    <w:unhideWhenUsed/>
    <w:qFormat/>
    <w:rsid w:val="00B0368D"/>
    <w:pPr>
      <w:spacing w:line="0" w:lineRule="atLeast"/>
      <w:ind w:leftChars="0" w:left="0" w:firstLineChars="0" w:firstLine="0"/>
      <w:jc w:val="center"/>
    </w:pPr>
    <w:rPr>
      <w:rFonts w:hAnsi="標楷體"/>
      <w:b/>
      <w:snapToGrid/>
      <w:sz w:val="24"/>
      <w:szCs w:val="24"/>
    </w:rPr>
  </w:style>
  <w:style w:type="paragraph" w:styleId="a">
    <w:name w:val="List Bullet"/>
    <w:basedOn w:val="a0"/>
    <w:rsid w:val="005E58CF"/>
    <w:pPr>
      <w:numPr>
        <w:numId w:val="5"/>
      </w:numPr>
      <w:contextualSpacing/>
    </w:pPr>
  </w:style>
  <w:style w:type="character" w:styleId="aff9">
    <w:name w:val="Emphasis"/>
    <w:uiPriority w:val="20"/>
    <w:qFormat/>
    <w:rsid w:val="00D0313F"/>
    <w:rPr>
      <w:i/>
      <w:iCs/>
    </w:rPr>
  </w:style>
  <w:style w:type="character" w:customStyle="1" w:styleId="markedcontent">
    <w:name w:val="markedcontent"/>
    <w:basedOn w:val="a1"/>
    <w:rsid w:val="00F437E7"/>
  </w:style>
  <w:style w:type="character" w:customStyle="1" w:styleId="afc">
    <w:name w:val="頁首 字元"/>
    <w:link w:val="afb"/>
    <w:uiPriority w:val="99"/>
    <w:rsid w:val="00CA20FE"/>
    <w:rPr>
      <w:rFonts w:ascii="標楷體" w:eastAsia="標楷體"/>
      <w:snapToGrid w:val="0"/>
      <w:kern w:val="2"/>
    </w:rPr>
  </w:style>
  <w:style w:type="paragraph" w:styleId="HTML">
    <w:name w:val="HTML Preformatted"/>
    <w:basedOn w:val="a0"/>
    <w:link w:val="HTML0"/>
    <w:uiPriority w:val="99"/>
    <w:rsid w:val="008D7F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8D7FC9"/>
    <w:rPr>
      <w:rFonts w:ascii="細明體" w:eastAsia="細明體" w:hAnsi="細明體" w:cs="細明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817846">
      <w:bodyDiv w:val="1"/>
      <w:marLeft w:val="0"/>
      <w:marRight w:val="0"/>
      <w:marTop w:val="0"/>
      <w:marBottom w:val="0"/>
      <w:divBdr>
        <w:top w:val="none" w:sz="0" w:space="0" w:color="auto"/>
        <w:left w:val="none" w:sz="0" w:space="0" w:color="auto"/>
        <w:bottom w:val="none" w:sz="0" w:space="0" w:color="auto"/>
        <w:right w:val="none" w:sz="0" w:space="0" w:color="auto"/>
      </w:divBdr>
    </w:div>
    <w:div w:id="333385443">
      <w:bodyDiv w:val="1"/>
      <w:marLeft w:val="0"/>
      <w:marRight w:val="0"/>
      <w:marTop w:val="0"/>
      <w:marBottom w:val="0"/>
      <w:divBdr>
        <w:top w:val="none" w:sz="0" w:space="0" w:color="auto"/>
        <w:left w:val="none" w:sz="0" w:space="0" w:color="auto"/>
        <w:bottom w:val="none" w:sz="0" w:space="0" w:color="auto"/>
        <w:right w:val="none" w:sz="0" w:space="0" w:color="auto"/>
      </w:divBdr>
    </w:div>
    <w:div w:id="834683034">
      <w:bodyDiv w:val="1"/>
      <w:marLeft w:val="0"/>
      <w:marRight w:val="0"/>
      <w:marTop w:val="0"/>
      <w:marBottom w:val="0"/>
      <w:divBdr>
        <w:top w:val="none" w:sz="0" w:space="0" w:color="auto"/>
        <w:left w:val="none" w:sz="0" w:space="0" w:color="auto"/>
        <w:bottom w:val="none" w:sz="0" w:space="0" w:color="auto"/>
        <w:right w:val="none" w:sz="0" w:space="0" w:color="auto"/>
      </w:divBdr>
    </w:div>
    <w:div w:id="935790435">
      <w:bodyDiv w:val="1"/>
      <w:marLeft w:val="0"/>
      <w:marRight w:val="0"/>
      <w:marTop w:val="0"/>
      <w:marBottom w:val="0"/>
      <w:divBdr>
        <w:top w:val="none" w:sz="0" w:space="0" w:color="auto"/>
        <w:left w:val="none" w:sz="0" w:space="0" w:color="auto"/>
        <w:bottom w:val="none" w:sz="0" w:space="0" w:color="auto"/>
        <w:right w:val="none" w:sz="0" w:space="0" w:color="auto"/>
      </w:divBdr>
    </w:div>
    <w:div w:id="1130321167">
      <w:bodyDiv w:val="1"/>
      <w:marLeft w:val="0"/>
      <w:marRight w:val="0"/>
      <w:marTop w:val="0"/>
      <w:marBottom w:val="0"/>
      <w:divBdr>
        <w:top w:val="none" w:sz="0" w:space="0" w:color="auto"/>
        <w:left w:val="none" w:sz="0" w:space="0" w:color="auto"/>
        <w:bottom w:val="none" w:sz="0" w:space="0" w:color="auto"/>
        <w:right w:val="none" w:sz="0" w:space="0" w:color="auto"/>
      </w:divBdr>
    </w:div>
    <w:div w:id="1144925794">
      <w:bodyDiv w:val="1"/>
      <w:marLeft w:val="0"/>
      <w:marRight w:val="0"/>
      <w:marTop w:val="0"/>
      <w:marBottom w:val="0"/>
      <w:divBdr>
        <w:top w:val="none" w:sz="0" w:space="0" w:color="auto"/>
        <w:left w:val="none" w:sz="0" w:space="0" w:color="auto"/>
        <w:bottom w:val="none" w:sz="0" w:space="0" w:color="auto"/>
        <w:right w:val="none" w:sz="0" w:space="0" w:color="auto"/>
      </w:divBdr>
      <w:divsChild>
        <w:div w:id="405346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3242317">
      <w:bodyDiv w:val="1"/>
      <w:marLeft w:val="0"/>
      <w:marRight w:val="0"/>
      <w:marTop w:val="0"/>
      <w:marBottom w:val="0"/>
      <w:divBdr>
        <w:top w:val="none" w:sz="0" w:space="0" w:color="auto"/>
        <w:left w:val="none" w:sz="0" w:space="0" w:color="auto"/>
        <w:bottom w:val="none" w:sz="0" w:space="0" w:color="auto"/>
        <w:right w:val="none" w:sz="0" w:space="0" w:color="auto"/>
      </w:divBdr>
    </w:div>
    <w:div w:id="1458841253">
      <w:bodyDiv w:val="1"/>
      <w:marLeft w:val="0"/>
      <w:marRight w:val="0"/>
      <w:marTop w:val="0"/>
      <w:marBottom w:val="0"/>
      <w:divBdr>
        <w:top w:val="none" w:sz="0" w:space="0" w:color="auto"/>
        <w:left w:val="none" w:sz="0" w:space="0" w:color="auto"/>
        <w:bottom w:val="none" w:sz="0" w:space="0" w:color="auto"/>
        <w:right w:val="none" w:sz="0" w:space="0" w:color="auto"/>
      </w:divBdr>
    </w:div>
    <w:div w:id="1462915212">
      <w:bodyDiv w:val="1"/>
      <w:marLeft w:val="0"/>
      <w:marRight w:val="0"/>
      <w:marTop w:val="0"/>
      <w:marBottom w:val="0"/>
      <w:divBdr>
        <w:top w:val="none" w:sz="0" w:space="0" w:color="auto"/>
        <w:left w:val="none" w:sz="0" w:space="0" w:color="auto"/>
        <w:bottom w:val="none" w:sz="0" w:space="0" w:color="auto"/>
        <w:right w:val="none" w:sz="0" w:space="0" w:color="auto"/>
      </w:divBdr>
    </w:div>
    <w:div w:id="1667440512">
      <w:bodyDiv w:val="1"/>
      <w:marLeft w:val="0"/>
      <w:marRight w:val="0"/>
      <w:marTop w:val="0"/>
      <w:marBottom w:val="0"/>
      <w:divBdr>
        <w:top w:val="none" w:sz="0" w:space="0" w:color="auto"/>
        <w:left w:val="none" w:sz="0" w:space="0" w:color="auto"/>
        <w:bottom w:val="none" w:sz="0" w:space="0" w:color="auto"/>
        <w:right w:val="none" w:sz="0" w:space="0" w:color="auto"/>
      </w:divBdr>
    </w:div>
    <w:div w:id="1881169093">
      <w:bodyDiv w:val="1"/>
      <w:marLeft w:val="0"/>
      <w:marRight w:val="0"/>
      <w:marTop w:val="0"/>
      <w:marBottom w:val="0"/>
      <w:divBdr>
        <w:top w:val="none" w:sz="0" w:space="0" w:color="auto"/>
        <w:left w:val="none" w:sz="0" w:space="0" w:color="auto"/>
        <w:bottom w:val="none" w:sz="0" w:space="0" w:color="auto"/>
        <w:right w:val="none" w:sz="0" w:space="0" w:color="auto"/>
      </w:divBdr>
    </w:div>
    <w:div w:id="1980724077">
      <w:bodyDiv w:val="1"/>
      <w:marLeft w:val="0"/>
      <w:marRight w:val="0"/>
      <w:marTop w:val="0"/>
      <w:marBottom w:val="0"/>
      <w:divBdr>
        <w:top w:val="none" w:sz="0" w:space="0" w:color="auto"/>
        <w:left w:val="none" w:sz="0" w:space="0" w:color="auto"/>
        <w:bottom w:val="none" w:sz="0" w:space="0" w:color="auto"/>
        <w:right w:val="none" w:sz="0" w:space="0" w:color="auto"/>
      </w:divBdr>
    </w:div>
    <w:div w:id="2118674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84ED92-3807-4521-B7D1-5EB3BE6F0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320</Words>
  <Characters>1827</Characters>
  <Application>Microsoft Office Word</Application>
  <DocSecurity>0</DocSecurity>
  <Lines>15</Lines>
  <Paragraphs>4</Paragraphs>
  <ScaleCrop>false</ScaleCrop>
  <Company/>
  <LinksUpToDate>false</LinksUpToDate>
  <CharactersWithSpaces>2143</CharactersWithSpaces>
  <SharedDoc>false</SharedDoc>
  <HLinks>
    <vt:vector size="18" baseType="variant">
      <vt:variant>
        <vt:i4>1638448</vt:i4>
      </vt:variant>
      <vt:variant>
        <vt:i4>14</vt:i4>
      </vt:variant>
      <vt:variant>
        <vt:i4>0</vt:i4>
      </vt:variant>
      <vt:variant>
        <vt:i4>5</vt:i4>
      </vt:variant>
      <vt:variant>
        <vt:lpwstr/>
      </vt:variant>
      <vt:variant>
        <vt:lpwstr>_Toc224719729</vt:lpwstr>
      </vt:variant>
      <vt:variant>
        <vt:i4>1638448</vt:i4>
      </vt:variant>
      <vt:variant>
        <vt:i4>8</vt:i4>
      </vt:variant>
      <vt:variant>
        <vt:i4>0</vt:i4>
      </vt:variant>
      <vt:variant>
        <vt:i4>5</vt:i4>
      </vt:variant>
      <vt:variant>
        <vt:lpwstr/>
      </vt:variant>
      <vt:variant>
        <vt:lpwstr>_Toc224719728</vt:lpwstr>
      </vt:variant>
      <vt:variant>
        <vt:i4>1638448</vt:i4>
      </vt:variant>
      <vt:variant>
        <vt:i4>2</vt:i4>
      </vt:variant>
      <vt:variant>
        <vt:i4>0</vt:i4>
      </vt:variant>
      <vt:variant>
        <vt:i4>5</vt:i4>
      </vt:variant>
      <vt:variant>
        <vt:lpwstr/>
      </vt:variant>
      <vt:variant>
        <vt:lpwstr>_Toc224719727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花蓮港務局94年度營業預算評估報告</dc:title>
  <dc:subject/>
  <dc:creator>User</dc:creator>
  <cp:keywords/>
  <cp:lastModifiedBy>Administrator</cp:lastModifiedBy>
  <cp:revision>2</cp:revision>
  <cp:lastPrinted>2026-03-18T02:00:00Z</cp:lastPrinted>
  <dcterms:created xsi:type="dcterms:W3CDTF">2026-03-19T07:37:00Z</dcterms:created>
  <dcterms:modified xsi:type="dcterms:W3CDTF">2026-03-19T07:37:00Z</dcterms:modified>
</cp:coreProperties>
</file>