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w:t>
      </w:r>
      <w:r w:rsidR="009165D9">
        <w:rPr>
          <w:rFonts w:hAnsi="標楷體" w:hint="eastAsia"/>
          <w:lang w:eastAsia="zh-HK"/>
        </w:rPr>
        <w:t>金融控股股份有限公司及所屬臺灣</w:t>
      </w:r>
      <w:r w:rsidRPr="000C21D7">
        <w:rPr>
          <w:rFonts w:hAnsi="標楷體" w:hint="eastAsia"/>
        </w:rPr>
        <w:t>銀行股份有限公司1</w:t>
      </w:r>
      <w:r w:rsidR="00BB3524" w:rsidRPr="000C21D7">
        <w:rPr>
          <w:rFonts w:hAnsi="標楷體" w:hint="eastAsia"/>
        </w:rPr>
        <w:t>1</w:t>
      </w:r>
      <w:r w:rsidR="00930BFB">
        <w:rPr>
          <w:rFonts w:hAnsi="標楷體" w:hint="eastAsia"/>
        </w:rPr>
        <w:t>3</w:t>
      </w:r>
      <w:r w:rsidRPr="000C21D7">
        <w:rPr>
          <w:rFonts w:hAnsi="標楷體" w:hint="eastAsia"/>
        </w:rPr>
        <w:t>年度營業決算評估報告</w:t>
      </w:r>
    </w:p>
    <w:p w:rsidR="00A33729" w:rsidRPr="008A21D6" w:rsidRDefault="00983777" w:rsidP="005E1223">
      <w:pPr>
        <w:pStyle w:val="14"/>
        <w:ind w:left="567" w:hanging="567"/>
        <w:rPr>
          <w:spacing w:val="-2"/>
        </w:rPr>
      </w:pPr>
      <w:bookmarkStart w:id="1" w:name="_Toc225169402"/>
      <w:r>
        <w:rPr>
          <w:rFonts w:hint="eastAsia"/>
          <w:lang w:eastAsia="zh-HK"/>
        </w:rPr>
        <w:t>三</w:t>
      </w:r>
      <w:r w:rsidR="00CC3E1F" w:rsidRPr="005E1223">
        <w:rPr>
          <w:rFonts w:hint="eastAsia"/>
        </w:rPr>
        <w:t>、</w:t>
      </w:r>
      <w:r w:rsidR="002413BF" w:rsidRPr="008A21D6">
        <w:rPr>
          <w:rFonts w:hint="eastAsia"/>
          <w:spacing w:val="-2"/>
        </w:rPr>
        <w:t>臺灣銀行1</w:t>
      </w:r>
      <w:r w:rsidR="002413BF" w:rsidRPr="008A21D6">
        <w:rPr>
          <w:spacing w:val="-2"/>
        </w:rPr>
        <w:t>13</w:t>
      </w:r>
      <w:r w:rsidR="002413BF" w:rsidRPr="008A21D6">
        <w:rPr>
          <w:rFonts w:hint="eastAsia"/>
          <w:spacing w:val="-2"/>
        </w:rPr>
        <w:t>年度</w:t>
      </w:r>
      <w:r w:rsidR="00055D45" w:rsidRPr="008A21D6">
        <w:rPr>
          <w:rFonts w:hint="eastAsia"/>
          <w:spacing w:val="-2"/>
        </w:rPr>
        <w:t>手續費收入</w:t>
      </w:r>
      <w:r w:rsidR="005E1223" w:rsidRPr="008A21D6">
        <w:rPr>
          <w:rFonts w:hint="eastAsia"/>
          <w:spacing w:val="-2"/>
        </w:rPr>
        <w:t>決算數</w:t>
      </w:r>
      <w:r w:rsidR="002413BF" w:rsidRPr="008A21D6">
        <w:rPr>
          <w:rFonts w:hint="eastAsia"/>
          <w:spacing w:val="-2"/>
        </w:rPr>
        <w:t>雖較112</w:t>
      </w:r>
      <w:r w:rsidR="0097750E">
        <w:rPr>
          <w:rFonts w:hint="eastAsia"/>
          <w:spacing w:val="-2"/>
        </w:rPr>
        <w:t>年度</w:t>
      </w:r>
      <w:r w:rsidR="002413BF" w:rsidRPr="008A21D6">
        <w:rPr>
          <w:rFonts w:hint="eastAsia"/>
          <w:spacing w:val="-2"/>
        </w:rPr>
        <w:t>上升，惟仍較</w:t>
      </w:r>
      <w:r w:rsidR="005E1223" w:rsidRPr="008A21D6">
        <w:rPr>
          <w:rFonts w:hint="eastAsia"/>
          <w:spacing w:val="-2"/>
        </w:rPr>
        <w:t>1</w:t>
      </w:r>
      <w:r w:rsidR="005E1223" w:rsidRPr="008A21D6">
        <w:rPr>
          <w:spacing w:val="-2"/>
        </w:rPr>
        <w:t>09年度</w:t>
      </w:r>
      <w:r w:rsidR="005E1223" w:rsidRPr="008A21D6">
        <w:rPr>
          <w:rFonts w:hint="eastAsia"/>
          <w:spacing w:val="-2"/>
        </w:rPr>
        <w:t>決算數減幅8.97%</w:t>
      </w:r>
      <w:r w:rsidR="00055D45" w:rsidRPr="008A21D6">
        <w:rPr>
          <w:rFonts w:hint="eastAsia"/>
          <w:spacing w:val="-2"/>
        </w:rPr>
        <w:t>，</w:t>
      </w:r>
      <w:r w:rsidR="008A21D6" w:rsidRPr="008A21D6">
        <w:rPr>
          <w:rFonts w:hint="eastAsia"/>
          <w:spacing w:val="-2"/>
          <w:lang w:eastAsia="zh-HK"/>
        </w:rPr>
        <w:t>整體收入</w:t>
      </w:r>
      <w:r w:rsidR="00E510CA">
        <w:rPr>
          <w:rFonts w:hint="eastAsia"/>
          <w:spacing w:val="-2"/>
          <w:lang w:eastAsia="zh-HK"/>
        </w:rPr>
        <w:t>尚</w:t>
      </w:r>
      <w:r w:rsidR="008A21D6" w:rsidRPr="008A21D6">
        <w:rPr>
          <w:rFonts w:hint="eastAsia"/>
          <w:spacing w:val="-2"/>
          <w:lang w:eastAsia="zh-HK"/>
        </w:rPr>
        <w:t>未復以往</w:t>
      </w:r>
      <w:r w:rsidR="008A21D6" w:rsidRPr="008A21D6">
        <w:rPr>
          <w:rFonts w:hint="eastAsia"/>
          <w:spacing w:val="-2"/>
        </w:rPr>
        <w:t>，</w:t>
      </w:r>
      <w:r w:rsidR="00055D45" w:rsidRPr="008A21D6">
        <w:rPr>
          <w:rFonts w:hint="eastAsia"/>
          <w:spacing w:val="-2"/>
        </w:rPr>
        <w:t>允宜</w:t>
      </w:r>
      <w:r w:rsidR="00BD3ADE" w:rsidRPr="008A21D6">
        <w:rPr>
          <w:rFonts w:hint="eastAsia"/>
          <w:spacing w:val="-2"/>
        </w:rPr>
        <w:t>賡</w:t>
      </w:r>
      <w:r w:rsidR="00BD3ADE" w:rsidRPr="008A21D6">
        <w:rPr>
          <w:rFonts w:hint="eastAsia"/>
          <w:spacing w:val="-2"/>
          <w:lang w:eastAsia="zh-HK"/>
        </w:rPr>
        <w:t>續</w:t>
      </w:r>
      <w:r w:rsidR="009243C8" w:rsidRPr="008A21D6">
        <w:rPr>
          <w:rFonts w:hint="eastAsia"/>
          <w:spacing w:val="-2"/>
        </w:rPr>
        <w:t>關</w:t>
      </w:r>
      <w:r w:rsidR="008A21D6" w:rsidRPr="008A21D6">
        <w:rPr>
          <w:rFonts w:hint="eastAsia"/>
          <w:spacing w:val="-2"/>
        </w:rPr>
        <w:t>注金融市場</w:t>
      </w:r>
      <w:r w:rsidR="00454D00" w:rsidRPr="008A21D6">
        <w:rPr>
          <w:rFonts w:hint="eastAsia"/>
          <w:spacing w:val="-2"/>
        </w:rPr>
        <w:t>及地緣政治風險</w:t>
      </w:r>
      <w:r w:rsidR="00055D45" w:rsidRPr="008A21D6">
        <w:rPr>
          <w:rFonts w:hint="eastAsia"/>
          <w:spacing w:val="-2"/>
        </w:rPr>
        <w:t>，</w:t>
      </w:r>
      <w:r w:rsidR="00A82FD8" w:rsidRPr="008A21D6">
        <w:rPr>
          <w:rFonts w:hint="eastAsia"/>
          <w:spacing w:val="-2"/>
        </w:rPr>
        <w:t>妥</w:t>
      </w:r>
      <w:r w:rsidR="008A21D6" w:rsidRPr="008A21D6">
        <w:rPr>
          <w:rFonts w:hint="eastAsia"/>
          <w:spacing w:val="-2"/>
          <w:lang w:eastAsia="zh-HK"/>
        </w:rPr>
        <w:t>擬</w:t>
      </w:r>
      <w:r w:rsidR="00055D45" w:rsidRPr="008A21D6">
        <w:rPr>
          <w:rFonts w:hint="eastAsia"/>
          <w:spacing w:val="-2"/>
        </w:rPr>
        <w:t>策略</w:t>
      </w:r>
      <w:r w:rsidR="00A82FD8" w:rsidRPr="008A21D6">
        <w:rPr>
          <w:rFonts w:hint="eastAsia"/>
          <w:spacing w:val="-2"/>
        </w:rPr>
        <w:t>以</w:t>
      </w:r>
      <w:r w:rsidR="00A82FD8" w:rsidRPr="008A21D6">
        <w:rPr>
          <w:rFonts w:hint="eastAsia"/>
          <w:spacing w:val="-2"/>
          <w:lang w:eastAsia="zh-HK"/>
        </w:rPr>
        <w:t>強化</w:t>
      </w:r>
      <w:r w:rsidR="00055D45" w:rsidRPr="008A21D6">
        <w:rPr>
          <w:rFonts w:hint="eastAsia"/>
          <w:spacing w:val="-2"/>
        </w:rPr>
        <w:t>營收</w:t>
      </w:r>
      <w:r w:rsidR="00A82FD8" w:rsidRPr="008A21D6">
        <w:rPr>
          <w:rFonts w:hint="eastAsia"/>
          <w:spacing w:val="-2"/>
          <w:lang w:eastAsia="zh-HK"/>
        </w:rPr>
        <w:t>動能及提振</w:t>
      </w:r>
      <w:r w:rsidR="00055D45" w:rsidRPr="008A21D6">
        <w:rPr>
          <w:rFonts w:hint="eastAsia"/>
          <w:spacing w:val="-2"/>
        </w:rPr>
        <w:t>業績</w:t>
      </w:r>
      <w:bookmarkEnd w:id="1"/>
    </w:p>
    <w:p w:rsidR="00A33729" w:rsidRDefault="00055D45" w:rsidP="00A33729">
      <w:pPr>
        <w:adjustRightInd w:val="0"/>
        <w:ind w:left="566" w:firstLine="566"/>
        <w:rPr>
          <w:rFonts w:hAnsi="標楷體"/>
        </w:rPr>
      </w:pPr>
      <w:r w:rsidRPr="007E57C8">
        <w:rPr>
          <w:rFonts w:hAnsi="標楷體" w:hint="eastAsia"/>
        </w:rPr>
        <w:t>臺灣銀行11</w:t>
      </w:r>
      <w:r w:rsidR="00EB1CBD">
        <w:rPr>
          <w:rFonts w:hAnsi="標楷體"/>
        </w:rPr>
        <w:t>3</w:t>
      </w:r>
      <w:r w:rsidRPr="007E57C8">
        <w:rPr>
          <w:rFonts w:hAnsi="標楷體" w:hint="eastAsia"/>
        </w:rPr>
        <w:t>年度預算於「營業收入」之「金融保險收入」</w:t>
      </w:r>
      <w:r w:rsidRPr="00055D45">
        <w:rPr>
          <w:rFonts w:hAnsi="標楷體" w:hint="eastAsia"/>
        </w:rPr>
        <w:t>科目編列手續費收入</w:t>
      </w:r>
      <w:r w:rsidR="002E2B6F">
        <w:rPr>
          <w:rFonts w:hAnsi="標楷體" w:hint="eastAsia"/>
        </w:rPr>
        <w:t>47</w:t>
      </w:r>
      <w:r w:rsidRPr="00055D45">
        <w:rPr>
          <w:rFonts w:hAnsi="標楷體" w:hint="eastAsia"/>
        </w:rPr>
        <w:t>億</w:t>
      </w:r>
      <w:r w:rsidR="002E2B6F">
        <w:rPr>
          <w:rFonts w:hAnsi="標楷體" w:hint="eastAsia"/>
        </w:rPr>
        <w:t>1,612</w:t>
      </w:r>
      <w:r w:rsidRPr="00055D45">
        <w:rPr>
          <w:rFonts w:hAnsi="標楷體" w:hint="eastAsia"/>
        </w:rPr>
        <w:t>萬元，決算數為</w:t>
      </w:r>
      <w:r w:rsidR="002E2B6F">
        <w:rPr>
          <w:rFonts w:hAnsi="標楷體" w:hint="eastAsia"/>
        </w:rPr>
        <w:t>50</w:t>
      </w:r>
      <w:r w:rsidRPr="00055D45">
        <w:rPr>
          <w:rFonts w:hAnsi="標楷體" w:hint="eastAsia"/>
        </w:rPr>
        <w:t>億</w:t>
      </w:r>
      <w:r w:rsidR="002E2B6F">
        <w:rPr>
          <w:rFonts w:hAnsi="標楷體" w:hint="eastAsia"/>
        </w:rPr>
        <w:t>6</w:t>
      </w:r>
      <w:r w:rsidRPr="00055D45">
        <w:rPr>
          <w:rFonts w:hAnsi="標楷體" w:hint="eastAsia"/>
        </w:rPr>
        <w:t>,</w:t>
      </w:r>
      <w:r w:rsidR="002E2B6F">
        <w:rPr>
          <w:rFonts w:hAnsi="標楷體" w:hint="eastAsia"/>
        </w:rPr>
        <w:t>829</w:t>
      </w:r>
      <w:r w:rsidRPr="00055D45">
        <w:rPr>
          <w:rFonts w:hAnsi="標楷體" w:hint="eastAsia"/>
        </w:rPr>
        <w:t>萬</w:t>
      </w:r>
      <w:r w:rsidR="002E2B6F">
        <w:rPr>
          <w:rFonts w:hAnsi="標楷體" w:hint="eastAsia"/>
        </w:rPr>
        <w:t>2</w:t>
      </w:r>
      <w:r w:rsidRPr="00055D45">
        <w:rPr>
          <w:rFonts w:hAnsi="標楷體" w:hint="eastAsia"/>
        </w:rPr>
        <w:t>千元，預算達成率</w:t>
      </w:r>
      <w:r w:rsidR="002E2B6F">
        <w:rPr>
          <w:rFonts w:hAnsi="標楷體" w:hint="eastAsia"/>
        </w:rPr>
        <w:t>107</w:t>
      </w:r>
      <w:r w:rsidRPr="00055D45">
        <w:rPr>
          <w:rFonts w:hAnsi="標楷體" w:hint="eastAsia"/>
        </w:rPr>
        <w:t>.</w:t>
      </w:r>
      <w:r w:rsidR="002E2B6F">
        <w:rPr>
          <w:rFonts w:hAnsi="標楷體" w:hint="eastAsia"/>
        </w:rPr>
        <w:t>47</w:t>
      </w:r>
      <w:r w:rsidRPr="00055D45">
        <w:rPr>
          <w:rFonts w:hAnsi="標楷體" w:hint="eastAsia"/>
        </w:rPr>
        <w:t>%。經查：</w:t>
      </w:r>
    </w:p>
    <w:p w:rsidR="00DC07B1" w:rsidRPr="00872B86" w:rsidRDefault="00DC07B1" w:rsidP="00DC07B1">
      <w:pPr>
        <w:pStyle w:val="a4"/>
        <w:ind w:left="849" w:hanging="283"/>
        <w:rPr>
          <w:rFonts w:hAnsi="標楷體"/>
          <w:b/>
        </w:rPr>
      </w:pPr>
      <w:r w:rsidRPr="00872B86">
        <w:rPr>
          <w:rFonts w:hAnsi="標楷體" w:hint="eastAsia"/>
          <w:b/>
        </w:rPr>
        <w:t>(一)</w:t>
      </w:r>
      <w:r w:rsidR="00A0403F">
        <w:rPr>
          <w:rFonts w:hAnsi="標楷體" w:hint="eastAsia"/>
          <w:b/>
        </w:rPr>
        <w:t>109</w:t>
      </w:r>
      <w:r w:rsidR="00A0403F">
        <w:rPr>
          <w:rFonts w:hAnsi="標楷體" w:hint="eastAsia"/>
          <w:b/>
          <w:lang w:eastAsia="zh-HK"/>
        </w:rPr>
        <w:t>至</w:t>
      </w:r>
      <w:r w:rsidR="00A0403F">
        <w:rPr>
          <w:rFonts w:hAnsi="標楷體" w:hint="eastAsia"/>
          <w:b/>
        </w:rPr>
        <w:t>112</w:t>
      </w:r>
      <w:r w:rsidR="00A0403F">
        <w:rPr>
          <w:rFonts w:hAnsi="標楷體" w:hint="eastAsia"/>
          <w:b/>
          <w:lang w:eastAsia="zh-HK"/>
        </w:rPr>
        <w:t>年度</w:t>
      </w:r>
      <w:r w:rsidR="00A0403F" w:rsidRPr="00A0403F">
        <w:rPr>
          <w:rFonts w:hAnsi="標楷體" w:hint="eastAsia"/>
          <w:b/>
          <w:lang w:eastAsia="zh-HK"/>
        </w:rPr>
        <w:t>手續費收入決算數</w:t>
      </w:r>
      <w:r w:rsidR="00A0403F">
        <w:rPr>
          <w:rFonts w:hAnsi="標楷體" w:hint="eastAsia"/>
          <w:b/>
          <w:lang w:eastAsia="zh-HK"/>
        </w:rPr>
        <w:t>呈逐年下降趨勢</w:t>
      </w:r>
      <w:r w:rsidR="00A0403F">
        <w:rPr>
          <w:rFonts w:hAnsi="標楷體" w:hint="eastAsia"/>
          <w:b/>
        </w:rPr>
        <w:t>，</w:t>
      </w:r>
      <w:r w:rsidR="00A0403F">
        <w:rPr>
          <w:rFonts w:hAnsi="標楷體" w:hint="eastAsia"/>
          <w:b/>
          <w:lang w:eastAsia="zh-HK"/>
        </w:rPr>
        <w:t>雖</w:t>
      </w:r>
      <w:r w:rsidR="0022521B" w:rsidRPr="0022521B">
        <w:rPr>
          <w:rFonts w:hAnsi="標楷體" w:hint="eastAsia"/>
          <w:b/>
        </w:rPr>
        <w:t>113</w:t>
      </w:r>
      <w:r w:rsidR="00A0403F">
        <w:rPr>
          <w:rFonts w:hAnsi="標楷體" w:hint="eastAsia"/>
          <w:b/>
        </w:rPr>
        <w:t>年度手續費收入決算數</w:t>
      </w:r>
      <w:r w:rsidR="0022521B" w:rsidRPr="0022521B">
        <w:rPr>
          <w:rFonts w:hAnsi="標楷體" w:hint="eastAsia"/>
          <w:b/>
        </w:rPr>
        <w:t>較112</w:t>
      </w:r>
      <w:r w:rsidR="0097750E">
        <w:rPr>
          <w:rFonts w:hAnsi="標楷體" w:hint="eastAsia"/>
          <w:b/>
        </w:rPr>
        <w:t>年度</w:t>
      </w:r>
      <w:r w:rsidR="0022521B" w:rsidRPr="0022521B">
        <w:rPr>
          <w:rFonts w:hAnsi="標楷體" w:hint="eastAsia"/>
          <w:b/>
        </w:rPr>
        <w:t>上升，惟仍較109年度決算數減</w:t>
      </w:r>
      <w:r w:rsidR="0097750E">
        <w:rPr>
          <w:rFonts w:hAnsi="標楷體" w:hint="eastAsia"/>
          <w:b/>
          <w:lang w:eastAsia="zh-HK"/>
        </w:rPr>
        <w:t>少</w:t>
      </w:r>
      <w:r w:rsidR="0022521B" w:rsidRPr="0022521B">
        <w:rPr>
          <w:rFonts w:hAnsi="標楷體" w:hint="eastAsia"/>
          <w:b/>
        </w:rPr>
        <w:t>8.97%</w:t>
      </w:r>
      <w:r w:rsidR="00A0403F" w:rsidRPr="0022521B">
        <w:rPr>
          <w:rFonts w:hAnsi="標楷體" w:hint="eastAsia"/>
          <w:b/>
        </w:rPr>
        <w:t>，</w:t>
      </w:r>
      <w:r w:rsidR="00A0403F" w:rsidRPr="00A0403F">
        <w:rPr>
          <w:rFonts w:hAnsi="標楷體" w:hint="eastAsia"/>
          <w:b/>
        </w:rPr>
        <w:t>整體收入水準仍未回復以往</w:t>
      </w:r>
    </w:p>
    <w:p w:rsidR="00A33729" w:rsidRDefault="0022521B" w:rsidP="0022521B">
      <w:pPr>
        <w:ind w:leftChars="300" w:left="850" w:firstLine="566"/>
        <w:rPr>
          <w:rFonts w:hAnsi="標楷體"/>
          <w:color w:val="000000"/>
          <w:lang w:eastAsia="zh-HK"/>
        </w:rPr>
      </w:pPr>
      <w:r>
        <w:rPr>
          <w:rFonts w:hAnsi="標楷體" w:hint="eastAsia"/>
          <w:color w:val="000000"/>
          <w:lang w:eastAsia="zh-HK"/>
        </w:rPr>
        <w:t>揆</w:t>
      </w:r>
      <w:r w:rsidR="00DC07B1" w:rsidRPr="00DC07B1">
        <w:rPr>
          <w:rFonts w:hAnsi="標楷體" w:hint="eastAsia"/>
          <w:color w:val="000000"/>
        </w:rPr>
        <w:t>該行近</w:t>
      </w:r>
      <w:r w:rsidR="0043111C">
        <w:rPr>
          <w:rFonts w:hAnsi="標楷體" w:hint="eastAsia"/>
          <w:color w:val="000000"/>
        </w:rPr>
        <w:t>5</w:t>
      </w:r>
      <w:r w:rsidR="00DC07B1" w:rsidRPr="00DC07B1">
        <w:rPr>
          <w:rFonts w:hAnsi="標楷體" w:hint="eastAsia"/>
          <w:color w:val="000000"/>
        </w:rPr>
        <w:t>年</w:t>
      </w:r>
      <w:r w:rsidR="0097750E">
        <w:rPr>
          <w:rFonts w:hAnsi="標楷體" w:hint="eastAsia"/>
          <w:color w:val="000000"/>
        </w:rPr>
        <w:t>(109</w:t>
      </w:r>
      <w:r w:rsidR="0097750E">
        <w:rPr>
          <w:rFonts w:hAnsi="標楷體" w:hint="eastAsia"/>
          <w:color w:val="000000"/>
          <w:lang w:eastAsia="zh-HK"/>
        </w:rPr>
        <w:t>至</w:t>
      </w:r>
      <w:r w:rsidR="0097750E">
        <w:rPr>
          <w:rFonts w:hAnsi="標楷體" w:hint="eastAsia"/>
          <w:color w:val="000000"/>
        </w:rPr>
        <w:t>113</w:t>
      </w:r>
      <w:r w:rsidR="0097750E">
        <w:rPr>
          <w:rFonts w:hAnsi="標楷體" w:hint="eastAsia"/>
          <w:color w:val="000000"/>
          <w:lang w:eastAsia="zh-HK"/>
        </w:rPr>
        <w:t>年度</w:t>
      </w:r>
      <w:r w:rsidR="0097750E">
        <w:rPr>
          <w:rFonts w:hAnsi="標楷體" w:hint="eastAsia"/>
          <w:color w:val="000000"/>
        </w:rPr>
        <w:t>)</w:t>
      </w:r>
      <w:r w:rsidR="00DC07B1" w:rsidRPr="00DC07B1">
        <w:rPr>
          <w:rFonts w:hAnsi="標楷體" w:hint="eastAsia"/>
          <w:color w:val="000000"/>
        </w:rPr>
        <w:t>手續費收入之預、決算情形(詳表1)，決算數由10</w:t>
      </w:r>
      <w:r>
        <w:rPr>
          <w:rFonts w:hAnsi="標楷體" w:hint="eastAsia"/>
          <w:color w:val="000000"/>
        </w:rPr>
        <w:t>9</w:t>
      </w:r>
      <w:r w:rsidR="00DC07B1" w:rsidRPr="00DC07B1">
        <w:rPr>
          <w:rFonts w:hAnsi="標楷體" w:hint="eastAsia"/>
          <w:color w:val="000000"/>
        </w:rPr>
        <w:t>年度5</w:t>
      </w:r>
      <w:r>
        <w:rPr>
          <w:rFonts w:hAnsi="標楷體" w:hint="eastAsia"/>
          <w:color w:val="000000"/>
        </w:rPr>
        <w:t>5</w:t>
      </w:r>
      <w:r w:rsidR="00DC07B1" w:rsidRPr="00DC07B1">
        <w:rPr>
          <w:rFonts w:hAnsi="標楷體" w:hint="eastAsia"/>
          <w:color w:val="000000"/>
        </w:rPr>
        <w:t>億</w:t>
      </w:r>
      <w:r>
        <w:rPr>
          <w:rFonts w:hAnsi="標楷體" w:hint="eastAsia"/>
          <w:color w:val="000000"/>
        </w:rPr>
        <w:t>6,748</w:t>
      </w:r>
      <w:r w:rsidR="00DC07B1" w:rsidRPr="00DC07B1">
        <w:rPr>
          <w:rFonts w:hAnsi="標楷體" w:hint="eastAsia"/>
          <w:color w:val="000000"/>
        </w:rPr>
        <w:t>萬</w:t>
      </w:r>
      <w:r>
        <w:rPr>
          <w:rFonts w:hAnsi="標楷體" w:hint="eastAsia"/>
          <w:color w:val="000000"/>
        </w:rPr>
        <w:t>8</w:t>
      </w:r>
      <w:r w:rsidR="00DC07B1" w:rsidRPr="00DC07B1">
        <w:rPr>
          <w:rFonts w:hAnsi="標楷體" w:hint="eastAsia"/>
          <w:color w:val="000000"/>
        </w:rPr>
        <w:t>千元逐年減至112年度46億1,964萬9千元，減幅</w:t>
      </w:r>
      <w:r w:rsidR="00F8208F">
        <w:rPr>
          <w:rFonts w:hAnsi="標楷體" w:hint="eastAsia"/>
          <w:color w:val="000000"/>
        </w:rPr>
        <w:t>17.02</w:t>
      </w:r>
      <w:r w:rsidR="00DC07B1" w:rsidRPr="00DC07B1">
        <w:rPr>
          <w:rFonts w:hAnsi="標楷體" w:hint="eastAsia"/>
          <w:color w:val="000000"/>
        </w:rPr>
        <w:t>%</w:t>
      </w:r>
      <w:r w:rsidR="00A0403F">
        <w:rPr>
          <w:rFonts w:hAnsi="標楷體" w:hint="eastAsia"/>
          <w:color w:val="000000"/>
        </w:rPr>
        <w:t>；</w:t>
      </w:r>
      <w:r w:rsidR="00DC07B1" w:rsidRPr="00DC07B1">
        <w:rPr>
          <w:rFonts w:hAnsi="標楷體" w:hint="eastAsia"/>
          <w:color w:val="000000"/>
        </w:rPr>
        <w:t>手續費淨收益由10</w:t>
      </w:r>
      <w:r w:rsidR="00F8208F">
        <w:rPr>
          <w:rFonts w:hAnsi="標楷體" w:hint="eastAsia"/>
          <w:color w:val="000000"/>
        </w:rPr>
        <w:t>9</w:t>
      </w:r>
      <w:r w:rsidR="00DC07B1" w:rsidRPr="00DC07B1">
        <w:rPr>
          <w:rFonts w:hAnsi="標楷體" w:hint="eastAsia"/>
          <w:color w:val="000000"/>
        </w:rPr>
        <w:t>年度</w:t>
      </w:r>
      <w:r w:rsidR="00F8208F">
        <w:rPr>
          <w:rFonts w:hAnsi="標楷體" w:hint="eastAsia"/>
          <w:color w:val="000000"/>
        </w:rPr>
        <w:t>48</w:t>
      </w:r>
      <w:r w:rsidR="00DC07B1" w:rsidRPr="00DC07B1">
        <w:rPr>
          <w:rFonts w:hAnsi="標楷體" w:hint="eastAsia"/>
          <w:color w:val="000000"/>
        </w:rPr>
        <w:t>億</w:t>
      </w:r>
      <w:r w:rsidR="00F8208F">
        <w:rPr>
          <w:rFonts w:hAnsi="標楷體" w:hint="eastAsia"/>
          <w:color w:val="000000"/>
        </w:rPr>
        <w:t>3,231</w:t>
      </w:r>
      <w:r w:rsidR="00DC07B1" w:rsidRPr="00DC07B1">
        <w:rPr>
          <w:rFonts w:hAnsi="標楷體" w:hint="eastAsia"/>
          <w:color w:val="000000"/>
        </w:rPr>
        <w:t>萬</w:t>
      </w:r>
      <w:r w:rsidR="00F8208F">
        <w:rPr>
          <w:rFonts w:hAnsi="標楷體" w:hint="eastAsia"/>
          <w:color w:val="000000"/>
        </w:rPr>
        <w:t>9</w:t>
      </w:r>
      <w:r w:rsidR="00DC07B1" w:rsidRPr="00DC07B1">
        <w:rPr>
          <w:rFonts w:hAnsi="標楷體" w:hint="eastAsia"/>
          <w:color w:val="000000"/>
        </w:rPr>
        <w:t>千元逐年降至112年度37億2,397萬8千元，減幅達2</w:t>
      </w:r>
      <w:r w:rsidR="00F8208F">
        <w:rPr>
          <w:rFonts w:hAnsi="標楷體" w:hint="eastAsia"/>
          <w:color w:val="000000"/>
        </w:rPr>
        <w:t>2.94</w:t>
      </w:r>
      <w:r w:rsidR="00DC07B1" w:rsidRPr="00DC07B1">
        <w:rPr>
          <w:rFonts w:hAnsi="標楷體" w:hint="eastAsia"/>
          <w:color w:val="000000"/>
        </w:rPr>
        <w:t>%，111及112年度占總淨收益比率亦均跌至10%以下</w:t>
      </w:r>
      <w:r w:rsidR="008811C9" w:rsidRPr="008811C9">
        <w:rPr>
          <w:rFonts w:hAnsi="標楷體" w:hint="eastAsia"/>
          <w:color w:val="000000"/>
        </w:rPr>
        <w:t>，</w:t>
      </w:r>
      <w:r w:rsidR="00727F32">
        <w:rPr>
          <w:rFonts w:hAnsi="標楷體" w:hint="eastAsia"/>
          <w:color w:val="000000"/>
          <w:lang w:eastAsia="zh-HK"/>
        </w:rPr>
        <w:t>顯示</w:t>
      </w:r>
      <w:r w:rsidR="008811C9" w:rsidRPr="008811C9">
        <w:rPr>
          <w:rFonts w:hAnsi="標楷體" w:hint="eastAsia"/>
          <w:color w:val="000000"/>
        </w:rPr>
        <w:t>整體手續費業務規模顯著萎縮。</w:t>
      </w:r>
      <w:r w:rsidR="002E2B6F">
        <w:rPr>
          <w:rFonts w:hAnsi="標楷體" w:hint="eastAsia"/>
          <w:color w:val="000000"/>
          <w:lang w:eastAsia="zh-HK"/>
        </w:rPr>
        <w:t>至</w:t>
      </w:r>
      <w:r w:rsidR="002E2B6F">
        <w:rPr>
          <w:rFonts w:hAnsi="標楷體" w:hint="eastAsia"/>
          <w:color w:val="000000"/>
        </w:rPr>
        <w:t>113</w:t>
      </w:r>
      <w:r w:rsidR="002E2B6F">
        <w:rPr>
          <w:rFonts w:hAnsi="標楷體" w:hint="eastAsia"/>
          <w:color w:val="000000"/>
          <w:lang w:eastAsia="zh-HK"/>
        </w:rPr>
        <w:t>年度</w:t>
      </w:r>
      <w:r w:rsidR="002E2B6F" w:rsidRPr="00DC07B1">
        <w:rPr>
          <w:rFonts w:hAnsi="標楷體" w:hint="eastAsia"/>
          <w:color w:val="000000"/>
        </w:rPr>
        <w:t>手續費收入</w:t>
      </w:r>
      <w:r w:rsidR="002E2B6F">
        <w:rPr>
          <w:rFonts w:hAnsi="標楷體" w:hint="eastAsia"/>
          <w:color w:val="000000"/>
          <w:lang w:eastAsia="zh-HK"/>
        </w:rPr>
        <w:t>預算數</w:t>
      </w:r>
      <w:r w:rsidR="002E2B6F" w:rsidRPr="002E2B6F">
        <w:rPr>
          <w:rFonts w:hAnsi="標楷體" w:hint="eastAsia"/>
          <w:color w:val="000000"/>
        </w:rPr>
        <w:t>47億1,612萬元</w:t>
      </w:r>
      <w:r w:rsidR="002E2B6F">
        <w:rPr>
          <w:rFonts w:hAnsi="標楷體" w:hint="eastAsia"/>
          <w:color w:val="000000"/>
          <w:lang w:eastAsia="zh-HK"/>
        </w:rPr>
        <w:t>較</w:t>
      </w:r>
      <w:r w:rsidR="002E2B6F">
        <w:rPr>
          <w:rFonts w:hAnsi="標楷體" w:hint="eastAsia"/>
          <w:color w:val="000000"/>
        </w:rPr>
        <w:t>109</w:t>
      </w:r>
      <w:r w:rsidR="002E2B6F">
        <w:rPr>
          <w:rFonts w:hAnsi="標楷體" w:hint="eastAsia"/>
          <w:color w:val="000000"/>
          <w:lang w:eastAsia="zh-HK"/>
        </w:rPr>
        <w:t>年度預算數減幅</w:t>
      </w:r>
      <w:r w:rsidR="002E2B6F">
        <w:rPr>
          <w:rFonts w:hAnsi="標楷體" w:hint="eastAsia"/>
          <w:color w:val="000000"/>
        </w:rPr>
        <w:t>12.67%</w:t>
      </w:r>
      <w:r w:rsidR="00A0403F">
        <w:rPr>
          <w:rFonts w:hAnsi="標楷體" w:hint="eastAsia"/>
          <w:color w:val="000000"/>
        </w:rPr>
        <w:t>；</w:t>
      </w:r>
      <w:r w:rsidR="00C76CAC">
        <w:rPr>
          <w:rFonts w:hAnsi="標楷體" w:hint="eastAsia"/>
          <w:color w:val="000000"/>
          <w:lang w:eastAsia="zh-HK"/>
        </w:rPr>
        <w:t>同年度</w:t>
      </w:r>
      <w:r w:rsidR="002E2B6F" w:rsidRPr="002E2B6F">
        <w:rPr>
          <w:rFonts w:hAnsi="標楷體" w:hint="eastAsia"/>
          <w:color w:val="000000"/>
        </w:rPr>
        <w:t>決算數為50億6,829萬2千元</w:t>
      </w:r>
      <w:r w:rsidR="00C76CAC" w:rsidRPr="00C76CAC">
        <w:rPr>
          <w:rFonts w:hAnsi="標楷體" w:hint="eastAsia"/>
          <w:color w:val="000000"/>
        </w:rPr>
        <w:t>較109年度決算數</w:t>
      </w:r>
      <w:r w:rsidR="00C76CAC">
        <w:rPr>
          <w:rFonts w:hAnsi="標楷體" w:hint="eastAsia"/>
          <w:color w:val="000000"/>
          <w:lang w:eastAsia="zh-HK"/>
        </w:rPr>
        <w:t>減幅</w:t>
      </w:r>
      <w:r w:rsidR="00C76CAC">
        <w:rPr>
          <w:rFonts w:hAnsi="標楷體"/>
          <w:color w:val="000000"/>
        </w:rPr>
        <w:t>8</w:t>
      </w:r>
      <w:r w:rsidR="00C76CAC">
        <w:rPr>
          <w:rFonts w:hAnsi="標楷體" w:hint="eastAsia"/>
          <w:color w:val="000000"/>
        </w:rPr>
        <w:t>.</w:t>
      </w:r>
      <w:r w:rsidR="00C76CAC">
        <w:rPr>
          <w:rFonts w:hAnsi="標楷體"/>
          <w:color w:val="000000"/>
        </w:rPr>
        <w:t>9</w:t>
      </w:r>
      <w:r w:rsidR="00C76CAC">
        <w:rPr>
          <w:rFonts w:hAnsi="標楷體" w:hint="eastAsia"/>
          <w:color w:val="000000"/>
        </w:rPr>
        <w:t>7%</w:t>
      </w:r>
      <w:r w:rsidR="002E2B6F" w:rsidRPr="002E2B6F">
        <w:rPr>
          <w:rFonts w:hAnsi="標楷體" w:hint="eastAsia"/>
          <w:color w:val="000000"/>
        </w:rPr>
        <w:t>，</w:t>
      </w:r>
      <w:r w:rsidR="00C76CAC">
        <w:rPr>
          <w:rFonts w:hAnsi="標楷體" w:hint="eastAsia"/>
          <w:color w:val="000000"/>
          <w:lang w:eastAsia="zh-HK"/>
        </w:rPr>
        <w:t>雖</w:t>
      </w:r>
      <w:r w:rsidR="002E2B6F" w:rsidRPr="002E2B6F">
        <w:rPr>
          <w:rFonts w:hAnsi="標楷體" w:hint="eastAsia"/>
          <w:color w:val="000000"/>
        </w:rPr>
        <w:t>預算達成率107.47%</w:t>
      </w:r>
      <w:r w:rsidR="002E2B6F">
        <w:rPr>
          <w:rFonts w:hAnsi="標楷體" w:hint="eastAsia"/>
          <w:color w:val="000000"/>
        </w:rPr>
        <w:t>，</w:t>
      </w:r>
      <w:r w:rsidR="002E2B6F">
        <w:rPr>
          <w:rFonts w:hAnsi="標楷體" w:hint="eastAsia"/>
          <w:color w:val="000000"/>
          <w:lang w:eastAsia="zh-HK"/>
        </w:rPr>
        <w:t>惟</w:t>
      </w:r>
      <w:r w:rsidR="00A0403F">
        <w:rPr>
          <w:rFonts w:hAnsi="標楷體" w:hint="eastAsia"/>
          <w:color w:val="000000"/>
          <w:lang w:eastAsia="zh-HK"/>
        </w:rPr>
        <w:t>整體收入水準仍未回復以往</w:t>
      </w:r>
      <w:r w:rsidR="006D5E09">
        <w:rPr>
          <w:rFonts w:hAnsi="標楷體" w:hint="eastAsia"/>
          <w:color w:val="000000"/>
          <w:lang w:eastAsia="zh-HK"/>
        </w:rPr>
        <w:t>水準</w:t>
      </w:r>
      <w:r w:rsidR="00A0403F">
        <w:rPr>
          <w:rFonts w:hAnsi="標楷體" w:hint="eastAsia"/>
          <w:color w:val="000000"/>
        </w:rPr>
        <w:t>，</w:t>
      </w:r>
      <w:r w:rsidR="00727F32">
        <w:rPr>
          <w:rFonts w:hAnsi="標楷體" w:hint="eastAsia"/>
          <w:color w:val="000000"/>
          <w:lang w:eastAsia="zh-HK"/>
        </w:rPr>
        <w:t>且</w:t>
      </w:r>
      <w:r w:rsidR="00727F32">
        <w:rPr>
          <w:rFonts w:hAnsi="標楷體" w:hint="eastAsia"/>
          <w:color w:val="000000"/>
        </w:rPr>
        <w:t>113</w:t>
      </w:r>
      <w:r w:rsidR="00727F32">
        <w:rPr>
          <w:rFonts w:hAnsi="標楷體" w:hint="eastAsia"/>
          <w:color w:val="000000"/>
          <w:lang w:eastAsia="zh-HK"/>
        </w:rPr>
        <w:t>年度</w:t>
      </w:r>
      <w:r w:rsidR="00727F32" w:rsidRPr="00727F32">
        <w:rPr>
          <w:rFonts w:hAnsi="標楷體" w:hint="eastAsia"/>
          <w:color w:val="000000"/>
          <w:lang w:eastAsia="zh-HK"/>
        </w:rPr>
        <w:t>手續費淨收益</w:t>
      </w:r>
      <w:r w:rsidR="00727F32">
        <w:rPr>
          <w:rFonts w:hAnsi="標楷體"/>
          <w:color w:val="000000"/>
          <w:lang w:eastAsia="zh-HK"/>
        </w:rPr>
        <w:t>40</w:t>
      </w:r>
      <w:r w:rsidR="00727F32" w:rsidRPr="00727F32">
        <w:rPr>
          <w:rFonts w:hAnsi="標楷體" w:hint="eastAsia"/>
          <w:color w:val="000000"/>
          <w:lang w:eastAsia="zh-HK"/>
        </w:rPr>
        <w:t>億</w:t>
      </w:r>
      <w:r w:rsidR="00727F32">
        <w:rPr>
          <w:rFonts w:hAnsi="標楷體"/>
          <w:color w:val="000000"/>
          <w:lang w:eastAsia="zh-HK"/>
        </w:rPr>
        <w:t>9</w:t>
      </w:r>
      <w:r w:rsidR="00727F32">
        <w:rPr>
          <w:rFonts w:hAnsi="標楷體" w:hint="eastAsia"/>
          <w:color w:val="000000"/>
          <w:lang w:eastAsia="zh-HK"/>
        </w:rPr>
        <w:t>,</w:t>
      </w:r>
      <w:r w:rsidR="00727F32">
        <w:rPr>
          <w:rFonts w:hAnsi="標楷體"/>
          <w:color w:val="000000"/>
          <w:lang w:eastAsia="zh-HK"/>
        </w:rPr>
        <w:t>775</w:t>
      </w:r>
      <w:r w:rsidR="00727F32" w:rsidRPr="00727F32">
        <w:rPr>
          <w:rFonts w:hAnsi="標楷體" w:hint="eastAsia"/>
          <w:color w:val="000000"/>
          <w:lang w:eastAsia="zh-HK"/>
        </w:rPr>
        <w:t>萬</w:t>
      </w:r>
      <w:r w:rsidR="00727F32">
        <w:rPr>
          <w:rFonts w:hAnsi="標楷體"/>
          <w:color w:val="000000"/>
          <w:lang w:eastAsia="zh-HK"/>
        </w:rPr>
        <w:t>4</w:t>
      </w:r>
      <w:r w:rsidR="00727F32" w:rsidRPr="00727F32">
        <w:rPr>
          <w:rFonts w:hAnsi="標楷體" w:hint="eastAsia"/>
          <w:color w:val="000000"/>
          <w:lang w:eastAsia="zh-HK"/>
        </w:rPr>
        <w:t>千元</w:t>
      </w:r>
      <w:r w:rsidR="00727F32">
        <w:rPr>
          <w:rFonts w:hAnsi="標楷體" w:hint="eastAsia"/>
          <w:color w:val="000000"/>
          <w:lang w:eastAsia="zh-HK"/>
        </w:rPr>
        <w:t>亦較</w:t>
      </w:r>
      <w:r w:rsidR="00727F32">
        <w:rPr>
          <w:rFonts w:hAnsi="標楷體" w:hint="eastAsia"/>
          <w:color w:val="000000"/>
        </w:rPr>
        <w:t>109</w:t>
      </w:r>
      <w:r w:rsidR="00727F32">
        <w:rPr>
          <w:rFonts w:hAnsi="標楷體" w:hint="eastAsia"/>
          <w:color w:val="000000"/>
          <w:lang w:eastAsia="zh-HK"/>
        </w:rPr>
        <w:t>年度減</w:t>
      </w:r>
      <w:r w:rsidR="0097750E">
        <w:rPr>
          <w:rFonts w:hAnsi="標楷體" w:hint="eastAsia"/>
          <w:color w:val="000000"/>
          <w:lang w:eastAsia="zh-HK"/>
        </w:rPr>
        <w:t>少</w:t>
      </w:r>
      <w:r w:rsidR="00727F32">
        <w:rPr>
          <w:rFonts w:hAnsi="標楷體" w:hint="eastAsia"/>
          <w:color w:val="000000"/>
        </w:rPr>
        <w:t>1</w:t>
      </w:r>
      <w:r w:rsidR="00727F32">
        <w:rPr>
          <w:rFonts w:hAnsi="標楷體"/>
          <w:color w:val="000000"/>
        </w:rPr>
        <w:t>5.20%</w:t>
      </w:r>
      <w:r w:rsidR="00727F32">
        <w:rPr>
          <w:rFonts w:hAnsi="標楷體" w:hint="eastAsia"/>
          <w:color w:val="000000"/>
        </w:rPr>
        <w:t>，</w:t>
      </w:r>
      <w:r w:rsidR="006D5E09">
        <w:rPr>
          <w:rFonts w:hAnsi="標楷體" w:hint="eastAsia"/>
          <w:color w:val="000000"/>
          <w:lang w:eastAsia="zh-HK"/>
        </w:rPr>
        <w:t>顯示尚待強化</w:t>
      </w:r>
      <w:r w:rsidR="0097750E">
        <w:rPr>
          <w:rFonts w:hAnsi="標楷體" w:hint="eastAsia"/>
          <w:color w:val="000000"/>
          <w:lang w:eastAsia="zh-HK"/>
        </w:rPr>
        <w:t>手續費業務績效</w:t>
      </w:r>
      <w:r w:rsidR="006D5E09">
        <w:rPr>
          <w:rFonts w:hAnsi="標楷體" w:hint="eastAsia"/>
          <w:color w:val="000000"/>
          <w:lang w:eastAsia="zh-HK"/>
        </w:rPr>
        <w:t>，</w:t>
      </w:r>
      <w:r w:rsidR="00A0403F">
        <w:rPr>
          <w:rFonts w:hAnsi="標楷體" w:hint="eastAsia"/>
          <w:color w:val="000000"/>
          <w:lang w:eastAsia="zh-HK"/>
        </w:rPr>
        <w:t>允宜持續精進業務結構與產品策略，以</w:t>
      </w:r>
      <w:r w:rsidR="006D5E09">
        <w:rPr>
          <w:rFonts w:hAnsi="標楷體" w:hint="eastAsia"/>
          <w:color w:val="000000"/>
          <w:lang w:eastAsia="zh-HK"/>
        </w:rPr>
        <w:t>提升</w:t>
      </w:r>
      <w:r w:rsidR="00A0403F">
        <w:rPr>
          <w:rFonts w:hAnsi="標楷體" w:hint="eastAsia"/>
          <w:color w:val="000000"/>
          <w:lang w:eastAsia="zh-HK"/>
        </w:rPr>
        <w:t>手續費收</w:t>
      </w:r>
      <w:r w:rsidR="006D5E09">
        <w:rPr>
          <w:rFonts w:hAnsi="標楷體" w:hint="eastAsia"/>
          <w:color w:val="000000"/>
          <w:lang w:eastAsia="zh-HK"/>
        </w:rPr>
        <w:t>入</w:t>
      </w:r>
      <w:r w:rsidR="00A0403F">
        <w:rPr>
          <w:rFonts w:hAnsi="標楷體" w:hint="eastAsia"/>
          <w:color w:val="000000"/>
          <w:lang w:eastAsia="zh-HK"/>
        </w:rPr>
        <w:t>動能</w:t>
      </w:r>
      <w:r w:rsidR="006D5E09">
        <w:rPr>
          <w:rFonts w:hAnsi="標楷體" w:hint="eastAsia"/>
          <w:color w:val="000000"/>
          <w:lang w:eastAsia="zh-HK"/>
        </w:rPr>
        <w:t>並穩固營收基礎</w:t>
      </w:r>
      <w:r w:rsidR="00A0403F">
        <w:rPr>
          <w:rFonts w:hAnsi="標楷體" w:hint="eastAsia"/>
          <w:color w:val="000000"/>
        </w:rPr>
        <w:t>。</w:t>
      </w:r>
    </w:p>
    <w:p w:rsidR="00CD32F3" w:rsidRDefault="00CD32F3" w:rsidP="00727F32">
      <w:pPr>
        <w:ind w:leftChars="-200" w:left="-566" w:firstLineChars="0" w:firstLine="0"/>
        <w:rPr>
          <w:rFonts w:hAnsi="標楷體"/>
          <w:b/>
        </w:rPr>
      </w:pPr>
      <w:r w:rsidRPr="003B67EB">
        <w:rPr>
          <w:rFonts w:hAnsi="標楷體" w:hint="eastAsia"/>
          <w:b/>
        </w:rPr>
        <w:t>表1 臺灣銀行近</w:t>
      </w:r>
      <w:r w:rsidR="0043111C">
        <w:rPr>
          <w:rFonts w:hAnsi="標楷體" w:hint="eastAsia"/>
          <w:b/>
        </w:rPr>
        <w:t>5</w:t>
      </w:r>
      <w:r w:rsidRPr="003B67EB">
        <w:rPr>
          <w:rFonts w:hAnsi="標楷體" w:hint="eastAsia"/>
          <w:b/>
        </w:rPr>
        <w:t>年</w:t>
      </w:r>
      <w:r w:rsidRPr="00796FDA">
        <w:rPr>
          <w:rFonts w:hAnsi="標楷體" w:hint="eastAsia"/>
          <w:b/>
        </w:rPr>
        <w:t>金融保險</w:t>
      </w:r>
      <w:r w:rsidRPr="003B67EB">
        <w:rPr>
          <w:rFonts w:hAnsi="標楷體" w:hint="eastAsia"/>
          <w:b/>
        </w:rPr>
        <w:t>手續費收入預、決算情形表</w:t>
      </w:r>
    </w:p>
    <w:p w:rsidR="00CD32F3" w:rsidRPr="003B67EB" w:rsidRDefault="002E2B6F" w:rsidP="00BF3714">
      <w:pPr>
        <w:pStyle w:val="142"/>
        <w:jc w:val="right"/>
      </w:pPr>
      <w:r>
        <w:rPr>
          <w:rFonts w:hint="eastAsia"/>
        </w:rPr>
        <w:t xml:space="preserve">    </w:t>
      </w:r>
      <w:r w:rsidR="00CD32F3" w:rsidRPr="003B67EB">
        <w:rPr>
          <w:rFonts w:hint="eastAsia"/>
        </w:rPr>
        <w:t>單位</w:t>
      </w:r>
      <w:r w:rsidR="00CD32F3" w:rsidRPr="003B67EB">
        <w:rPr>
          <w:rFonts w:cs="全字庫正宋體" w:hint="eastAsia"/>
        </w:rPr>
        <w:t>：</w:t>
      </w:r>
      <w:r w:rsidR="00CD32F3" w:rsidRPr="003B67EB">
        <w:rPr>
          <w:rFonts w:hint="eastAsia"/>
        </w:rPr>
        <w:t>新臺幣千元</w:t>
      </w:r>
      <w:r w:rsidR="00D5342D">
        <w:rPr>
          <w:rFonts w:hAnsi="標楷體" w:hint="eastAsia"/>
        </w:rPr>
        <w:t>；</w:t>
      </w:r>
      <w:r w:rsidR="00D5342D">
        <w:rPr>
          <w:rFonts w:hint="eastAsia"/>
        </w:rPr>
        <w:t>%</w:t>
      </w:r>
    </w:p>
    <w:tbl>
      <w:tblPr>
        <w:tblW w:w="9072" w:type="dxa"/>
        <w:tblInd w:w="-4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360"/>
        <w:gridCol w:w="1361"/>
        <w:gridCol w:w="1361"/>
        <w:gridCol w:w="1361"/>
        <w:gridCol w:w="1361"/>
      </w:tblGrid>
      <w:tr w:rsidR="005650C6" w:rsidRPr="003B67EB" w:rsidTr="004D5449">
        <w:trPr>
          <w:tblHeader/>
        </w:trPr>
        <w:tc>
          <w:tcPr>
            <w:tcW w:w="2268" w:type="dxa"/>
            <w:tcBorders>
              <w:top w:val="single" w:sz="12" w:space="0" w:color="auto"/>
              <w:left w:val="single" w:sz="12" w:space="0" w:color="auto"/>
            </w:tcBorders>
            <w:shd w:val="clear" w:color="auto" w:fill="auto"/>
          </w:tcPr>
          <w:p w:rsidR="005650C6" w:rsidRPr="005E1223" w:rsidRDefault="005650C6" w:rsidP="005E1223">
            <w:pPr>
              <w:pStyle w:val="142"/>
            </w:pPr>
            <w:r w:rsidRPr="005E1223">
              <w:rPr>
                <w:rFonts w:hint="eastAsia"/>
              </w:rPr>
              <w:t>項目</w:t>
            </w:r>
          </w:p>
        </w:tc>
        <w:tc>
          <w:tcPr>
            <w:tcW w:w="1360"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10</w:t>
            </w:r>
            <w:r w:rsidRPr="005E1223">
              <w:t>9</w:t>
            </w:r>
            <w:r w:rsidRPr="005E1223">
              <w:rPr>
                <w:rFonts w:hint="eastAsia"/>
              </w:rPr>
              <w:t>年度</w:t>
            </w:r>
          </w:p>
        </w:tc>
        <w:tc>
          <w:tcPr>
            <w:tcW w:w="1361"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110年度</w:t>
            </w:r>
          </w:p>
        </w:tc>
        <w:tc>
          <w:tcPr>
            <w:tcW w:w="1361"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111年度</w:t>
            </w:r>
          </w:p>
        </w:tc>
        <w:tc>
          <w:tcPr>
            <w:tcW w:w="1361"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112年度</w:t>
            </w:r>
          </w:p>
        </w:tc>
        <w:tc>
          <w:tcPr>
            <w:tcW w:w="1361" w:type="dxa"/>
            <w:tcBorders>
              <w:top w:val="single" w:sz="12" w:space="0" w:color="auto"/>
              <w:right w:val="single" w:sz="12" w:space="0" w:color="auto"/>
            </w:tcBorders>
          </w:tcPr>
          <w:p w:rsidR="005650C6" w:rsidRPr="005E1223" w:rsidRDefault="005650C6" w:rsidP="005E1223">
            <w:pPr>
              <w:pStyle w:val="142"/>
              <w:jc w:val="center"/>
            </w:pPr>
            <w:r w:rsidRPr="005E1223">
              <w:rPr>
                <w:rFonts w:hint="eastAsia"/>
              </w:rPr>
              <w:t>113年度</w:t>
            </w:r>
          </w:p>
        </w:tc>
      </w:tr>
      <w:tr w:rsidR="005650C6" w:rsidRPr="003B67EB" w:rsidTr="004D5449">
        <w:tc>
          <w:tcPr>
            <w:tcW w:w="2268" w:type="dxa"/>
            <w:tcBorders>
              <w:left w:val="single" w:sz="12" w:space="0" w:color="auto"/>
            </w:tcBorders>
            <w:shd w:val="clear" w:color="auto" w:fill="auto"/>
          </w:tcPr>
          <w:p w:rsidR="005650C6" w:rsidRPr="005E1223" w:rsidRDefault="005650C6" w:rsidP="005E1223">
            <w:pPr>
              <w:pStyle w:val="142"/>
            </w:pPr>
            <w:r w:rsidRPr="005E1223">
              <w:rPr>
                <w:rFonts w:hint="eastAsia"/>
              </w:rPr>
              <w:lastRenderedPageBreak/>
              <w:t>預算數</w:t>
            </w:r>
          </w:p>
        </w:tc>
        <w:tc>
          <w:tcPr>
            <w:tcW w:w="1360" w:type="dxa"/>
            <w:shd w:val="clear" w:color="auto" w:fill="auto"/>
          </w:tcPr>
          <w:p w:rsidR="005650C6" w:rsidRPr="005E1223" w:rsidRDefault="005650C6" w:rsidP="005E1223">
            <w:pPr>
              <w:pStyle w:val="142"/>
              <w:jc w:val="right"/>
            </w:pPr>
            <w:r w:rsidRPr="005E1223">
              <w:rPr>
                <w:rFonts w:hint="eastAsia"/>
              </w:rPr>
              <w:t>5</w:t>
            </w:r>
            <w:r w:rsidRPr="005E1223">
              <w:t>,400,206</w:t>
            </w:r>
          </w:p>
        </w:tc>
        <w:tc>
          <w:tcPr>
            <w:tcW w:w="1361" w:type="dxa"/>
            <w:shd w:val="clear" w:color="auto" w:fill="auto"/>
          </w:tcPr>
          <w:p w:rsidR="005650C6" w:rsidRPr="005E1223" w:rsidRDefault="005650C6" w:rsidP="005E1223">
            <w:pPr>
              <w:pStyle w:val="142"/>
              <w:jc w:val="right"/>
            </w:pPr>
            <w:r w:rsidRPr="005E1223">
              <w:rPr>
                <w:rFonts w:hint="eastAsia"/>
              </w:rPr>
              <w:t>5</w:t>
            </w:r>
            <w:r w:rsidRPr="005E1223">
              <w:t>,251,799</w:t>
            </w:r>
          </w:p>
        </w:tc>
        <w:tc>
          <w:tcPr>
            <w:tcW w:w="1361" w:type="dxa"/>
            <w:shd w:val="clear" w:color="auto" w:fill="auto"/>
          </w:tcPr>
          <w:p w:rsidR="005650C6" w:rsidRPr="005E1223" w:rsidRDefault="005650C6" w:rsidP="005E1223">
            <w:pPr>
              <w:pStyle w:val="142"/>
              <w:jc w:val="right"/>
            </w:pPr>
            <w:r w:rsidRPr="005E1223">
              <w:rPr>
                <w:rFonts w:hint="eastAsia"/>
              </w:rPr>
              <w:t>4</w:t>
            </w:r>
            <w:r w:rsidRPr="005E1223">
              <w:t>,967,661</w:t>
            </w:r>
          </w:p>
        </w:tc>
        <w:tc>
          <w:tcPr>
            <w:tcW w:w="1361" w:type="dxa"/>
            <w:shd w:val="clear" w:color="auto" w:fill="auto"/>
          </w:tcPr>
          <w:p w:rsidR="005650C6" w:rsidRPr="005E1223" w:rsidRDefault="005650C6" w:rsidP="005E1223">
            <w:pPr>
              <w:pStyle w:val="142"/>
              <w:jc w:val="right"/>
            </w:pPr>
            <w:r w:rsidRPr="005E1223">
              <w:rPr>
                <w:rFonts w:hint="eastAsia"/>
              </w:rPr>
              <w:t>5</w:t>
            </w:r>
            <w:r w:rsidRPr="005E1223">
              <w:t>,003,783</w:t>
            </w:r>
          </w:p>
        </w:tc>
        <w:tc>
          <w:tcPr>
            <w:tcW w:w="1361" w:type="dxa"/>
            <w:tcBorders>
              <w:right w:val="single" w:sz="12" w:space="0" w:color="auto"/>
            </w:tcBorders>
          </w:tcPr>
          <w:p w:rsidR="005650C6" w:rsidRPr="005E1223" w:rsidRDefault="005650C6" w:rsidP="005E1223">
            <w:pPr>
              <w:pStyle w:val="142"/>
              <w:jc w:val="right"/>
            </w:pPr>
            <w:r w:rsidRPr="005E1223">
              <w:rPr>
                <w:rFonts w:hint="eastAsia"/>
              </w:rPr>
              <w:t>4,716,120</w:t>
            </w:r>
          </w:p>
        </w:tc>
      </w:tr>
      <w:tr w:rsidR="002E2B6F" w:rsidRPr="003B67EB" w:rsidTr="004D5449">
        <w:tc>
          <w:tcPr>
            <w:tcW w:w="2268" w:type="dxa"/>
            <w:tcBorders>
              <w:left w:val="single" w:sz="12" w:space="0" w:color="auto"/>
            </w:tcBorders>
            <w:shd w:val="clear" w:color="auto" w:fill="DEEAF6"/>
          </w:tcPr>
          <w:p w:rsidR="002E2B6F" w:rsidRPr="005E1223" w:rsidRDefault="002E2B6F" w:rsidP="005E1223">
            <w:pPr>
              <w:pStyle w:val="142"/>
              <w:rPr>
                <w:rFonts w:hint="eastAsia"/>
              </w:rPr>
            </w:pPr>
            <w:r>
              <w:rPr>
                <w:rFonts w:hint="eastAsia"/>
                <w:lang w:eastAsia="zh-HK"/>
              </w:rPr>
              <w:t>與基期比較</w:t>
            </w:r>
            <w:r w:rsidR="00727F32">
              <w:rPr>
                <w:rFonts w:hint="eastAsia"/>
                <w:lang w:eastAsia="zh-HK"/>
              </w:rPr>
              <w:t>增</w:t>
            </w:r>
            <w:r>
              <w:rPr>
                <w:rFonts w:hint="eastAsia"/>
                <w:lang w:eastAsia="zh-HK"/>
              </w:rPr>
              <w:t>減幅</w:t>
            </w:r>
          </w:p>
        </w:tc>
        <w:tc>
          <w:tcPr>
            <w:tcW w:w="1360" w:type="dxa"/>
            <w:shd w:val="clear" w:color="auto" w:fill="DEEAF6"/>
          </w:tcPr>
          <w:p w:rsidR="002E2B6F" w:rsidRPr="005E1223" w:rsidRDefault="002E2B6F" w:rsidP="005E1223">
            <w:pPr>
              <w:pStyle w:val="142"/>
              <w:jc w:val="right"/>
              <w:rPr>
                <w:rFonts w:hint="eastAsia"/>
              </w:rPr>
            </w:pPr>
            <w:r>
              <w:rPr>
                <w:rFonts w:hint="eastAsia"/>
                <w:lang w:eastAsia="zh-HK"/>
              </w:rPr>
              <w:t>基期</w:t>
            </w:r>
          </w:p>
        </w:tc>
        <w:tc>
          <w:tcPr>
            <w:tcW w:w="1361" w:type="dxa"/>
            <w:shd w:val="clear" w:color="auto" w:fill="DEEAF6"/>
          </w:tcPr>
          <w:p w:rsidR="002E2B6F" w:rsidRPr="005E1223" w:rsidRDefault="002E2B6F" w:rsidP="005E1223">
            <w:pPr>
              <w:pStyle w:val="142"/>
              <w:jc w:val="right"/>
              <w:rPr>
                <w:rFonts w:hint="eastAsia"/>
              </w:rPr>
            </w:pPr>
            <w:r>
              <w:rPr>
                <w:rFonts w:hint="eastAsia"/>
              </w:rPr>
              <w:t>-2.75</w:t>
            </w:r>
          </w:p>
        </w:tc>
        <w:tc>
          <w:tcPr>
            <w:tcW w:w="1361" w:type="dxa"/>
            <w:shd w:val="clear" w:color="auto" w:fill="DEEAF6"/>
          </w:tcPr>
          <w:p w:rsidR="002E2B6F" w:rsidRPr="005E1223" w:rsidRDefault="002E2B6F" w:rsidP="005E1223">
            <w:pPr>
              <w:pStyle w:val="142"/>
              <w:jc w:val="right"/>
              <w:rPr>
                <w:rFonts w:hint="eastAsia"/>
              </w:rPr>
            </w:pPr>
            <w:r>
              <w:rPr>
                <w:rFonts w:hint="eastAsia"/>
              </w:rPr>
              <w:t>-8.01</w:t>
            </w:r>
          </w:p>
        </w:tc>
        <w:tc>
          <w:tcPr>
            <w:tcW w:w="1361" w:type="dxa"/>
            <w:shd w:val="clear" w:color="auto" w:fill="DEEAF6"/>
          </w:tcPr>
          <w:p w:rsidR="002E2B6F" w:rsidRPr="005E1223" w:rsidRDefault="002E2B6F" w:rsidP="005E1223">
            <w:pPr>
              <w:pStyle w:val="142"/>
              <w:jc w:val="right"/>
              <w:rPr>
                <w:rFonts w:hint="eastAsia"/>
              </w:rPr>
            </w:pPr>
            <w:r>
              <w:rPr>
                <w:rFonts w:hint="eastAsia"/>
              </w:rPr>
              <w:t>-7.34</w:t>
            </w:r>
          </w:p>
        </w:tc>
        <w:tc>
          <w:tcPr>
            <w:tcW w:w="1361" w:type="dxa"/>
            <w:tcBorders>
              <w:right w:val="single" w:sz="12" w:space="0" w:color="auto"/>
            </w:tcBorders>
            <w:shd w:val="clear" w:color="auto" w:fill="DEEAF6"/>
          </w:tcPr>
          <w:p w:rsidR="002E2B6F" w:rsidRPr="005E1223" w:rsidRDefault="002E2B6F" w:rsidP="005E1223">
            <w:pPr>
              <w:pStyle w:val="142"/>
              <w:jc w:val="right"/>
              <w:rPr>
                <w:rFonts w:hint="eastAsia"/>
              </w:rPr>
            </w:pPr>
            <w:r>
              <w:rPr>
                <w:rFonts w:hint="eastAsia"/>
              </w:rPr>
              <w:t>-12.67</w:t>
            </w:r>
          </w:p>
        </w:tc>
      </w:tr>
      <w:tr w:rsidR="005650C6" w:rsidRPr="003B67EB" w:rsidTr="004D5449">
        <w:tc>
          <w:tcPr>
            <w:tcW w:w="2268" w:type="dxa"/>
            <w:tcBorders>
              <w:left w:val="single" w:sz="12" w:space="0" w:color="auto"/>
            </w:tcBorders>
            <w:shd w:val="clear" w:color="auto" w:fill="auto"/>
          </w:tcPr>
          <w:p w:rsidR="005650C6" w:rsidRPr="005E1223" w:rsidRDefault="005650C6" w:rsidP="005E1223">
            <w:pPr>
              <w:pStyle w:val="142"/>
            </w:pPr>
            <w:r w:rsidRPr="005E1223">
              <w:rPr>
                <w:rFonts w:hint="eastAsia"/>
              </w:rPr>
              <w:t>決算數</w:t>
            </w:r>
          </w:p>
        </w:tc>
        <w:tc>
          <w:tcPr>
            <w:tcW w:w="1360" w:type="dxa"/>
            <w:shd w:val="clear" w:color="auto" w:fill="auto"/>
          </w:tcPr>
          <w:p w:rsidR="005650C6" w:rsidRPr="005E1223" w:rsidRDefault="005650C6" w:rsidP="005E1223">
            <w:pPr>
              <w:pStyle w:val="142"/>
              <w:jc w:val="right"/>
            </w:pPr>
            <w:r w:rsidRPr="005E1223">
              <w:rPr>
                <w:rFonts w:hint="eastAsia"/>
              </w:rPr>
              <w:t>5</w:t>
            </w:r>
            <w:r w:rsidRPr="005E1223">
              <w:t>,567,488</w:t>
            </w:r>
          </w:p>
        </w:tc>
        <w:tc>
          <w:tcPr>
            <w:tcW w:w="1361" w:type="dxa"/>
            <w:shd w:val="clear" w:color="auto" w:fill="auto"/>
          </w:tcPr>
          <w:p w:rsidR="005650C6" w:rsidRPr="005E1223" w:rsidRDefault="005650C6" w:rsidP="005E1223">
            <w:pPr>
              <w:pStyle w:val="142"/>
              <w:jc w:val="right"/>
            </w:pPr>
            <w:r w:rsidRPr="005E1223">
              <w:rPr>
                <w:rFonts w:hint="eastAsia"/>
              </w:rPr>
              <w:t>5</w:t>
            </w:r>
            <w:r w:rsidRPr="005E1223">
              <w:t>,283,011</w:t>
            </w:r>
          </w:p>
        </w:tc>
        <w:tc>
          <w:tcPr>
            <w:tcW w:w="1361" w:type="dxa"/>
            <w:shd w:val="clear" w:color="auto" w:fill="auto"/>
          </w:tcPr>
          <w:p w:rsidR="005650C6" w:rsidRPr="005E1223" w:rsidRDefault="005650C6" w:rsidP="005E1223">
            <w:pPr>
              <w:pStyle w:val="142"/>
              <w:jc w:val="right"/>
            </w:pPr>
            <w:r w:rsidRPr="005E1223">
              <w:rPr>
                <w:rFonts w:hint="eastAsia"/>
              </w:rPr>
              <w:t>4</w:t>
            </w:r>
            <w:r w:rsidRPr="005E1223">
              <w:t>,877,342</w:t>
            </w:r>
          </w:p>
        </w:tc>
        <w:tc>
          <w:tcPr>
            <w:tcW w:w="1361" w:type="dxa"/>
            <w:shd w:val="clear" w:color="auto" w:fill="auto"/>
          </w:tcPr>
          <w:p w:rsidR="005650C6" w:rsidRPr="005E1223" w:rsidRDefault="005650C6" w:rsidP="005E1223">
            <w:pPr>
              <w:pStyle w:val="142"/>
              <w:jc w:val="right"/>
            </w:pPr>
            <w:r w:rsidRPr="005E1223">
              <w:t>4,619,649</w:t>
            </w:r>
          </w:p>
        </w:tc>
        <w:tc>
          <w:tcPr>
            <w:tcW w:w="1361" w:type="dxa"/>
            <w:tcBorders>
              <w:right w:val="single" w:sz="12" w:space="0" w:color="auto"/>
            </w:tcBorders>
          </w:tcPr>
          <w:p w:rsidR="005650C6" w:rsidRPr="005E1223" w:rsidRDefault="005650C6" w:rsidP="005E1223">
            <w:pPr>
              <w:pStyle w:val="142"/>
              <w:jc w:val="right"/>
            </w:pPr>
            <w:r w:rsidRPr="005E1223">
              <w:rPr>
                <w:rFonts w:hint="eastAsia"/>
              </w:rPr>
              <w:t>5,068,292</w:t>
            </w:r>
          </w:p>
        </w:tc>
      </w:tr>
      <w:tr w:rsidR="002E2B6F" w:rsidRPr="003B67EB" w:rsidTr="004D5449">
        <w:tc>
          <w:tcPr>
            <w:tcW w:w="2268" w:type="dxa"/>
            <w:tcBorders>
              <w:left w:val="single" w:sz="12" w:space="0" w:color="auto"/>
            </w:tcBorders>
            <w:shd w:val="clear" w:color="auto" w:fill="DEEAF6"/>
          </w:tcPr>
          <w:p w:rsidR="002E2B6F" w:rsidRPr="005E1223" w:rsidRDefault="002E2B6F" w:rsidP="002E2B6F">
            <w:pPr>
              <w:pStyle w:val="142"/>
              <w:rPr>
                <w:rFonts w:hint="eastAsia"/>
              </w:rPr>
            </w:pPr>
            <w:r>
              <w:rPr>
                <w:rFonts w:hint="eastAsia"/>
                <w:lang w:eastAsia="zh-HK"/>
              </w:rPr>
              <w:t>與基期比較</w:t>
            </w:r>
            <w:r w:rsidR="00727F32">
              <w:rPr>
                <w:rFonts w:hint="eastAsia"/>
                <w:lang w:eastAsia="zh-HK"/>
              </w:rPr>
              <w:t>增</w:t>
            </w:r>
            <w:r>
              <w:rPr>
                <w:rFonts w:hint="eastAsia"/>
                <w:lang w:eastAsia="zh-HK"/>
              </w:rPr>
              <w:t>減幅</w:t>
            </w:r>
          </w:p>
        </w:tc>
        <w:tc>
          <w:tcPr>
            <w:tcW w:w="1360" w:type="dxa"/>
            <w:shd w:val="clear" w:color="auto" w:fill="DEEAF6"/>
          </w:tcPr>
          <w:p w:rsidR="002E2B6F" w:rsidRPr="005E1223" w:rsidRDefault="002E2B6F" w:rsidP="002E2B6F">
            <w:pPr>
              <w:pStyle w:val="142"/>
              <w:jc w:val="right"/>
              <w:rPr>
                <w:rFonts w:hint="eastAsia"/>
              </w:rPr>
            </w:pPr>
            <w:r>
              <w:rPr>
                <w:rFonts w:hint="eastAsia"/>
                <w:lang w:eastAsia="zh-HK"/>
              </w:rPr>
              <w:t>基期</w:t>
            </w:r>
          </w:p>
        </w:tc>
        <w:tc>
          <w:tcPr>
            <w:tcW w:w="1361" w:type="dxa"/>
            <w:shd w:val="clear" w:color="auto" w:fill="DEEAF6"/>
          </w:tcPr>
          <w:p w:rsidR="002E2B6F" w:rsidRPr="005E1223" w:rsidRDefault="002E2B6F" w:rsidP="002E2B6F">
            <w:pPr>
              <w:pStyle w:val="142"/>
              <w:jc w:val="right"/>
              <w:rPr>
                <w:rFonts w:hint="eastAsia"/>
              </w:rPr>
            </w:pPr>
            <w:r>
              <w:rPr>
                <w:rFonts w:hint="eastAsia"/>
              </w:rPr>
              <w:t>-5.11</w:t>
            </w:r>
          </w:p>
        </w:tc>
        <w:tc>
          <w:tcPr>
            <w:tcW w:w="1361" w:type="dxa"/>
            <w:shd w:val="clear" w:color="auto" w:fill="DEEAF6"/>
          </w:tcPr>
          <w:p w:rsidR="002E2B6F" w:rsidRPr="005E1223" w:rsidRDefault="002E2B6F" w:rsidP="002E2B6F">
            <w:pPr>
              <w:pStyle w:val="142"/>
              <w:jc w:val="right"/>
              <w:rPr>
                <w:rFonts w:hint="eastAsia"/>
              </w:rPr>
            </w:pPr>
            <w:r>
              <w:rPr>
                <w:rFonts w:hint="eastAsia"/>
              </w:rPr>
              <w:t>-12.40</w:t>
            </w:r>
          </w:p>
        </w:tc>
        <w:tc>
          <w:tcPr>
            <w:tcW w:w="1361" w:type="dxa"/>
            <w:shd w:val="clear" w:color="auto" w:fill="DEEAF6"/>
          </w:tcPr>
          <w:p w:rsidR="002E2B6F" w:rsidRPr="005E1223" w:rsidRDefault="002E2B6F" w:rsidP="002E2B6F">
            <w:pPr>
              <w:pStyle w:val="142"/>
              <w:jc w:val="right"/>
            </w:pPr>
            <w:r>
              <w:rPr>
                <w:rFonts w:hint="eastAsia"/>
              </w:rPr>
              <w:t>-17.02</w:t>
            </w:r>
          </w:p>
        </w:tc>
        <w:tc>
          <w:tcPr>
            <w:tcW w:w="1361" w:type="dxa"/>
            <w:tcBorders>
              <w:right w:val="single" w:sz="12" w:space="0" w:color="auto"/>
            </w:tcBorders>
            <w:shd w:val="clear" w:color="auto" w:fill="DEEAF6"/>
          </w:tcPr>
          <w:p w:rsidR="002E2B6F" w:rsidRPr="005E1223" w:rsidRDefault="002E2B6F" w:rsidP="002E2B6F">
            <w:pPr>
              <w:pStyle w:val="142"/>
              <w:jc w:val="right"/>
              <w:rPr>
                <w:rFonts w:hint="eastAsia"/>
              </w:rPr>
            </w:pPr>
            <w:r>
              <w:rPr>
                <w:rFonts w:hint="eastAsia"/>
              </w:rPr>
              <w:t>-8.97</w:t>
            </w:r>
          </w:p>
        </w:tc>
      </w:tr>
      <w:tr w:rsidR="002E2B6F" w:rsidRPr="003B67EB" w:rsidTr="004D5449">
        <w:tc>
          <w:tcPr>
            <w:tcW w:w="2268" w:type="dxa"/>
            <w:tcBorders>
              <w:left w:val="single" w:sz="12" w:space="0" w:color="auto"/>
              <w:bottom w:val="double" w:sz="4" w:space="0" w:color="auto"/>
            </w:tcBorders>
            <w:shd w:val="clear" w:color="auto" w:fill="auto"/>
          </w:tcPr>
          <w:p w:rsidR="002E2B6F" w:rsidRPr="005E1223" w:rsidRDefault="002E2B6F" w:rsidP="002E2B6F">
            <w:pPr>
              <w:pStyle w:val="142"/>
            </w:pPr>
            <w:r w:rsidRPr="005E1223">
              <w:rPr>
                <w:rFonts w:hint="eastAsia"/>
              </w:rPr>
              <w:lastRenderedPageBreak/>
              <w:t>達成率</w:t>
            </w:r>
          </w:p>
        </w:tc>
        <w:tc>
          <w:tcPr>
            <w:tcW w:w="1360" w:type="dxa"/>
            <w:tcBorders>
              <w:bottom w:val="double" w:sz="4" w:space="0" w:color="auto"/>
            </w:tcBorders>
            <w:shd w:val="clear" w:color="auto" w:fill="auto"/>
            <w:vAlign w:val="center"/>
          </w:tcPr>
          <w:p w:rsidR="002E2B6F" w:rsidRPr="005E1223" w:rsidRDefault="00D5342D" w:rsidP="002E2B6F">
            <w:pPr>
              <w:pStyle w:val="142"/>
              <w:jc w:val="right"/>
            </w:pPr>
            <w:r>
              <w:rPr>
                <w:rFonts w:hint="eastAsia"/>
              </w:rPr>
              <w:t>103.10</w:t>
            </w:r>
          </w:p>
        </w:tc>
        <w:tc>
          <w:tcPr>
            <w:tcW w:w="1361" w:type="dxa"/>
            <w:tcBorders>
              <w:bottom w:val="double" w:sz="4" w:space="0" w:color="auto"/>
            </w:tcBorders>
            <w:shd w:val="clear" w:color="auto" w:fill="auto"/>
            <w:vAlign w:val="center"/>
          </w:tcPr>
          <w:p w:rsidR="002E2B6F" w:rsidRPr="005E1223" w:rsidRDefault="00D5342D" w:rsidP="002E2B6F">
            <w:pPr>
              <w:pStyle w:val="142"/>
              <w:jc w:val="right"/>
            </w:pPr>
            <w:r>
              <w:rPr>
                <w:rFonts w:hint="eastAsia"/>
              </w:rPr>
              <w:t>100.59</w:t>
            </w:r>
          </w:p>
        </w:tc>
        <w:tc>
          <w:tcPr>
            <w:tcW w:w="1361" w:type="dxa"/>
            <w:tcBorders>
              <w:bottom w:val="double" w:sz="4" w:space="0" w:color="auto"/>
            </w:tcBorders>
            <w:shd w:val="clear" w:color="auto" w:fill="auto"/>
            <w:vAlign w:val="center"/>
          </w:tcPr>
          <w:p w:rsidR="002E2B6F" w:rsidRPr="005E1223" w:rsidRDefault="00D5342D" w:rsidP="002E2B6F">
            <w:pPr>
              <w:pStyle w:val="142"/>
              <w:jc w:val="right"/>
            </w:pPr>
            <w:r>
              <w:rPr>
                <w:rFonts w:hint="eastAsia"/>
              </w:rPr>
              <w:t>98.18</w:t>
            </w:r>
          </w:p>
        </w:tc>
        <w:tc>
          <w:tcPr>
            <w:tcW w:w="1361" w:type="dxa"/>
            <w:tcBorders>
              <w:bottom w:val="double" w:sz="4" w:space="0" w:color="auto"/>
            </w:tcBorders>
            <w:shd w:val="clear" w:color="auto" w:fill="auto"/>
            <w:vAlign w:val="center"/>
          </w:tcPr>
          <w:p w:rsidR="002E2B6F" w:rsidRPr="005E1223" w:rsidRDefault="002E2B6F" w:rsidP="002E2B6F">
            <w:pPr>
              <w:pStyle w:val="142"/>
              <w:jc w:val="right"/>
            </w:pPr>
            <w:r w:rsidRPr="005E1223">
              <w:rPr>
                <w:rFonts w:hint="eastAsia"/>
              </w:rPr>
              <w:t>9</w:t>
            </w:r>
            <w:r w:rsidRPr="005E1223">
              <w:t>2</w:t>
            </w:r>
            <w:r w:rsidRPr="005E1223">
              <w:rPr>
                <w:rFonts w:hint="eastAsia"/>
              </w:rPr>
              <w:t>.</w:t>
            </w:r>
            <w:r w:rsidRPr="005E1223">
              <w:t>32</w:t>
            </w:r>
          </w:p>
        </w:tc>
        <w:tc>
          <w:tcPr>
            <w:tcW w:w="1361" w:type="dxa"/>
            <w:tcBorders>
              <w:bottom w:val="double" w:sz="4" w:space="0" w:color="auto"/>
              <w:right w:val="single" w:sz="12" w:space="0" w:color="auto"/>
            </w:tcBorders>
          </w:tcPr>
          <w:p w:rsidR="002E2B6F" w:rsidRPr="005E1223" w:rsidRDefault="002E2B6F" w:rsidP="002E2B6F">
            <w:pPr>
              <w:pStyle w:val="142"/>
              <w:jc w:val="right"/>
            </w:pPr>
            <w:r w:rsidRPr="005E1223">
              <w:rPr>
                <w:rFonts w:hint="eastAsia"/>
              </w:rPr>
              <w:t>107.47</w:t>
            </w:r>
          </w:p>
        </w:tc>
      </w:tr>
      <w:tr w:rsidR="002E2B6F" w:rsidRPr="003B67EB" w:rsidTr="0097750E">
        <w:tc>
          <w:tcPr>
            <w:tcW w:w="2268" w:type="dxa"/>
            <w:tcBorders>
              <w:top w:val="double" w:sz="4" w:space="0" w:color="auto"/>
              <w:left w:val="single" w:sz="12" w:space="0" w:color="auto"/>
              <w:bottom w:val="single" w:sz="4" w:space="0" w:color="auto"/>
            </w:tcBorders>
            <w:shd w:val="clear" w:color="auto" w:fill="auto"/>
          </w:tcPr>
          <w:p w:rsidR="002E2B6F" w:rsidRPr="005E1223" w:rsidRDefault="002E2B6F" w:rsidP="002E2B6F">
            <w:pPr>
              <w:pStyle w:val="142"/>
            </w:pPr>
            <w:r w:rsidRPr="005E1223">
              <w:rPr>
                <w:rFonts w:hint="eastAsia"/>
              </w:rPr>
              <w:t>手續費淨收益</w:t>
            </w:r>
          </w:p>
        </w:tc>
        <w:tc>
          <w:tcPr>
            <w:tcW w:w="1360" w:type="dxa"/>
            <w:tcBorders>
              <w:top w:val="double" w:sz="4" w:space="0" w:color="auto"/>
              <w:bottom w:val="single" w:sz="4" w:space="0" w:color="auto"/>
            </w:tcBorders>
            <w:shd w:val="clear" w:color="auto" w:fill="auto"/>
            <w:vAlign w:val="center"/>
          </w:tcPr>
          <w:p w:rsidR="002E2B6F" w:rsidRPr="005E1223" w:rsidRDefault="002E2B6F" w:rsidP="002E2B6F">
            <w:pPr>
              <w:pStyle w:val="142"/>
              <w:jc w:val="right"/>
            </w:pPr>
            <w:r w:rsidRPr="005E1223">
              <w:rPr>
                <w:rFonts w:hint="eastAsia"/>
              </w:rPr>
              <w:t>4</w:t>
            </w:r>
            <w:r w:rsidRPr="005E1223">
              <w:t>,832,319</w:t>
            </w:r>
          </w:p>
        </w:tc>
        <w:tc>
          <w:tcPr>
            <w:tcW w:w="1361" w:type="dxa"/>
            <w:tcBorders>
              <w:top w:val="double" w:sz="4" w:space="0" w:color="auto"/>
              <w:bottom w:val="single" w:sz="4" w:space="0" w:color="auto"/>
            </w:tcBorders>
            <w:shd w:val="clear" w:color="auto" w:fill="auto"/>
            <w:vAlign w:val="center"/>
          </w:tcPr>
          <w:p w:rsidR="002E2B6F" w:rsidRPr="005E1223" w:rsidRDefault="002E2B6F" w:rsidP="002E2B6F">
            <w:pPr>
              <w:pStyle w:val="142"/>
              <w:jc w:val="right"/>
            </w:pPr>
            <w:r w:rsidRPr="005E1223">
              <w:rPr>
                <w:rFonts w:hint="eastAsia"/>
              </w:rPr>
              <w:t>4</w:t>
            </w:r>
            <w:r w:rsidRPr="005E1223">
              <w:t>,519,121</w:t>
            </w:r>
          </w:p>
        </w:tc>
        <w:tc>
          <w:tcPr>
            <w:tcW w:w="1361" w:type="dxa"/>
            <w:tcBorders>
              <w:top w:val="double" w:sz="4" w:space="0" w:color="auto"/>
              <w:bottom w:val="single" w:sz="4" w:space="0" w:color="auto"/>
            </w:tcBorders>
            <w:shd w:val="clear" w:color="auto" w:fill="auto"/>
            <w:vAlign w:val="center"/>
          </w:tcPr>
          <w:p w:rsidR="002E2B6F" w:rsidRPr="005E1223" w:rsidRDefault="002E2B6F" w:rsidP="002E2B6F">
            <w:pPr>
              <w:pStyle w:val="142"/>
              <w:jc w:val="right"/>
            </w:pPr>
            <w:r w:rsidRPr="005E1223">
              <w:rPr>
                <w:rFonts w:hint="eastAsia"/>
              </w:rPr>
              <w:t>4</w:t>
            </w:r>
            <w:r w:rsidRPr="005E1223">
              <w:t>,070,368</w:t>
            </w:r>
          </w:p>
        </w:tc>
        <w:tc>
          <w:tcPr>
            <w:tcW w:w="1361" w:type="dxa"/>
            <w:tcBorders>
              <w:top w:val="double" w:sz="4" w:space="0" w:color="auto"/>
              <w:bottom w:val="single" w:sz="4" w:space="0" w:color="auto"/>
            </w:tcBorders>
            <w:shd w:val="clear" w:color="auto" w:fill="auto"/>
          </w:tcPr>
          <w:p w:rsidR="002E2B6F" w:rsidRPr="005E1223" w:rsidRDefault="002E2B6F" w:rsidP="002E2B6F">
            <w:pPr>
              <w:pStyle w:val="142"/>
              <w:jc w:val="right"/>
            </w:pPr>
            <w:r w:rsidRPr="005E1223">
              <w:t>3,723,978</w:t>
            </w:r>
          </w:p>
        </w:tc>
        <w:tc>
          <w:tcPr>
            <w:tcW w:w="1361" w:type="dxa"/>
            <w:tcBorders>
              <w:top w:val="double" w:sz="4" w:space="0" w:color="auto"/>
              <w:bottom w:val="single" w:sz="4" w:space="0" w:color="auto"/>
              <w:right w:val="single" w:sz="12" w:space="0" w:color="auto"/>
            </w:tcBorders>
          </w:tcPr>
          <w:p w:rsidR="002E2B6F" w:rsidRPr="005E1223" w:rsidRDefault="002E2B6F" w:rsidP="002E2B6F">
            <w:pPr>
              <w:pStyle w:val="142"/>
              <w:jc w:val="right"/>
            </w:pPr>
            <w:r w:rsidRPr="005E1223">
              <w:rPr>
                <w:rFonts w:hint="eastAsia"/>
              </w:rPr>
              <w:t>4,097,754</w:t>
            </w:r>
          </w:p>
        </w:tc>
      </w:tr>
      <w:tr w:rsidR="00727F32" w:rsidRPr="003B67EB" w:rsidTr="004D5449">
        <w:tc>
          <w:tcPr>
            <w:tcW w:w="2268" w:type="dxa"/>
            <w:tcBorders>
              <w:top w:val="single" w:sz="4" w:space="0" w:color="auto"/>
            </w:tcBorders>
            <w:shd w:val="clear" w:color="auto" w:fill="DEEAF6"/>
          </w:tcPr>
          <w:p w:rsidR="00727F32" w:rsidRPr="005E1223" w:rsidRDefault="00727F32" w:rsidP="002E2B6F">
            <w:pPr>
              <w:pStyle w:val="142"/>
              <w:rPr>
                <w:rFonts w:hint="eastAsia"/>
              </w:rPr>
            </w:pPr>
            <w:r>
              <w:rPr>
                <w:rFonts w:hint="eastAsia"/>
                <w:lang w:eastAsia="zh-HK"/>
              </w:rPr>
              <w:t>與基期比較增減幅</w:t>
            </w:r>
          </w:p>
        </w:tc>
        <w:tc>
          <w:tcPr>
            <w:tcW w:w="1360" w:type="dxa"/>
            <w:tcBorders>
              <w:top w:val="single" w:sz="4" w:space="0" w:color="auto"/>
            </w:tcBorders>
            <w:shd w:val="clear" w:color="auto" w:fill="DEEAF6"/>
            <w:vAlign w:val="center"/>
          </w:tcPr>
          <w:p w:rsidR="00727F32" w:rsidRPr="005E1223" w:rsidRDefault="00727F32" w:rsidP="002E2B6F">
            <w:pPr>
              <w:pStyle w:val="142"/>
              <w:jc w:val="right"/>
              <w:rPr>
                <w:rFonts w:hint="eastAsia"/>
              </w:rPr>
            </w:pPr>
            <w:r>
              <w:rPr>
                <w:rFonts w:hint="eastAsia"/>
                <w:lang w:eastAsia="zh-HK"/>
              </w:rPr>
              <w:t>基期</w:t>
            </w:r>
          </w:p>
        </w:tc>
        <w:tc>
          <w:tcPr>
            <w:tcW w:w="1361" w:type="dxa"/>
            <w:tcBorders>
              <w:top w:val="single" w:sz="4" w:space="0" w:color="auto"/>
            </w:tcBorders>
            <w:shd w:val="clear" w:color="auto" w:fill="DEEAF6"/>
            <w:vAlign w:val="center"/>
          </w:tcPr>
          <w:p w:rsidR="00727F32" w:rsidRPr="005E1223" w:rsidRDefault="00727F32" w:rsidP="002E2B6F">
            <w:pPr>
              <w:pStyle w:val="142"/>
              <w:jc w:val="right"/>
              <w:rPr>
                <w:rFonts w:hint="eastAsia"/>
              </w:rPr>
            </w:pPr>
            <w:r>
              <w:rPr>
                <w:rFonts w:hint="eastAsia"/>
              </w:rPr>
              <w:t>-6.48</w:t>
            </w:r>
          </w:p>
        </w:tc>
        <w:tc>
          <w:tcPr>
            <w:tcW w:w="1361" w:type="dxa"/>
            <w:tcBorders>
              <w:top w:val="single" w:sz="4" w:space="0" w:color="auto"/>
            </w:tcBorders>
            <w:shd w:val="clear" w:color="auto" w:fill="DEEAF6"/>
            <w:vAlign w:val="center"/>
          </w:tcPr>
          <w:p w:rsidR="00727F32" w:rsidRPr="005E1223" w:rsidRDefault="00727F32" w:rsidP="002E2B6F">
            <w:pPr>
              <w:pStyle w:val="142"/>
              <w:jc w:val="right"/>
              <w:rPr>
                <w:rFonts w:hint="eastAsia"/>
              </w:rPr>
            </w:pPr>
            <w:r>
              <w:rPr>
                <w:rFonts w:hint="eastAsia"/>
              </w:rPr>
              <w:t>-15.77</w:t>
            </w:r>
          </w:p>
        </w:tc>
        <w:tc>
          <w:tcPr>
            <w:tcW w:w="1361" w:type="dxa"/>
            <w:tcBorders>
              <w:top w:val="single" w:sz="4" w:space="0" w:color="auto"/>
            </w:tcBorders>
            <w:shd w:val="clear" w:color="auto" w:fill="DEEAF6"/>
          </w:tcPr>
          <w:p w:rsidR="00727F32" w:rsidRPr="005E1223" w:rsidRDefault="00727F32" w:rsidP="002E2B6F">
            <w:pPr>
              <w:pStyle w:val="142"/>
              <w:jc w:val="right"/>
            </w:pPr>
            <w:r>
              <w:rPr>
                <w:rFonts w:hint="eastAsia"/>
              </w:rPr>
              <w:t>-22.94</w:t>
            </w:r>
          </w:p>
        </w:tc>
        <w:tc>
          <w:tcPr>
            <w:tcW w:w="1361" w:type="dxa"/>
            <w:tcBorders>
              <w:top w:val="single" w:sz="4" w:space="0" w:color="auto"/>
            </w:tcBorders>
            <w:shd w:val="clear" w:color="auto" w:fill="DEEAF6"/>
          </w:tcPr>
          <w:p w:rsidR="00727F32" w:rsidRPr="005E1223" w:rsidRDefault="00727F32" w:rsidP="002E2B6F">
            <w:pPr>
              <w:pStyle w:val="142"/>
              <w:jc w:val="right"/>
              <w:rPr>
                <w:rFonts w:hint="eastAsia"/>
              </w:rPr>
            </w:pPr>
            <w:r>
              <w:rPr>
                <w:rFonts w:hint="eastAsia"/>
              </w:rPr>
              <w:t>-15.20</w:t>
            </w:r>
          </w:p>
        </w:tc>
      </w:tr>
      <w:tr w:rsidR="002E2B6F" w:rsidRPr="003B67EB" w:rsidTr="00727F32">
        <w:tc>
          <w:tcPr>
            <w:tcW w:w="2268" w:type="dxa"/>
            <w:tcBorders>
              <w:top w:val="single" w:sz="4" w:space="0" w:color="auto"/>
            </w:tcBorders>
            <w:shd w:val="clear" w:color="auto" w:fill="auto"/>
          </w:tcPr>
          <w:p w:rsidR="002E2B6F" w:rsidRPr="005E1223" w:rsidRDefault="002E2B6F" w:rsidP="002E2B6F">
            <w:pPr>
              <w:pStyle w:val="142"/>
            </w:pPr>
            <w:r w:rsidRPr="005E1223">
              <w:rPr>
                <w:rFonts w:hint="eastAsia"/>
              </w:rPr>
              <w:t>占總淨收益比率</w:t>
            </w:r>
          </w:p>
        </w:tc>
        <w:tc>
          <w:tcPr>
            <w:tcW w:w="1360" w:type="dxa"/>
            <w:tcBorders>
              <w:top w:val="single" w:sz="4" w:space="0" w:color="auto"/>
            </w:tcBorders>
            <w:shd w:val="clear" w:color="auto" w:fill="auto"/>
            <w:vAlign w:val="center"/>
          </w:tcPr>
          <w:p w:rsidR="002E2B6F" w:rsidRPr="005E1223" w:rsidRDefault="002E2B6F" w:rsidP="002E2B6F">
            <w:pPr>
              <w:pStyle w:val="142"/>
              <w:jc w:val="right"/>
            </w:pPr>
            <w:r w:rsidRPr="005E1223">
              <w:rPr>
                <w:rFonts w:hint="eastAsia"/>
              </w:rPr>
              <w:t>1</w:t>
            </w:r>
            <w:r w:rsidR="00D5342D">
              <w:t>4.16</w:t>
            </w:r>
          </w:p>
        </w:tc>
        <w:tc>
          <w:tcPr>
            <w:tcW w:w="1361" w:type="dxa"/>
            <w:tcBorders>
              <w:top w:val="single" w:sz="4" w:space="0" w:color="auto"/>
            </w:tcBorders>
            <w:shd w:val="clear" w:color="auto" w:fill="auto"/>
            <w:vAlign w:val="center"/>
          </w:tcPr>
          <w:p w:rsidR="002E2B6F" w:rsidRPr="005E1223" w:rsidRDefault="002E2B6F" w:rsidP="002E2B6F">
            <w:pPr>
              <w:pStyle w:val="142"/>
              <w:jc w:val="right"/>
            </w:pPr>
            <w:r w:rsidRPr="005E1223">
              <w:rPr>
                <w:rFonts w:hint="eastAsia"/>
              </w:rPr>
              <w:t>1</w:t>
            </w:r>
            <w:r w:rsidR="00D5342D">
              <w:t>1.57</w:t>
            </w:r>
          </w:p>
        </w:tc>
        <w:tc>
          <w:tcPr>
            <w:tcW w:w="1361" w:type="dxa"/>
            <w:tcBorders>
              <w:top w:val="single" w:sz="4" w:space="0" w:color="auto"/>
            </w:tcBorders>
            <w:shd w:val="clear" w:color="auto" w:fill="auto"/>
            <w:vAlign w:val="center"/>
          </w:tcPr>
          <w:p w:rsidR="002E2B6F" w:rsidRPr="005E1223" w:rsidRDefault="002E2B6F" w:rsidP="002E2B6F">
            <w:pPr>
              <w:pStyle w:val="142"/>
              <w:jc w:val="right"/>
            </w:pPr>
            <w:r w:rsidRPr="005E1223">
              <w:rPr>
                <w:rFonts w:hint="eastAsia"/>
              </w:rPr>
              <w:t>9</w:t>
            </w:r>
            <w:r w:rsidR="00D5342D">
              <w:t>.51</w:t>
            </w:r>
          </w:p>
        </w:tc>
        <w:tc>
          <w:tcPr>
            <w:tcW w:w="1361" w:type="dxa"/>
            <w:tcBorders>
              <w:top w:val="single" w:sz="4" w:space="0" w:color="auto"/>
            </w:tcBorders>
            <w:shd w:val="clear" w:color="auto" w:fill="auto"/>
          </w:tcPr>
          <w:p w:rsidR="002E2B6F" w:rsidRPr="005E1223" w:rsidRDefault="00D5342D" w:rsidP="002E2B6F">
            <w:pPr>
              <w:pStyle w:val="142"/>
              <w:jc w:val="right"/>
            </w:pPr>
            <w:r>
              <w:t>6.67</w:t>
            </w:r>
          </w:p>
        </w:tc>
        <w:tc>
          <w:tcPr>
            <w:tcW w:w="1361" w:type="dxa"/>
            <w:tcBorders>
              <w:top w:val="single" w:sz="4" w:space="0" w:color="auto"/>
            </w:tcBorders>
          </w:tcPr>
          <w:p w:rsidR="002E2B6F" w:rsidRPr="005E1223" w:rsidRDefault="002E2B6F" w:rsidP="002E2B6F">
            <w:pPr>
              <w:pStyle w:val="142"/>
              <w:jc w:val="right"/>
            </w:pPr>
            <w:r w:rsidRPr="005E1223">
              <w:rPr>
                <w:rFonts w:hint="eastAsia"/>
              </w:rPr>
              <w:t>6.70</w:t>
            </w:r>
          </w:p>
        </w:tc>
      </w:tr>
    </w:tbl>
    <w:p w:rsidR="00CD32F3" w:rsidRPr="003B67EB" w:rsidRDefault="00CD32F3" w:rsidP="000168A1">
      <w:pPr>
        <w:spacing w:line="280" w:lineRule="exact"/>
        <w:ind w:leftChars="-200" w:left="-566" w:firstLineChars="0" w:firstLine="0"/>
        <w:jc w:val="left"/>
        <w:rPr>
          <w:rFonts w:hAnsi="標楷體"/>
          <w:sz w:val="24"/>
        </w:rPr>
      </w:pPr>
      <w:r w:rsidRPr="003B67EB">
        <w:rPr>
          <w:rFonts w:hAnsi="標楷體" w:hint="eastAsia"/>
          <w:sz w:val="24"/>
        </w:rPr>
        <w:t>說    明</w:t>
      </w:r>
      <w:r w:rsidRPr="003B67EB">
        <w:rPr>
          <w:rFonts w:hAnsi="標楷體" w:cs="全字庫正宋體" w:hint="eastAsia"/>
          <w:sz w:val="24"/>
        </w:rPr>
        <w:t>：</w:t>
      </w:r>
      <w:r>
        <w:rPr>
          <w:rFonts w:hAnsi="標楷體" w:hint="eastAsia"/>
          <w:sz w:val="24"/>
        </w:rPr>
        <w:t>表內總淨收益係指利息淨收益加計利息以外淨收益之合計數</w:t>
      </w:r>
      <w:r w:rsidRPr="003B67EB">
        <w:rPr>
          <w:rFonts w:hAnsi="標楷體" w:hint="eastAsia"/>
          <w:sz w:val="24"/>
        </w:rPr>
        <w:t>。</w:t>
      </w:r>
    </w:p>
    <w:p w:rsidR="00CD32F3" w:rsidRPr="00B6310B" w:rsidRDefault="00CD32F3" w:rsidP="000168A1">
      <w:pPr>
        <w:spacing w:line="280" w:lineRule="exact"/>
        <w:ind w:leftChars="-200" w:left="-566" w:firstLineChars="0" w:firstLine="0"/>
        <w:jc w:val="left"/>
        <w:rPr>
          <w:rFonts w:hAnsi="標楷體"/>
          <w:sz w:val="24"/>
        </w:rPr>
      </w:pPr>
      <w:r w:rsidRPr="00B6310B">
        <w:rPr>
          <w:rFonts w:hAnsi="標楷體" w:hint="eastAsia"/>
          <w:sz w:val="24"/>
        </w:rPr>
        <w:t>資料來源：臺灣銀行各年度年報及臺灣銀行提供。</w:t>
      </w:r>
    </w:p>
    <w:p w:rsidR="00CD32F3" w:rsidRPr="00872B86" w:rsidRDefault="00CD32F3" w:rsidP="00CD32F3">
      <w:pPr>
        <w:pStyle w:val="a4"/>
        <w:ind w:left="849" w:hanging="283"/>
        <w:rPr>
          <w:rFonts w:hAnsi="標楷體"/>
          <w:b/>
        </w:rPr>
      </w:pPr>
      <w:r w:rsidRPr="00872B86">
        <w:rPr>
          <w:rFonts w:hAnsi="標楷體" w:hint="eastAsia"/>
          <w:b/>
        </w:rPr>
        <w:t>(</w:t>
      </w:r>
      <w:r>
        <w:rPr>
          <w:rFonts w:hAnsi="標楷體" w:hint="eastAsia"/>
          <w:b/>
        </w:rPr>
        <w:t>二</w:t>
      </w:r>
      <w:r w:rsidRPr="00872B86">
        <w:rPr>
          <w:rFonts w:hAnsi="標楷體" w:hint="eastAsia"/>
          <w:b/>
        </w:rPr>
        <w:t>)</w:t>
      </w:r>
      <w:r w:rsidR="000E5FCA">
        <w:rPr>
          <w:rFonts w:hAnsi="標楷體"/>
          <w:b/>
        </w:rPr>
        <w:t>113</w:t>
      </w:r>
      <w:r w:rsidR="000E5FCA">
        <w:rPr>
          <w:rFonts w:hAnsi="標楷體" w:hint="eastAsia"/>
          <w:b/>
          <w:lang w:eastAsia="zh-HK"/>
        </w:rPr>
        <w:t>年度</w:t>
      </w:r>
      <w:r w:rsidRPr="00CD32F3">
        <w:rPr>
          <w:rFonts w:hAnsi="標楷體" w:hint="eastAsia"/>
          <w:b/>
        </w:rPr>
        <w:t>財富管理手續費收入</w:t>
      </w:r>
      <w:r w:rsidR="00880D9B">
        <w:rPr>
          <w:rFonts w:hAnsi="標楷體" w:hint="eastAsia"/>
          <w:b/>
          <w:lang w:eastAsia="zh-HK"/>
        </w:rPr>
        <w:t>已</w:t>
      </w:r>
      <w:r w:rsidR="000E5FCA">
        <w:rPr>
          <w:rFonts w:hAnsi="標楷體" w:hint="eastAsia"/>
          <w:b/>
          <w:lang w:eastAsia="zh-HK"/>
        </w:rPr>
        <w:t>較</w:t>
      </w:r>
      <w:r w:rsidR="000E5FCA">
        <w:rPr>
          <w:rFonts w:hAnsi="標楷體" w:hint="eastAsia"/>
          <w:b/>
        </w:rPr>
        <w:t>112</w:t>
      </w:r>
      <w:r w:rsidR="00880D9B">
        <w:rPr>
          <w:rFonts w:hAnsi="標楷體" w:hint="eastAsia"/>
          <w:b/>
          <w:lang w:eastAsia="zh-HK"/>
        </w:rPr>
        <w:t>年度</w:t>
      </w:r>
      <w:r w:rsidR="000E5FCA">
        <w:rPr>
          <w:rFonts w:hAnsi="標楷體" w:hint="eastAsia"/>
          <w:b/>
          <w:lang w:eastAsia="zh-HK"/>
        </w:rPr>
        <w:t>提升</w:t>
      </w:r>
      <w:r w:rsidR="000E5FCA">
        <w:rPr>
          <w:rFonts w:hAnsi="標楷體" w:hint="eastAsia"/>
          <w:b/>
        </w:rPr>
        <w:t>，</w:t>
      </w:r>
      <w:r w:rsidR="000E5FCA">
        <w:rPr>
          <w:rFonts w:hAnsi="標楷體" w:hint="eastAsia"/>
          <w:b/>
          <w:lang w:eastAsia="zh-HK"/>
        </w:rPr>
        <w:t>惟</w:t>
      </w:r>
      <w:r w:rsidR="00880D9B">
        <w:rPr>
          <w:rFonts w:hAnsi="標楷體" w:hint="eastAsia"/>
          <w:b/>
          <w:lang w:eastAsia="zh-HK"/>
        </w:rPr>
        <w:t>其中</w:t>
      </w:r>
      <w:r w:rsidR="00F00012" w:rsidRPr="00F00012">
        <w:rPr>
          <w:rFonts w:hAnsi="標楷體" w:hint="eastAsia"/>
          <w:b/>
          <w:lang w:eastAsia="zh-HK"/>
        </w:rPr>
        <w:t>保險手續費收入</w:t>
      </w:r>
      <w:r w:rsidR="00F00012">
        <w:rPr>
          <w:rFonts w:hAnsi="標楷體" w:hint="eastAsia"/>
          <w:b/>
          <w:lang w:eastAsia="zh-HK"/>
        </w:rPr>
        <w:t>及</w:t>
      </w:r>
      <w:r w:rsidR="00F00012" w:rsidRPr="00F00012">
        <w:rPr>
          <w:rFonts w:hAnsi="標楷體" w:hint="eastAsia"/>
          <w:b/>
          <w:lang w:eastAsia="zh-HK"/>
        </w:rPr>
        <w:t>黃金存摺手續費收入</w:t>
      </w:r>
      <w:r w:rsidR="00880D9B">
        <w:rPr>
          <w:rFonts w:hAnsi="標楷體" w:hint="eastAsia"/>
          <w:b/>
          <w:lang w:eastAsia="zh-HK"/>
        </w:rPr>
        <w:t>仍未回復往年水準</w:t>
      </w:r>
      <w:r w:rsidR="00F00012">
        <w:rPr>
          <w:rFonts w:hAnsi="標楷體" w:hint="eastAsia"/>
          <w:b/>
        </w:rPr>
        <w:t>，</w:t>
      </w:r>
      <w:r w:rsidRPr="00CD32F3">
        <w:rPr>
          <w:rFonts w:hAnsi="標楷體" w:hint="eastAsia"/>
          <w:b/>
        </w:rPr>
        <w:t>允宜加強推展業務</w:t>
      </w:r>
    </w:p>
    <w:p w:rsidR="006B2649" w:rsidRPr="005820D1" w:rsidRDefault="004E4C78" w:rsidP="00132788">
      <w:pPr>
        <w:pStyle w:val="21"/>
        <w:ind w:left="850" w:firstLine="566"/>
        <w:rPr>
          <w:rFonts w:hint="eastAsia"/>
        </w:rPr>
      </w:pPr>
      <w:r>
        <w:rPr>
          <w:rFonts w:hint="eastAsia"/>
          <w:lang w:eastAsia="zh-HK"/>
        </w:rPr>
        <w:t>觀</w:t>
      </w:r>
      <w:r>
        <w:rPr>
          <w:rFonts w:hint="eastAsia"/>
        </w:rPr>
        <w:t>近年</w:t>
      </w:r>
      <w:r w:rsidR="006B2649" w:rsidRPr="006B2649">
        <w:rPr>
          <w:rFonts w:hint="eastAsia"/>
        </w:rPr>
        <w:t>臺灣銀行財富管理業務執行情形，該行整體財富管理業務收入</w:t>
      </w:r>
      <w:r>
        <w:rPr>
          <w:rFonts w:hint="eastAsia"/>
          <w:lang w:eastAsia="zh-HK"/>
        </w:rPr>
        <w:t>呈下滑趨勢</w:t>
      </w:r>
      <w:r>
        <w:rPr>
          <w:rFonts w:hint="eastAsia"/>
        </w:rPr>
        <w:t>，</w:t>
      </w:r>
      <w:r w:rsidR="006B2649" w:rsidRPr="006B2649">
        <w:rPr>
          <w:rFonts w:hint="eastAsia"/>
        </w:rPr>
        <w:t>由10</w:t>
      </w:r>
      <w:r w:rsidR="000E5FCA">
        <w:t>9</w:t>
      </w:r>
      <w:r w:rsidR="006B2649" w:rsidRPr="006B2649">
        <w:rPr>
          <w:rFonts w:hint="eastAsia"/>
        </w:rPr>
        <w:t>年度1</w:t>
      </w:r>
      <w:r w:rsidR="000E5FCA">
        <w:t>1</w:t>
      </w:r>
      <w:r w:rsidR="000E5FCA">
        <w:rPr>
          <w:rFonts w:hint="eastAsia"/>
        </w:rPr>
        <w:t>.</w:t>
      </w:r>
      <w:r w:rsidR="000E5FCA">
        <w:t>53</w:t>
      </w:r>
      <w:r w:rsidR="006B2649" w:rsidRPr="006B2649">
        <w:rPr>
          <w:rFonts w:hint="eastAsia"/>
        </w:rPr>
        <w:t>億元逐年減至11</w:t>
      </w:r>
      <w:r w:rsidR="00E80407">
        <w:rPr>
          <w:rFonts w:hint="eastAsia"/>
        </w:rPr>
        <w:t>2</w:t>
      </w:r>
      <w:r w:rsidR="006B2649" w:rsidRPr="006B2649">
        <w:rPr>
          <w:rFonts w:hint="eastAsia"/>
        </w:rPr>
        <w:t>年度5.94億元</w:t>
      </w:r>
      <w:r>
        <w:rPr>
          <w:rFonts w:hint="eastAsia"/>
        </w:rPr>
        <w:t>，</w:t>
      </w:r>
      <w:r w:rsidR="006B2649" w:rsidRPr="006B2649">
        <w:rPr>
          <w:rFonts w:hint="eastAsia"/>
        </w:rPr>
        <w:t>減幅</w:t>
      </w:r>
      <w:r w:rsidR="00E80407">
        <w:rPr>
          <w:rFonts w:hint="eastAsia"/>
        </w:rPr>
        <w:t>48.48</w:t>
      </w:r>
      <w:r>
        <w:rPr>
          <w:rFonts w:hint="eastAsia"/>
        </w:rPr>
        <w:t>%，</w:t>
      </w:r>
      <w:r w:rsidR="006B2649" w:rsidRPr="006B2649">
        <w:rPr>
          <w:rFonts w:hint="eastAsia"/>
        </w:rPr>
        <w:t>業務拓展成效</w:t>
      </w:r>
      <w:r>
        <w:rPr>
          <w:rFonts w:hint="eastAsia"/>
          <w:lang w:eastAsia="zh-HK"/>
        </w:rPr>
        <w:t>未臻理想</w:t>
      </w:r>
      <w:r w:rsidR="006B2649" w:rsidRPr="006B2649">
        <w:rPr>
          <w:rFonts w:hint="eastAsia"/>
        </w:rPr>
        <w:t>(詳表2)</w:t>
      </w:r>
      <w:r>
        <w:rPr>
          <w:rFonts w:hint="eastAsia"/>
        </w:rPr>
        <w:t>。</w:t>
      </w:r>
      <w:r w:rsidR="00E80407">
        <w:rPr>
          <w:rFonts w:hint="eastAsia"/>
        </w:rPr>
        <w:t>113</w:t>
      </w:r>
      <w:r w:rsidR="00E80407">
        <w:rPr>
          <w:rFonts w:hint="eastAsia"/>
          <w:lang w:eastAsia="zh-HK"/>
        </w:rPr>
        <w:t>年度雖</w:t>
      </w:r>
      <w:r>
        <w:rPr>
          <w:rFonts w:hint="eastAsia"/>
          <w:lang w:eastAsia="zh-HK"/>
        </w:rPr>
        <w:t>回</w:t>
      </w:r>
      <w:r w:rsidR="00DE199B">
        <w:rPr>
          <w:rFonts w:hint="eastAsia"/>
          <w:lang w:eastAsia="zh-HK"/>
        </w:rPr>
        <w:t>升至</w:t>
      </w:r>
      <w:r w:rsidR="00DE199B">
        <w:rPr>
          <w:rFonts w:hint="eastAsia"/>
        </w:rPr>
        <w:t>9.51</w:t>
      </w:r>
      <w:r w:rsidR="00DE199B">
        <w:rPr>
          <w:rFonts w:hint="eastAsia"/>
          <w:lang w:eastAsia="zh-HK"/>
        </w:rPr>
        <w:t>億元</w:t>
      </w:r>
      <w:r w:rsidR="00DE199B">
        <w:rPr>
          <w:rFonts w:hint="eastAsia"/>
        </w:rPr>
        <w:t>，</w:t>
      </w:r>
      <w:r w:rsidR="00DE199B">
        <w:rPr>
          <w:rFonts w:hint="eastAsia"/>
          <w:lang w:eastAsia="zh-HK"/>
        </w:rPr>
        <w:t>惟</w:t>
      </w:r>
      <w:r w:rsidR="00DE199B" w:rsidRPr="00DE199B">
        <w:rPr>
          <w:rFonts w:hint="eastAsia"/>
          <w:lang w:eastAsia="zh-HK"/>
        </w:rPr>
        <w:t>保險手續費收入</w:t>
      </w:r>
      <w:r w:rsidR="00DE199B">
        <w:rPr>
          <w:rFonts w:hint="eastAsia"/>
          <w:lang w:eastAsia="zh-HK"/>
        </w:rPr>
        <w:t>及</w:t>
      </w:r>
      <w:r w:rsidR="00DE199B" w:rsidRPr="00DE199B">
        <w:rPr>
          <w:rFonts w:hint="eastAsia"/>
          <w:lang w:eastAsia="zh-HK"/>
        </w:rPr>
        <w:t>黃金存摺手續費收入</w:t>
      </w:r>
      <w:r w:rsidR="00DE199B">
        <w:rPr>
          <w:rFonts w:hint="eastAsia"/>
          <w:lang w:eastAsia="zh-HK"/>
        </w:rPr>
        <w:t>仍</w:t>
      </w:r>
      <w:r>
        <w:rPr>
          <w:rFonts w:hint="eastAsia"/>
          <w:lang w:eastAsia="zh-HK"/>
        </w:rPr>
        <w:t>多</w:t>
      </w:r>
      <w:r w:rsidR="00DE199B">
        <w:rPr>
          <w:rFonts w:hint="eastAsia"/>
          <w:lang w:eastAsia="zh-HK"/>
        </w:rPr>
        <w:t>呈下降趨勢</w:t>
      </w:r>
      <w:r w:rsidR="00F564D8">
        <w:rPr>
          <w:rFonts w:hint="eastAsia"/>
        </w:rPr>
        <w:t>。</w:t>
      </w:r>
      <w:r>
        <w:rPr>
          <w:rFonts w:hint="eastAsia"/>
          <w:lang w:eastAsia="zh-HK"/>
        </w:rPr>
        <w:t>其中</w:t>
      </w:r>
      <w:r w:rsidRPr="005820D1">
        <w:rPr>
          <w:rFonts w:hint="eastAsia"/>
          <w:b/>
        </w:rPr>
        <w:t>保險手續費收入</w:t>
      </w:r>
      <w:r>
        <w:rPr>
          <w:rFonts w:cs="全字庫正宋體" w:hint="eastAsia"/>
          <w:b/>
        </w:rPr>
        <w:t>，</w:t>
      </w:r>
      <w:r w:rsidRPr="005820D1">
        <w:rPr>
          <w:rFonts w:hint="eastAsia"/>
        </w:rPr>
        <w:t>由10</w:t>
      </w:r>
      <w:r>
        <w:rPr>
          <w:rFonts w:hint="eastAsia"/>
        </w:rPr>
        <w:t>9</w:t>
      </w:r>
      <w:r w:rsidRPr="005820D1">
        <w:rPr>
          <w:rFonts w:hint="eastAsia"/>
        </w:rPr>
        <w:t>年度</w:t>
      </w:r>
      <w:r>
        <w:rPr>
          <w:rFonts w:hint="eastAsia"/>
        </w:rPr>
        <w:t>6.89</w:t>
      </w:r>
      <w:r w:rsidRPr="005820D1">
        <w:rPr>
          <w:rFonts w:hint="eastAsia"/>
        </w:rPr>
        <w:t>億元逐年減至11</w:t>
      </w:r>
      <w:r w:rsidRPr="005820D1">
        <w:t>2</w:t>
      </w:r>
      <w:r w:rsidRPr="005820D1">
        <w:rPr>
          <w:rFonts w:hint="eastAsia"/>
        </w:rPr>
        <w:t>年度3.</w:t>
      </w:r>
      <w:r w:rsidRPr="005820D1">
        <w:t>22</w:t>
      </w:r>
      <w:r w:rsidRPr="005820D1">
        <w:rPr>
          <w:rFonts w:hint="eastAsia"/>
        </w:rPr>
        <w:t>億元(減幅</w:t>
      </w:r>
      <w:r>
        <w:rPr>
          <w:rFonts w:hint="eastAsia"/>
        </w:rPr>
        <w:t>53</w:t>
      </w:r>
      <w:r w:rsidRPr="005820D1">
        <w:rPr>
          <w:rFonts w:hint="eastAsia"/>
        </w:rPr>
        <w:t>.</w:t>
      </w:r>
      <w:r>
        <w:rPr>
          <w:rFonts w:hint="eastAsia"/>
        </w:rPr>
        <w:t>27</w:t>
      </w:r>
      <w:r w:rsidRPr="005820D1">
        <w:rPr>
          <w:rFonts w:hint="eastAsia"/>
        </w:rPr>
        <w:t>%)</w:t>
      </w:r>
      <w:r w:rsidR="000014FB">
        <w:rPr>
          <w:rFonts w:hint="eastAsia"/>
        </w:rPr>
        <w:t>。</w:t>
      </w:r>
      <w:r w:rsidRPr="005820D1">
        <w:rPr>
          <w:rFonts w:hint="eastAsia"/>
        </w:rPr>
        <w:t>據該行表示主要係儲蓄型保單及</w:t>
      </w:r>
      <w:r w:rsidR="000014FB">
        <w:rPr>
          <w:rFonts w:hint="eastAsia"/>
        </w:rPr>
        <w:t>投資型保單銷售推展</w:t>
      </w:r>
      <w:r w:rsidR="000014FB">
        <w:rPr>
          <w:rFonts w:hint="eastAsia"/>
          <w:lang w:eastAsia="zh-HK"/>
        </w:rPr>
        <w:t>不易</w:t>
      </w:r>
      <w:r w:rsidRPr="005820D1">
        <w:rPr>
          <w:rFonts w:hint="eastAsia"/>
        </w:rPr>
        <w:t>，</w:t>
      </w:r>
      <w:r w:rsidR="000014FB">
        <w:rPr>
          <w:rFonts w:hint="eastAsia"/>
          <w:lang w:eastAsia="zh-HK"/>
        </w:rPr>
        <w:t>致業績下滑</w:t>
      </w:r>
      <w:r w:rsidRPr="005820D1">
        <w:rPr>
          <w:rFonts w:hint="eastAsia"/>
        </w:rPr>
        <w:t>。</w:t>
      </w:r>
      <w:r>
        <w:rPr>
          <w:rFonts w:hint="eastAsia"/>
        </w:rPr>
        <w:t>113</w:t>
      </w:r>
      <w:r>
        <w:rPr>
          <w:rFonts w:hint="eastAsia"/>
          <w:lang w:eastAsia="zh-HK"/>
        </w:rPr>
        <w:t>年度為響應主管機關保險回歸保障本質策略，轉型銷售分期繳及保障型保險商品</w:t>
      </w:r>
      <w:r w:rsidR="00880D9B">
        <w:rPr>
          <w:rFonts w:hint="eastAsia"/>
        </w:rPr>
        <w:t>，</w:t>
      </w:r>
      <w:r w:rsidR="00880D9B">
        <w:rPr>
          <w:rFonts w:hint="eastAsia"/>
          <w:lang w:eastAsia="zh-HK"/>
        </w:rPr>
        <w:t>故已較</w:t>
      </w:r>
      <w:r w:rsidR="00880D9B">
        <w:rPr>
          <w:rFonts w:hint="eastAsia"/>
        </w:rPr>
        <w:t>112</w:t>
      </w:r>
      <w:r w:rsidR="00880D9B">
        <w:rPr>
          <w:rFonts w:hint="eastAsia"/>
          <w:lang w:eastAsia="zh-HK"/>
        </w:rPr>
        <w:t>年度之收入增加</w:t>
      </w:r>
      <w:r>
        <w:rPr>
          <w:rFonts w:hint="eastAsia"/>
        </w:rPr>
        <w:t>，</w:t>
      </w:r>
      <w:r w:rsidR="000014FB">
        <w:rPr>
          <w:rFonts w:hint="eastAsia"/>
          <w:lang w:eastAsia="zh-HK"/>
        </w:rPr>
        <w:t>惟</w:t>
      </w:r>
      <w:r>
        <w:rPr>
          <w:rFonts w:hint="eastAsia"/>
          <w:lang w:eastAsia="zh-HK"/>
        </w:rPr>
        <w:t>保險業員需要較長的轉型時間</w:t>
      </w:r>
      <w:r>
        <w:rPr>
          <w:rFonts w:hint="eastAsia"/>
        </w:rPr>
        <w:t>，</w:t>
      </w:r>
      <w:r>
        <w:rPr>
          <w:rFonts w:hint="eastAsia"/>
          <w:lang w:eastAsia="zh-HK"/>
        </w:rPr>
        <w:t>以提高客戶接受度等致影響成長動能</w:t>
      </w:r>
      <w:r w:rsidR="00880D9B">
        <w:rPr>
          <w:rFonts w:hint="eastAsia"/>
        </w:rPr>
        <w:t>，</w:t>
      </w:r>
      <w:r w:rsidR="00880D9B">
        <w:rPr>
          <w:rFonts w:hint="eastAsia"/>
          <w:lang w:eastAsia="zh-HK"/>
        </w:rPr>
        <w:t>因而未能回復</w:t>
      </w:r>
      <w:r w:rsidR="00880D9B">
        <w:rPr>
          <w:rFonts w:hint="eastAsia"/>
        </w:rPr>
        <w:t>109</w:t>
      </w:r>
      <w:r w:rsidR="00FA521B">
        <w:rPr>
          <w:rFonts w:hint="eastAsia"/>
          <w:lang w:eastAsia="zh-HK"/>
        </w:rPr>
        <w:t>及</w:t>
      </w:r>
      <w:r w:rsidR="00FA521B">
        <w:rPr>
          <w:rFonts w:hint="eastAsia"/>
        </w:rPr>
        <w:t>110</w:t>
      </w:r>
      <w:r w:rsidR="00FA521B">
        <w:rPr>
          <w:rFonts w:hint="eastAsia"/>
          <w:lang w:eastAsia="zh-HK"/>
        </w:rPr>
        <w:t>年度水準</w:t>
      </w:r>
      <w:r>
        <w:rPr>
          <w:rFonts w:hint="eastAsia"/>
        </w:rPr>
        <w:t>。</w:t>
      </w:r>
      <w:r w:rsidR="000014FB">
        <w:rPr>
          <w:rFonts w:hint="eastAsia"/>
          <w:lang w:eastAsia="zh-HK"/>
        </w:rPr>
        <w:t>另</w:t>
      </w:r>
      <w:r>
        <w:rPr>
          <w:rFonts w:hint="eastAsia"/>
          <w:b/>
        </w:rPr>
        <w:t>黃金存摺手續費收入，</w:t>
      </w:r>
      <w:r w:rsidRPr="00120819">
        <w:rPr>
          <w:rFonts w:hint="eastAsia"/>
        </w:rPr>
        <w:t>由109年度1.48億元減至11</w:t>
      </w:r>
      <w:r w:rsidRPr="00120819">
        <w:t>2</w:t>
      </w:r>
      <w:r w:rsidRPr="00120819">
        <w:rPr>
          <w:rFonts w:hint="eastAsia"/>
        </w:rPr>
        <w:t>年度0.</w:t>
      </w:r>
      <w:r w:rsidRPr="00120819">
        <w:t>66</w:t>
      </w:r>
      <w:r w:rsidRPr="00120819">
        <w:rPr>
          <w:rFonts w:hint="eastAsia"/>
        </w:rPr>
        <w:t>億元(減幅5</w:t>
      </w:r>
      <w:r w:rsidRPr="00120819">
        <w:t>5</w:t>
      </w:r>
      <w:r w:rsidRPr="00120819">
        <w:rPr>
          <w:rFonts w:hint="eastAsia"/>
        </w:rPr>
        <w:t>.</w:t>
      </w:r>
      <w:r w:rsidRPr="00120819">
        <w:t>41</w:t>
      </w:r>
      <w:r w:rsidRPr="00120819">
        <w:rPr>
          <w:rFonts w:hint="eastAsia"/>
        </w:rPr>
        <w:t>%)，據該行表示</w:t>
      </w:r>
      <w:r w:rsidR="000014FB" w:rsidRPr="00120819">
        <w:rPr>
          <w:rFonts w:hint="eastAsia"/>
        </w:rPr>
        <w:t>，</w:t>
      </w:r>
      <w:r w:rsidRPr="00120819">
        <w:rPr>
          <w:rFonts w:hint="eastAsia"/>
        </w:rPr>
        <w:t>11</w:t>
      </w:r>
      <w:r w:rsidRPr="00120819">
        <w:t>2</w:t>
      </w:r>
      <w:r w:rsidR="000014FB">
        <w:rPr>
          <w:rFonts w:hint="eastAsia"/>
        </w:rPr>
        <w:t>年以巴戰爭</w:t>
      </w:r>
      <w:r w:rsidR="000014FB">
        <w:rPr>
          <w:rFonts w:hint="eastAsia"/>
          <w:lang w:eastAsia="zh-HK"/>
        </w:rPr>
        <w:t>導致</w:t>
      </w:r>
      <w:r w:rsidR="000014FB">
        <w:rPr>
          <w:rFonts w:hint="eastAsia"/>
        </w:rPr>
        <w:t>地緣政治風險</w:t>
      </w:r>
      <w:r w:rsidRPr="00120819">
        <w:rPr>
          <w:rFonts w:hint="eastAsia"/>
        </w:rPr>
        <w:t>升</w:t>
      </w:r>
      <w:r w:rsidR="000014FB">
        <w:rPr>
          <w:rFonts w:hint="eastAsia"/>
          <w:lang w:eastAsia="zh-HK"/>
        </w:rPr>
        <w:t>高</w:t>
      </w:r>
      <w:r w:rsidRPr="00120819">
        <w:rPr>
          <w:rFonts w:hint="eastAsia"/>
        </w:rPr>
        <w:t>，</w:t>
      </w:r>
      <w:r w:rsidR="000014FB">
        <w:rPr>
          <w:rFonts w:hint="eastAsia"/>
          <w:lang w:eastAsia="zh-HK"/>
        </w:rPr>
        <w:t>雖短期內刺激買賣交易，但隨</w:t>
      </w:r>
      <w:r w:rsidR="000014FB">
        <w:rPr>
          <w:rFonts w:hint="eastAsia"/>
        </w:rPr>
        <w:t>通膨</w:t>
      </w:r>
      <w:r w:rsidR="000014FB">
        <w:rPr>
          <w:rFonts w:hint="eastAsia"/>
          <w:lang w:eastAsia="zh-HK"/>
        </w:rPr>
        <w:t>趨緩</w:t>
      </w:r>
      <w:r w:rsidR="000014FB">
        <w:rPr>
          <w:rFonts w:hint="eastAsia"/>
        </w:rPr>
        <w:t>，金價</w:t>
      </w:r>
      <w:r w:rsidR="000014FB">
        <w:rPr>
          <w:rFonts w:hint="eastAsia"/>
          <w:lang w:eastAsia="zh-HK"/>
        </w:rPr>
        <w:t>維持</w:t>
      </w:r>
      <w:r w:rsidRPr="00120819">
        <w:rPr>
          <w:rFonts w:hint="eastAsia"/>
        </w:rPr>
        <w:t>高檔，投資人轉趨觀望，影響後續銷售動能致手續費收入不如預期。</w:t>
      </w:r>
      <w:r>
        <w:rPr>
          <w:rFonts w:hint="eastAsia"/>
        </w:rPr>
        <w:t>113</w:t>
      </w:r>
      <w:r>
        <w:rPr>
          <w:rFonts w:hint="eastAsia"/>
          <w:lang w:eastAsia="zh-HK"/>
        </w:rPr>
        <w:t>年度</w:t>
      </w:r>
      <w:r w:rsidR="000014FB">
        <w:rPr>
          <w:rFonts w:hint="eastAsia"/>
          <w:lang w:eastAsia="zh-HK"/>
        </w:rPr>
        <w:t>受美國聯準會</w:t>
      </w:r>
      <w:r w:rsidR="000014FB">
        <w:rPr>
          <w:rFonts w:hint="eastAsia"/>
        </w:rPr>
        <w:t>(</w:t>
      </w:r>
      <w:r>
        <w:t>FED</w:t>
      </w:r>
      <w:r w:rsidR="000014FB">
        <w:rPr>
          <w:rFonts w:hint="eastAsia"/>
        </w:rPr>
        <w:t>)</w:t>
      </w:r>
      <w:r>
        <w:rPr>
          <w:rFonts w:hint="eastAsia"/>
          <w:lang w:eastAsia="zh-HK"/>
        </w:rPr>
        <w:t>啟動降息循環</w:t>
      </w:r>
      <w:r>
        <w:rPr>
          <w:rFonts w:hint="eastAsia"/>
        </w:rPr>
        <w:t>、</w:t>
      </w:r>
      <w:r>
        <w:rPr>
          <w:rFonts w:hint="eastAsia"/>
          <w:lang w:eastAsia="zh-HK"/>
        </w:rPr>
        <w:t>地緣政治風險及市場供需</w:t>
      </w:r>
      <w:r w:rsidR="000014FB">
        <w:rPr>
          <w:rFonts w:hint="eastAsia"/>
          <w:lang w:eastAsia="zh-HK"/>
        </w:rPr>
        <w:t>變化</w:t>
      </w:r>
      <w:r>
        <w:rPr>
          <w:rFonts w:hint="eastAsia"/>
          <w:lang w:eastAsia="zh-HK"/>
        </w:rPr>
        <w:t>等因素</w:t>
      </w:r>
      <w:r w:rsidR="000014FB">
        <w:rPr>
          <w:rFonts w:hint="eastAsia"/>
          <w:lang w:eastAsia="zh-HK"/>
        </w:rPr>
        <w:t>影響</w:t>
      </w:r>
      <w:r w:rsidR="000014FB">
        <w:rPr>
          <w:rFonts w:hint="eastAsia"/>
        </w:rPr>
        <w:t>，</w:t>
      </w:r>
      <w:r>
        <w:rPr>
          <w:rFonts w:hint="eastAsia"/>
          <w:lang w:eastAsia="zh-HK"/>
        </w:rPr>
        <w:t>投資人</w:t>
      </w:r>
      <w:r w:rsidR="00573A05">
        <w:rPr>
          <w:rFonts w:hint="eastAsia"/>
          <w:lang w:eastAsia="zh-HK"/>
        </w:rPr>
        <w:t>信心回升</w:t>
      </w:r>
      <w:r>
        <w:rPr>
          <w:rFonts w:hint="eastAsia"/>
        </w:rPr>
        <w:t>，</w:t>
      </w:r>
      <w:r w:rsidR="006A58CC">
        <w:rPr>
          <w:rFonts w:hint="eastAsia"/>
          <w:lang w:eastAsia="zh-HK"/>
        </w:rPr>
        <w:t>交易量</w:t>
      </w:r>
      <w:r w:rsidR="00573A05">
        <w:rPr>
          <w:rFonts w:hint="eastAsia"/>
          <w:lang w:eastAsia="zh-HK"/>
        </w:rPr>
        <w:t>增加</w:t>
      </w:r>
      <w:r w:rsidR="006A58CC">
        <w:rPr>
          <w:rFonts w:hint="eastAsia"/>
        </w:rPr>
        <w:t>，</w:t>
      </w:r>
      <w:r w:rsidR="006A58CC" w:rsidRPr="004E4C78">
        <w:rPr>
          <w:rFonts w:hint="eastAsia"/>
          <w:lang w:eastAsia="zh-HK"/>
        </w:rPr>
        <w:t>黃金存摺</w:t>
      </w:r>
      <w:r w:rsidR="006A58CC" w:rsidRPr="004E4C78">
        <w:rPr>
          <w:rFonts w:hint="eastAsia"/>
          <w:lang w:eastAsia="zh-HK"/>
        </w:rPr>
        <w:lastRenderedPageBreak/>
        <w:t>手續費收入</w:t>
      </w:r>
      <w:r w:rsidR="00573A05">
        <w:rPr>
          <w:rFonts w:hint="eastAsia"/>
          <w:lang w:eastAsia="zh-HK"/>
        </w:rPr>
        <w:t>亦</w:t>
      </w:r>
      <w:r>
        <w:rPr>
          <w:rFonts w:hint="eastAsia"/>
          <w:lang w:eastAsia="zh-HK"/>
        </w:rPr>
        <w:t>增</w:t>
      </w:r>
      <w:r w:rsidR="006A58CC">
        <w:rPr>
          <w:rFonts w:hint="eastAsia"/>
          <w:lang w:eastAsia="zh-HK"/>
        </w:rPr>
        <w:t>至</w:t>
      </w:r>
      <w:r>
        <w:rPr>
          <w:rFonts w:hint="eastAsia"/>
        </w:rPr>
        <w:t>1.02</w:t>
      </w:r>
      <w:r>
        <w:rPr>
          <w:rFonts w:hint="eastAsia"/>
          <w:lang w:eastAsia="zh-HK"/>
        </w:rPr>
        <w:t>億元</w:t>
      </w:r>
      <w:r>
        <w:rPr>
          <w:rFonts w:hint="eastAsia"/>
        </w:rPr>
        <w:t>，</w:t>
      </w:r>
      <w:r w:rsidR="006A58CC">
        <w:rPr>
          <w:rFonts w:hint="eastAsia"/>
          <w:lang w:eastAsia="zh-HK"/>
        </w:rPr>
        <w:t>惟</w:t>
      </w:r>
      <w:r>
        <w:rPr>
          <w:rFonts w:hint="eastAsia"/>
          <w:lang w:eastAsia="zh-HK"/>
        </w:rPr>
        <w:t>較</w:t>
      </w:r>
      <w:r>
        <w:rPr>
          <w:rFonts w:hint="eastAsia"/>
        </w:rPr>
        <w:t>109</w:t>
      </w:r>
      <w:r>
        <w:rPr>
          <w:rFonts w:hint="eastAsia"/>
          <w:lang w:eastAsia="zh-HK"/>
        </w:rPr>
        <w:t>年度</w:t>
      </w:r>
      <w:r w:rsidR="006A58CC">
        <w:rPr>
          <w:rFonts w:hint="eastAsia"/>
          <w:lang w:eastAsia="zh-HK"/>
        </w:rPr>
        <w:t>仍</w:t>
      </w:r>
      <w:r>
        <w:rPr>
          <w:rFonts w:hint="eastAsia"/>
          <w:lang w:eastAsia="zh-HK"/>
        </w:rPr>
        <w:t>減幅</w:t>
      </w:r>
      <w:r>
        <w:rPr>
          <w:rFonts w:hint="eastAsia"/>
        </w:rPr>
        <w:t>31.08%</w:t>
      </w:r>
      <w:r w:rsidR="00573A05">
        <w:rPr>
          <w:rFonts w:hint="eastAsia"/>
        </w:rPr>
        <w:t>，</w:t>
      </w:r>
      <w:r w:rsidR="00573A05">
        <w:rPr>
          <w:rFonts w:hint="eastAsia"/>
          <w:lang w:eastAsia="zh-HK"/>
        </w:rPr>
        <w:t>顯示相關業務表現尚未恢復至往年水準</w:t>
      </w:r>
      <w:r w:rsidR="006A58CC">
        <w:rPr>
          <w:rFonts w:hint="eastAsia"/>
        </w:rPr>
        <w:t>。</w:t>
      </w:r>
    </w:p>
    <w:p w:rsidR="006B2649" w:rsidRPr="00FA521B" w:rsidRDefault="00573A05" w:rsidP="00FA521B">
      <w:pPr>
        <w:pStyle w:val="21"/>
        <w:ind w:left="850" w:firstLine="566"/>
        <w:rPr>
          <w:lang w:eastAsia="zh-HK"/>
        </w:rPr>
      </w:pPr>
      <w:r w:rsidRPr="00FA521B">
        <w:rPr>
          <w:rFonts w:hint="eastAsia"/>
          <w:lang w:eastAsia="zh-HK"/>
        </w:rPr>
        <w:lastRenderedPageBreak/>
        <w:t>考量</w:t>
      </w:r>
      <w:r w:rsidR="006B2649" w:rsidRPr="00FA521B">
        <w:rPr>
          <w:rFonts w:hint="eastAsia"/>
          <w:lang w:eastAsia="zh-HK"/>
        </w:rPr>
        <w:t>國際金融市場</w:t>
      </w:r>
      <w:r w:rsidR="00132788" w:rsidRPr="00FA521B">
        <w:rPr>
          <w:rFonts w:hint="eastAsia"/>
          <w:lang w:eastAsia="zh-HK"/>
        </w:rPr>
        <w:t>變動頻仍</w:t>
      </w:r>
      <w:r w:rsidR="00454D00" w:rsidRPr="00FA521B">
        <w:rPr>
          <w:rFonts w:hint="eastAsia"/>
          <w:lang w:eastAsia="zh-HK"/>
        </w:rPr>
        <w:t>及地緣政治</w:t>
      </w:r>
      <w:r w:rsidRPr="00FA521B">
        <w:rPr>
          <w:rFonts w:hint="eastAsia"/>
          <w:lang w:eastAsia="zh-HK"/>
        </w:rPr>
        <w:t>情勢</w:t>
      </w:r>
      <w:r w:rsidR="00132788" w:rsidRPr="00FA521B">
        <w:rPr>
          <w:rFonts w:hint="eastAsia"/>
          <w:lang w:eastAsia="zh-HK"/>
        </w:rPr>
        <w:t>加劇</w:t>
      </w:r>
      <w:r w:rsidRPr="00FA521B">
        <w:rPr>
          <w:rFonts w:hint="eastAsia"/>
          <w:lang w:eastAsia="zh-HK"/>
        </w:rPr>
        <w:t>，</w:t>
      </w:r>
      <w:r w:rsidR="00132788" w:rsidRPr="00FA521B">
        <w:rPr>
          <w:rFonts w:hint="eastAsia"/>
          <w:lang w:eastAsia="zh-HK"/>
        </w:rPr>
        <w:t>對於</w:t>
      </w:r>
      <w:r w:rsidRPr="00FA521B">
        <w:rPr>
          <w:rFonts w:hint="eastAsia"/>
          <w:lang w:eastAsia="zh-HK"/>
        </w:rPr>
        <w:t>該行財富管理業務</w:t>
      </w:r>
      <w:r w:rsidR="00132788" w:rsidRPr="00FA521B">
        <w:rPr>
          <w:rFonts w:hint="eastAsia"/>
          <w:lang w:eastAsia="zh-HK"/>
        </w:rPr>
        <w:t>造成</w:t>
      </w:r>
      <w:r w:rsidRPr="00FA521B">
        <w:rPr>
          <w:rFonts w:hint="eastAsia"/>
          <w:lang w:eastAsia="zh-HK"/>
        </w:rPr>
        <w:t>顯著</w:t>
      </w:r>
      <w:r w:rsidR="00132788" w:rsidRPr="00FA521B">
        <w:rPr>
          <w:rFonts w:hint="eastAsia"/>
          <w:lang w:eastAsia="zh-HK"/>
        </w:rPr>
        <w:t>影響</w:t>
      </w:r>
      <w:r w:rsidR="006B2649" w:rsidRPr="00FA521B">
        <w:rPr>
          <w:rFonts w:hint="eastAsia"/>
          <w:lang w:eastAsia="zh-HK"/>
        </w:rPr>
        <w:t>，</w:t>
      </w:r>
      <w:r w:rsidR="00132788" w:rsidRPr="00FA521B">
        <w:rPr>
          <w:rFonts w:hint="eastAsia"/>
          <w:lang w:eastAsia="zh-HK"/>
        </w:rPr>
        <w:t>相關</w:t>
      </w:r>
      <w:r w:rsidRPr="00FA521B">
        <w:rPr>
          <w:rFonts w:hint="eastAsia"/>
          <w:lang w:eastAsia="zh-HK"/>
        </w:rPr>
        <w:t>金融商品投資與專業管理</w:t>
      </w:r>
      <w:r w:rsidR="00132788" w:rsidRPr="00FA521B">
        <w:rPr>
          <w:rFonts w:hint="eastAsia"/>
          <w:lang w:eastAsia="zh-HK"/>
        </w:rPr>
        <w:t>益形重要，允宜善用該行既有</w:t>
      </w:r>
      <w:r w:rsidR="006B2649" w:rsidRPr="00FA521B">
        <w:rPr>
          <w:rFonts w:hint="eastAsia"/>
          <w:lang w:eastAsia="zh-HK"/>
        </w:rPr>
        <w:t>銷售</w:t>
      </w:r>
      <w:r w:rsidR="00132788" w:rsidRPr="00FA521B">
        <w:rPr>
          <w:rFonts w:hint="eastAsia"/>
          <w:lang w:eastAsia="zh-HK"/>
        </w:rPr>
        <w:t>通路及</w:t>
      </w:r>
      <w:r w:rsidR="006B2649" w:rsidRPr="00FA521B">
        <w:rPr>
          <w:rFonts w:hint="eastAsia"/>
          <w:lang w:eastAsia="zh-HK"/>
        </w:rPr>
        <w:t>專業</w:t>
      </w:r>
      <w:r w:rsidR="00132788" w:rsidRPr="00FA521B">
        <w:rPr>
          <w:rFonts w:hint="eastAsia"/>
          <w:lang w:eastAsia="zh-HK"/>
        </w:rPr>
        <w:t>團隊</w:t>
      </w:r>
      <w:r w:rsidR="006B2649" w:rsidRPr="00FA521B">
        <w:rPr>
          <w:rFonts w:hint="eastAsia"/>
          <w:lang w:eastAsia="zh-HK"/>
        </w:rPr>
        <w:t>人才</w:t>
      </w:r>
      <w:r w:rsidR="00132788" w:rsidRPr="00FA521B">
        <w:rPr>
          <w:rFonts w:hint="eastAsia"/>
          <w:lang w:eastAsia="zh-HK"/>
        </w:rPr>
        <w:t>等優勢，積極精進產品策略與客戶服務，以強化</w:t>
      </w:r>
      <w:r w:rsidR="006B2649" w:rsidRPr="00FA521B">
        <w:rPr>
          <w:rFonts w:hint="eastAsia"/>
          <w:lang w:eastAsia="zh-HK"/>
        </w:rPr>
        <w:t>財富管理業務之</w:t>
      </w:r>
      <w:r w:rsidR="00132788" w:rsidRPr="00FA521B">
        <w:rPr>
          <w:rFonts w:hint="eastAsia"/>
          <w:lang w:eastAsia="zh-HK"/>
        </w:rPr>
        <w:t>競爭力</w:t>
      </w:r>
      <w:r w:rsidR="006B2649" w:rsidRPr="00FA521B">
        <w:rPr>
          <w:rFonts w:hint="eastAsia"/>
          <w:lang w:eastAsia="zh-HK"/>
        </w:rPr>
        <w:t>。</w:t>
      </w:r>
    </w:p>
    <w:p w:rsidR="006B2649" w:rsidRDefault="006B2649" w:rsidP="005E1223">
      <w:pPr>
        <w:ind w:leftChars="-50" w:left="-142" w:firstLineChars="0" w:firstLine="0"/>
        <w:rPr>
          <w:rFonts w:hAnsi="標楷體"/>
          <w:b/>
        </w:rPr>
      </w:pPr>
      <w:r w:rsidRPr="00973A1E">
        <w:rPr>
          <w:rFonts w:hAnsi="標楷體" w:hint="eastAsia"/>
          <w:b/>
        </w:rPr>
        <w:t xml:space="preserve">表2 近年臺灣銀行財富管理業務執行情形一覽表 </w:t>
      </w:r>
      <w:r>
        <w:rPr>
          <w:rFonts w:hAnsi="標楷體"/>
          <w:b/>
        </w:rPr>
        <w:t xml:space="preserve"> </w:t>
      </w:r>
      <w:r w:rsidR="005E1223">
        <w:rPr>
          <w:rFonts w:hAnsi="標楷體"/>
          <w:b/>
        </w:rPr>
        <w:t xml:space="preserve">    </w:t>
      </w:r>
      <w:r w:rsidR="005E1223" w:rsidRPr="00973A1E">
        <w:rPr>
          <w:rFonts w:hAnsi="標楷體" w:hint="eastAsia"/>
          <w:sz w:val="24"/>
          <w:szCs w:val="24"/>
        </w:rPr>
        <w:t>單位：新臺幣億元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87"/>
        <w:gridCol w:w="1272"/>
        <w:gridCol w:w="1272"/>
        <w:gridCol w:w="1272"/>
        <w:gridCol w:w="1272"/>
        <w:gridCol w:w="1272"/>
      </w:tblGrid>
      <w:tr w:rsidR="005650C6" w:rsidRPr="00973A1E" w:rsidTr="005E1223">
        <w:trPr>
          <w:tblHeader/>
        </w:trPr>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項目</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109年度</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110年度</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111年度</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11</w:t>
            </w:r>
            <w:r w:rsidRPr="005E1223">
              <w:rPr>
                <w:rFonts w:hAnsi="標楷體"/>
                <w:snapToGrid/>
                <w:spacing w:val="-5"/>
                <w:kern w:val="0"/>
                <w:sz w:val="24"/>
                <w:szCs w:val="24"/>
              </w:rPr>
              <w:t>2</w:t>
            </w:r>
            <w:r w:rsidRPr="005E1223">
              <w:rPr>
                <w:rFonts w:hAnsi="標楷體" w:hint="eastAsia"/>
                <w:snapToGrid/>
                <w:spacing w:val="-5"/>
                <w:kern w:val="0"/>
                <w:sz w:val="24"/>
                <w:szCs w:val="24"/>
              </w:rPr>
              <w:t>年度</w:t>
            </w:r>
          </w:p>
        </w:tc>
        <w:tc>
          <w:tcPr>
            <w:tcW w:w="1272" w:type="dxa"/>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w:t>
            </w:r>
            <w:r w:rsidRPr="005E1223">
              <w:rPr>
                <w:rFonts w:hAnsi="標楷體"/>
                <w:snapToGrid/>
                <w:spacing w:val="-5"/>
                <w:kern w:val="0"/>
                <w:sz w:val="24"/>
                <w:szCs w:val="24"/>
              </w:rPr>
              <w:t>13</w:t>
            </w:r>
            <w:r w:rsidRPr="005E1223">
              <w:rPr>
                <w:rFonts w:hAnsi="標楷體" w:hint="eastAsia"/>
                <w:snapToGrid/>
                <w:spacing w:val="-5"/>
                <w:kern w:val="0"/>
                <w:sz w:val="24"/>
                <w:szCs w:val="24"/>
                <w:lang w:eastAsia="zh-HK"/>
              </w:rPr>
              <w:t>年度</w:t>
            </w:r>
          </w:p>
        </w:tc>
      </w:tr>
      <w:tr w:rsidR="005650C6" w:rsidRPr="00973A1E" w:rsidTr="005E122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基金手續費收入</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3.16</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3.62</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2.22</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2.</w:t>
            </w:r>
            <w:r w:rsidRPr="005E1223">
              <w:rPr>
                <w:rFonts w:hAnsi="標楷體"/>
                <w:snapToGrid/>
                <w:spacing w:val="-5"/>
                <w:kern w:val="0"/>
                <w:sz w:val="24"/>
                <w:szCs w:val="24"/>
              </w:rPr>
              <w:t>06</w:t>
            </w:r>
          </w:p>
        </w:tc>
        <w:tc>
          <w:tcPr>
            <w:tcW w:w="1272" w:type="dxa"/>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3.26</w:t>
            </w:r>
          </w:p>
        </w:tc>
      </w:tr>
      <w:tr w:rsidR="005650C6" w:rsidRPr="00973A1E" w:rsidTr="00502A6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保險手續費收入</w:t>
            </w:r>
          </w:p>
        </w:tc>
        <w:tc>
          <w:tcPr>
            <w:tcW w:w="1272" w:type="dxa"/>
            <w:shd w:val="clear" w:color="auto" w:fill="DEEAF6"/>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6.89</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6.82</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3.86</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w:t>
            </w:r>
            <w:r w:rsidRPr="005E1223">
              <w:rPr>
                <w:rFonts w:hAnsi="標楷體"/>
                <w:snapToGrid/>
                <w:spacing w:val="-5"/>
                <w:kern w:val="0"/>
                <w:sz w:val="24"/>
                <w:szCs w:val="24"/>
              </w:rPr>
              <w:t>22</w:t>
            </w:r>
          </w:p>
        </w:tc>
        <w:tc>
          <w:tcPr>
            <w:tcW w:w="1272" w:type="dxa"/>
            <w:shd w:val="clear" w:color="auto" w:fill="DEEAF6"/>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5.23</w:t>
            </w:r>
          </w:p>
        </w:tc>
      </w:tr>
      <w:tr w:rsidR="005650C6" w:rsidRPr="00973A1E" w:rsidTr="00502A6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10"/>
                <w:kern w:val="0"/>
                <w:sz w:val="24"/>
                <w:szCs w:val="24"/>
              </w:rPr>
            </w:pPr>
            <w:r w:rsidRPr="005E1223">
              <w:rPr>
                <w:rFonts w:hAnsi="標楷體"/>
                <w:snapToGrid/>
                <w:spacing w:val="-10"/>
                <w:kern w:val="0"/>
                <w:sz w:val="24"/>
                <w:szCs w:val="24"/>
              </w:rPr>
              <w:t>黃金存摺手續費收入</w:t>
            </w:r>
          </w:p>
        </w:tc>
        <w:tc>
          <w:tcPr>
            <w:tcW w:w="1272" w:type="dxa"/>
            <w:shd w:val="clear" w:color="auto" w:fill="DEEAF6"/>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1.48</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0.68</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0.70</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0.6</w:t>
            </w:r>
            <w:r w:rsidRPr="005E1223">
              <w:rPr>
                <w:rFonts w:hAnsi="標楷體"/>
                <w:snapToGrid/>
                <w:spacing w:val="-5"/>
                <w:kern w:val="0"/>
                <w:sz w:val="24"/>
                <w:szCs w:val="24"/>
              </w:rPr>
              <w:t>6</w:t>
            </w:r>
          </w:p>
        </w:tc>
        <w:tc>
          <w:tcPr>
            <w:tcW w:w="1272" w:type="dxa"/>
            <w:shd w:val="clear" w:color="auto" w:fill="DEEAF6"/>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1.02</w:t>
            </w:r>
          </w:p>
        </w:tc>
      </w:tr>
      <w:tr w:rsidR="005650C6" w:rsidRPr="00973A1E" w:rsidTr="00502A6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合計</w:t>
            </w:r>
          </w:p>
        </w:tc>
        <w:tc>
          <w:tcPr>
            <w:tcW w:w="1272" w:type="dxa"/>
            <w:shd w:val="clear" w:color="auto" w:fill="DEEAF6"/>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11.53</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11.12</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6.78</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snapToGrid/>
                <w:spacing w:val="-5"/>
                <w:kern w:val="0"/>
                <w:sz w:val="24"/>
                <w:szCs w:val="24"/>
              </w:rPr>
              <w:t>5</w:t>
            </w:r>
            <w:r w:rsidRPr="005E1223">
              <w:rPr>
                <w:rFonts w:hAnsi="標楷體" w:hint="eastAsia"/>
                <w:snapToGrid/>
                <w:spacing w:val="-5"/>
                <w:kern w:val="0"/>
                <w:sz w:val="24"/>
                <w:szCs w:val="24"/>
              </w:rPr>
              <w:t>.9</w:t>
            </w:r>
            <w:r w:rsidRPr="005E1223">
              <w:rPr>
                <w:rFonts w:hAnsi="標楷體"/>
                <w:snapToGrid/>
                <w:spacing w:val="-5"/>
                <w:kern w:val="0"/>
                <w:sz w:val="24"/>
                <w:szCs w:val="24"/>
              </w:rPr>
              <w:t>4</w:t>
            </w:r>
          </w:p>
        </w:tc>
        <w:tc>
          <w:tcPr>
            <w:tcW w:w="1272" w:type="dxa"/>
            <w:shd w:val="clear" w:color="auto" w:fill="DEEAF6"/>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9.51</w:t>
            </w:r>
          </w:p>
        </w:tc>
      </w:tr>
    </w:tbl>
    <w:p w:rsidR="006B2649" w:rsidRPr="00973A1E" w:rsidRDefault="006B2649" w:rsidP="005E1223">
      <w:pPr>
        <w:pStyle w:val="142"/>
        <w:ind w:leftChars="-50" w:left="-142"/>
      </w:pPr>
      <w:r w:rsidRPr="00973A1E">
        <w:rPr>
          <w:rFonts w:hint="eastAsia"/>
        </w:rPr>
        <w:t>資料來源：臺灣銀行提供。</w:t>
      </w:r>
    </w:p>
    <w:p w:rsidR="00A33729" w:rsidRDefault="00A33729" w:rsidP="00A33729">
      <w:pPr>
        <w:adjustRightInd w:val="0"/>
        <w:ind w:leftChars="201" w:left="569" w:firstLine="566"/>
        <w:rPr>
          <w:rFonts w:hAnsi="標楷體"/>
        </w:rPr>
      </w:pPr>
      <w:r w:rsidRPr="000C21D7">
        <w:rPr>
          <w:rFonts w:hAnsi="標楷體" w:hint="eastAsia"/>
        </w:rPr>
        <w:t>綜上，臺灣銀行</w:t>
      </w:r>
      <w:r w:rsidR="009B1E8F" w:rsidRPr="009B1E8F">
        <w:rPr>
          <w:rFonts w:hAnsi="標楷體" w:hint="eastAsia"/>
        </w:rPr>
        <w:t>109至112年度手續費收入決算數呈逐年下降趨勢，雖113年度手續費收入決算數較112</w:t>
      </w:r>
      <w:r w:rsidR="00930C98">
        <w:rPr>
          <w:rFonts w:hAnsi="標楷體" w:hint="eastAsia"/>
        </w:rPr>
        <w:t>年度</w:t>
      </w:r>
      <w:r w:rsidR="009B1E8F" w:rsidRPr="009B1E8F">
        <w:rPr>
          <w:rFonts w:hAnsi="標楷體" w:hint="eastAsia"/>
        </w:rPr>
        <w:t>上升，惟仍較109年度決算數減</w:t>
      </w:r>
      <w:r w:rsidR="00FA521B">
        <w:rPr>
          <w:rFonts w:hAnsi="標楷體" w:hint="eastAsia"/>
          <w:lang w:eastAsia="zh-HK"/>
        </w:rPr>
        <w:t>少</w:t>
      </w:r>
      <w:r w:rsidR="009B1E8F" w:rsidRPr="009B1E8F">
        <w:rPr>
          <w:rFonts w:hAnsi="標楷體" w:hint="eastAsia"/>
        </w:rPr>
        <w:t>8.97%，</w:t>
      </w:r>
      <w:r w:rsidR="008A21D6">
        <w:rPr>
          <w:rFonts w:hAnsi="標楷體" w:hint="eastAsia"/>
          <w:lang w:eastAsia="zh-HK"/>
        </w:rPr>
        <w:t>顯示</w:t>
      </w:r>
      <w:r w:rsidR="009B1E8F" w:rsidRPr="009B1E8F">
        <w:rPr>
          <w:rFonts w:hAnsi="標楷體" w:hint="eastAsia"/>
        </w:rPr>
        <w:t>整體收入水準仍未回復以往</w:t>
      </w:r>
      <w:r w:rsidR="009B1E8F">
        <w:rPr>
          <w:rFonts w:hAnsi="標楷體" w:hint="eastAsia"/>
        </w:rPr>
        <w:t>。</w:t>
      </w:r>
      <w:r w:rsidR="008A21D6">
        <w:rPr>
          <w:rFonts w:hAnsi="標楷體" w:hint="eastAsia"/>
          <w:lang w:eastAsia="zh-HK"/>
        </w:rPr>
        <w:t>另</w:t>
      </w:r>
      <w:r w:rsidR="009B1E8F" w:rsidRPr="009B1E8F">
        <w:rPr>
          <w:rFonts w:hAnsi="標楷體" w:hint="eastAsia"/>
          <w:lang w:eastAsia="zh-HK"/>
        </w:rPr>
        <w:t>113年度財富管理手續費收入</w:t>
      </w:r>
      <w:r w:rsidR="00FA521B">
        <w:rPr>
          <w:rFonts w:hAnsi="標楷體" w:hint="eastAsia"/>
          <w:lang w:eastAsia="zh-HK"/>
        </w:rPr>
        <w:t>已</w:t>
      </w:r>
      <w:r w:rsidR="009B1E8F" w:rsidRPr="009B1E8F">
        <w:rPr>
          <w:rFonts w:hAnsi="標楷體" w:hint="eastAsia"/>
          <w:lang w:eastAsia="zh-HK"/>
        </w:rPr>
        <w:t>較112</w:t>
      </w:r>
      <w:r w:rsidR="00FA521B">
        <w:rPr>
          <w:rFonts w:hAnsi="標楷體" w:hint="eastAsia"/>
          <w:lang w:eastAsia="zh-HK"/>
        </w:rPr>
        <w:t>年度</w:t>
      </w:r>
      <w:r w:rsidR="009B1E8F" w:rsidRPr="009B1E8F">
        <w:rPr>
          <w:rFonts w:hAnsi="標楷體" w:hint="eastAsia"/>
          <w:lang w:eastAsia="zh-HK"/>
        </w:rPr>
        <w:t>提升，惟</w:t>
      </w:r>
      <w:r w:rsidR="00FA521B">
        <w:rPr>
          <w:rFonts w:hAnsi="標楷體" w:hint="eastAsia"/>
          <w:lang w:eastAsia="zh-HK"/>
        </w:rPr>
        <w:t>其中</w:t>
      </w:r>
      <w:r w:rsidR="009B1E8F" w:rsidRPr="009B1E8F">
        <w:rPr>
          <w:rFonts w:hAnsi="標楷體" w:hint="eastAsia"/>
          <w:lang w:eastAsia="zh-HK"/>
        </w:rPr>
        <w:t>保險手續費收入及黃金存摺手續費收入</w:t>
      </w:r>
      <w:r w:rsidR="008A21D6">
        <w:rPr>
          <w:rFonts w:hAnsi="標楷體" w:hint="eastAsia"/>
          <w:lang w:eastAsia="zh-HK"/>
        </w:rPr>
        <w:t>仍</w:t>
      </w:r>
      <w:r w:rsidR="00FA521B">
        <w:rPr>
          <w:rFonts w:hAnsi="標楷體" w:hint="eastAsia"/>
          <w:lang w:eastAsia="zh-HK"/>
        </w:rPr>
        <w:t>未回復往年水準</w:t>
      </w:r>
      <w:r w:rsidR="009B1E8F" w:rsidRPr="009B1E8F">
        <w:rPr>
          <w:rFonts w:hAnsi="標楷體" w:hint="eastAsia"/>
          <w:lang w:eastAsia="zh-HK"/>
        </w:rPr>
        <w:t>，允宜賡續關注</w:t>
      </w:r>
      <w:r w:rsidR="008A21D6">
        <w:rPr>
          <w:rFonts w:hAnsi="標楷體" w:hint="eastAsia"/>
          <w:lang w:eastAsia="zh-HK"/>
        </w:rPr>
        <w:t>國際金融市場變化及地緣政治風險，妥為規劃因應策略，以強化營收動能</w:t>
      </w:r>
      <w:r w:rsidR="008A21D6">
        <w:rPr>
          <w:rFonts w:hAnsi="標楷體" w:hint="eastAsia"/>
        </w:rPr>
        <w:t>，</w:t>
      </w:r>
      <w:r w:rsidR="008A21D6">
        <w:rPr>
          <w:rFonts w:hAnsi="標楷體" w:hint="eastAsia"/>
          <w:lang w:eastAsia="zh-HK"/>
        </w:rPr>
        <w:t>並</w:t>
      </w:r>
      <w:r w:rsidR="009B1E8F" w:rsidRPr="009B1E8F">
        <w:rPr>
          <w:rFonts w:hAnsi="標楷體" w:hint="eastAsia"/>
          <w:lang w:eastAsia="zh-HK"/>
        </w:rPr>
        <w:t>提振業</w:t>
      </w:r>
      <w:r w:rsidR="008A21D6">
        <w:rPr>
          <w:rFonts w:hAnsi="標楷體" w:hint="eastAsia"/>
          <w:lang w:eastAsia="zh-HK"/>
        </w:rPr>
        <w:t>務</w:t>
      </w:r>
      <w:r w:rsidR="009B1E8F" w:rsidRPr="009B1E8F">
        <w:rPr>
          <w:rFonts w:hAnsi="標楷體" w:hint="eastAsia"/>
          <w:lang w:eastAsia="zh-HK"/>
        </w:rPr>
        <w:t>績</w:t>
      </w:r>
      <w:r w:rsidR="008A21D6">
        <w:rPr>
          <w:rFonts w:hAnsi="標楷體" w:hint="eastAsia"/>
          <w:lang w:eastAsia="zh-HK"/>
        </w:rPr>
        <w:t>效</w:t>
      </w:r>
      <w:r w:rsidR="009B1E8F">
        <w:rPr>
          <w:rFonts w:hAnsi="標楷體" w:hint="eastAsia"/>
        </w:rPr>
        <w:t>。</w:t>
      </w:r>
    </w:p>
    <w:p w:rsidR="005376E5" w:rsidRPr="000C21D7" w:rsidRDefault="000C5C66" w:rsidP="000C5C66">
      <w:pPr>
        <w:pStyle w:val="ac"/>
        <w:rPr>
          <w:rFonts w:hAnsi="標楷體"/>
        </w:rPr>
      </w:pPr>
      <w:r w:rsidRPr="000C21D7">
        <w:rPr>
          <w:rFonts w:hAnsi="標楷體" w:hint="eastAsia"/>
        </w:rPr>
        <w:t>（分機：19</w:t>
      </w:r>
      <w:r w:rsidR="00037F1E">
        <w:rPr>
          <w:rFonts w:hAnsi="標楷體"/>
        </w:rPr>
        <w:t>29</w:t>
      </w:r>
      <w:r w:rsidRPr="000C21D7">
        <w:rPr>
          <w:rFonts w:hAnsi="標楷體" w:hint="eastAsia"/>
        </w:rPr>
        <w:t xml:space="preserve"> </w:t>
      </w:r>
      <w:r w:rsidR="00037F1E">
        <w:rPr>
          <w:rFonts w:hAnsi="標楷體" w:hint="eastAsia"/>
          <w:lang w:eastAsia="zh-HK"/>
        </w:rPr>
        <w:t>沈家榆</w:t>
      </w:r>
      <w:r w:rsidR="005376E5" w:rsidRPr="000C21D7">
        <w:rPr>
          <w:rFonts w:hAnsi="標楷體" w:hint="eastAsia"/>
        </w:rPr>
        <w:t>）</w:t>
      </w:r>
    </w:p>
    <w:sectPr w:rsidR="005376E5" w:rsidRPr="000C21D7"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C35" w:rsidRDefault="00212C35" w:rsidP="00956559">
      <w:pPr>
        <w:spacing w:line="240" w:lineRule="auto"/>
        <w:ind w:left="560" w:firstLine="560"/>
      </w:pPr>
      <w:r>
        <w:separator/>
      </w:r>
    </w:p>
  </w:endnote>
  <w:endnote w:type="continuationSeparator" w:id="0">
    <w:p w:rsidR="00212C35" w:rsidRDefault="00212C3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rsidP="008B5FC6">
    <w:pPr>
      <w:pStyle w:val="af1"/>
      <w:ind w:leftChars="0" w:left="566" w:firstLineChars="0" w:firstLine="406"/>
      <w:jc w:val="center"/>
    </w:pPr>
    <w:r>
      <w:fldChar w:fldCharType="begin"/>
    </w:r>
    <w:r>
      <w:instrText>PAGE   \* MERGEFORMAT</w:instrText>
    </w:r>
    <w:r>
      <w:fldChar w:fldCharType="separate"/>
    </w:r>
    <w:r w:rsidR="00A05D23" w:rsidRPr="00A05D23">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C35" w:rsidRDefault="00212C35" w:rsidP="003F0A05">
      <w:pPr>
        <w:spacing w:line="240" w:lineRule="auto"/>
        <w:ind w:left="560" w:firstLine="560"/>
      </w:pPr>
      <w:r>
        <w:separator/>
      </w:r>
    </w:p>
  </w:footnote>
  <w:footnote w:type="continuationSeparator" w:id="0">
    <w:p w:rsidR="00212C35" w:rsidRDefault="00212C35" w:rsidP="0095655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75D"/>
    <w:rsid w:val="0000090A"/>
    <w:rsid w:val="00000A00"/>
    <w:rsid w:val="00000FC9"/>
    <w:rsid w:val="0000119D"/>
    <w:rsid w:val="000011AF"/>
    <w:rsid w:val="000014FB"/>
    <w:rsid w:val="000028CC"/>
    <w:rsid w:val="00003B2E"/>
    <w:rsid w:val="00003E20"/>
    <w:rsid w:val="0000401F"/>
    <w:rsid w:val="00004DB1"/>
    <w:rsid w:val="000052C2"/>
    <w:rsid w:val="00006FCC"/>
    <w:rsid w:val="00007BA3"/>
    <w:rsid w:val="00007F36"/>
    <w:rsid w:val="00010970"/>
    <w:rsid w:val="0001140B"/>
    <w:rsid w:val="000118AD"/>
    <w:rsid w:val="00011CDD"/>
    <w:rsid w:val="00011E87"/>
    <w:rsid w:val="00012ADC"/>
    <w:rsid w:val="000137D7"/>
    <w:rsid w:val="00013E9A"/>
    <w:rsid w:val="000147DD"/>
    <w:rsid w:val="000152F0"/>
    <w:rsid w:val="000168A1"/>
    <w:rsid w:val="00016A5F"/>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37F1E"/>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0B7"/>
    <w:rsid w:val="00075C7D"/>
    <w:rsid w:val="000760C8"/>
    <w:rsid w:val="00076183"/>
    <w:rsid w:val="0007626E"/>
    <w:rsid w:val="00076A46"/>
    <w:rsid w:val="000772DA"/>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4424"/>
    <w:rsid w:val="00095517"/>
    <w:rsid w:val="00095606"/>
    <w:rsid w:val="000969AE"/>
    <w:rsid w:val="00096D29"/>
    <w:rsid w:val="00097129"/>
    <w:rsid w:val="00097DB3"/>
    <w:rsid w:val="00097E3F"/>
    <w:rsid w:val="000A002D"/>
    <w:rsid w:val="000A01A2"/>
    <w:rsid w:val="000A07FA"/>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6FC4"/>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5FCA"/>
    <w:rsid w:val="000E60F3"/>
    <w:rsid w:val="000E6252"/>
    <w:rsid w:val="000E6823"/>
    <w:rsid w:val="000E6B7E"/>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3626"/>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98A"/>
    <w:rsid w:val="00126C74"/>
    <w:rsid w:val="00126F96"/>
    <w:rsid w:val="001303E5"/>
    <w:rsid w:val="00130863"/>
    <w:rsid w:val="00130876"/>
    <w:rsid w:val="00130FF1"/>
    <w:rsid w:val="001310DB"/>
    <w:rsid w:val="00131183"/>
    <w:rsid w:val="001316EB"/>
    <w:rsid w:val="00132158"/>
    <w:rsid w:val="00132788"/>
    <w:rsid w:val="00132920"/>
    <w:rsid w:val="00133214"/>
    <w:rsid w:val="00133BB1"/>
    <w:rsid w:val="00134049"/>
    <w:rsid w:val="001351BB"/>
    <w:rsid w:val="00135537"/>
    <w:rsid w:val="0013586A"/>
    <w:rsid w:val="00135F98"/>
    <w:rsid w:val="00136409"/>
    <w:rsid w:val="001366BC"/>
    <w:rsid w:val="00136DFE"/>
    <w:rsid w:val="00137648"/>
    <w:rsid w:val="00140048"/>
    <w:rsid w:val="00140BC6"/>
    <w:rsid w:val="00140D6D"/>
    <w:rsid w:val="00141A93"/>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4A60"/>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0D9"/>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3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0CF"/>
    <w:rsid w:val="001D614E"/>
    <w:rsid w:val="001D6567"/>
    <w:rsid w:val="001D66B7"/>
    <w:rsid w:val="001D773A"/>
    <w:rsid w:val="001D7BD5"/>
    <w:rsid w:val="001D7CC5"/>
    <w:rsid w:val="001D7CF1"/>
    <w:rsid w:val="001E2B9F"/>
    <w:rsid w:val="001E3C48"/>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289B"/>
    <w:rsid w:val="00212C35"/>
    <w:rsid w:val="00213358"/>
    <w:rsid w:val="00213E04"/>
    <w:rsid w:val="002144B9"/>
    <w:rsid w:val="00220A63"/>
    <w:rsid w:val="00221704"/>
    <w:rsid w:val="00221D52"/>
    <w:rsid w:val="00222217"/>
    <w:rsid w:val="00223B03"/>
    <w:rsid w:val="0022521B"/>
    <w:rsid w:val="002267BF"/>
    <w:rsid w:val="00227830"/>
    <w:rsid w:val="0022787C"/>
    <w:rsid w:val="0023070D"/>
    <w:rsid w:val="00230A1C"/>
    <w:rsid w:val="00230BAC"/>
    <w:rsid w:val="00230FF0"/>
    <w:rsid w:val="00231886"/>
    <w:rsid w:val="00231BCB"/>
    <w:rsid w:val="002340D5"/>
    <w:rsid w:val="00234D48"/>
    <w:rsid w:val="0023527B"/>
    <w:rsid w:val="00235CF4"/>
    <w:rsid w:val="002361B6"/>
    <w:rsid w:val="0023742E"/>
    <w:rsid w:val="002406A9"/>
    <w:rsid w:val="00240D57"/>
    <w:rsid w:val="002413BF"/>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67B9A"/>
    <w:rsid w:val="00271070"/>
    <w:rsid w:val="00271931"/>
    <w:rsid w:val="00273A33"/>
    <w:rsid w:val="002745AB"/>
    <w:rsid w:val="0027495A"/>
    <w:rsid w:val="0027577D"/>
    <w:rsid w:val="002758A0"/>
    <w:rsid w:val="00275FBD"/>
    <w:rsid w:val="0027672F"/>
    <w:rsid w:val="00276881"/>
    <w:rsid w:val="00277010"/>
    <w:rsid w:val="002815E0"/>
    <w:rsid w:val="00281E6F"/>
    <w:rsid w:val="00281E8D"/>
    <w:rsid w:val="002822F1"/>
    <w:rsid w:val="002833F3"/>
    <w:rsid w:val="00283527"/>
    <w:rsid w:val="002843A7"/>
    <w:rsid w:val="00284715"/>
    <w:rsid w:val="00284A33"/>
    <w:rsid w:val="00284A88"/>
    <w:rsid w:val="002851EB"/>
    <w:rsid w:val="00285387"/>
    <w:rsid w:val="002861D9"/>
    <w:rsid w:val="00286263"/>
    <w:rsid w:val="002864FA"/>
    <w:rsid w:val="00286AC4"/>
    <w:rsid w:val="00290614"/>
    <w:rsid w:val="002906D8"/>
    <w:rsid w:val="00290D07"/>
    <w:rsid w:val="00290DCB"/>
    <w:rsid w:val="00291005"/>
    <w:rsid w:val="002911D9"/>
    <w:rsid w:val="0029273B"/>
    <w:rsid w:val="0029282D"/>
    <w:rsid w:val="00292897"/>
    <w:rsid w:val="00293BB7"/>
    <w:rsid w:val="00294F9B"/>
    <w:rsid w:val="002954BF"/>
    <w:rsid w:val="00296466"/>
    <w:rsid w:val="00296514"/>
    <w:rsid w:val="00296684"/>
    <w:rsid w:val="002A0BF9"/>
    <w:rsid w:val="002A11A3"/>
    <w:rsid w:val="002A13C4"/>
    <w:rsid w:val="002A1523"/>
    <w:rsid w:val="002A1CB8"/>
    <w:rsid w:val="002A2F3E"/>
    <w:rsid w:val="002A5E1D"/>
    <w:rsid w:val="002A67E6"/>
    <w:rsid w:val="002A6BE6"/>
    <w:rsid w:val="002A6DE3"/>
    <w:rsid w:val="002B1005"/>
    <w:rsid w:val="002B1618"/>
    <w:rsid w:val="002B2B75"/>
    <w:rsid w:val="002B3A26"/>
    <w:rsid w:val="002B3C02"/>
    <w:rsid w:val="002B474B"/>
    <w:rsid w:val="002B4E67"/>
    <w:rsid w:val="002B501E"/>
    <w:rsid w:val="002B52DF"/>
    <w:rsid w:val="002B6FC9"/>
    <w:rsid w:val="002B7591"/>
    <w:rsid w:val="002B7705"/>
    <w:rsid w:val="002B7C13"/>
    <w:rsid w:val="002C1147"/>
    <w:rsid w:val="002C122A"/>
    <w:rsid w:val="002C1750"/>
    <w:rsid w:val="002C3D29"/>
    <w:rsid w:val="002C54E2"/>
    <w:rsid w:val="002C5847"/>
    <w:rsid w:val="002C59E8"/>
    <w:rsid w:val="002C5B3A"/>
    <w:rsid w:val="002C5F42"/>
    <w:rsid w:val="002C64F6"/>
    <w:rsid w:val="002C6D4A"/>
    <w:rsid w:val="002D106D"/>
    <w:rsid w:val="002D147A"/>
    <w:rsid w:val="002D285A"/>
    <w:rsid w:val="002D4AF9"/>
    <w:rsid w:val="002D52EC"/>
    <w:rsid w:val="002D5D32"/>
    <w:rsid w:val="002D6A7E"/>
    <w:rsid w:val="002D6BC2"/>
    <w:rsid w:val="002D6BD4"/>
    <w:rsid w:val="002D6D96"/>
    <w:rsid w:val="002D6E1F"/>
    <w:rsid w:val="002D7C5D"/>
    <w:rsid w:val="002D7DAD"/>
    <w:rsid w:val="002E019A"/>
    <w:rsid w:val="002E0B52"/>
    <w:rsid w:val="002E0C6E"/>
    <w:rsid w:val="002E1426"/>
    <w:rsid w:val="002E2B54"/>
    <w:rsid w:val="002E2B6F"/>
    <w:rsid w:val="002E319C"/>
    <w:rsid w:val="002E343A"/>
    <w:rsid w:val="002E4AF5"/>
    <w:rsid w:val="002E5ACF"/>
    <w:rsid w:val="002E60E1"/>
    <w:rsid w:val="002E618E"/>
    <w:rsid w:val="002E6665"/>
    <w:rsid w:val="002E6A6D"/>
    <w:rsid w:val="002E76BD"/>
    <w:rsid w:val="002E7C7C"/>
    <w:rsid w:val="002F0E5A"/>
    <w:rsid w:val="002F12BD"/>
    <w:rsid w:val="002F1361"/>
    <w:rsid w:val="002F1674"/>
    <w:rsid w:val="002F27CA"/>
    <w:rsid w:val="002F31EA"/>
    <w:rsid w:val="002F4AA5"/>
    <w:rsid w:val="002F4C35"/>
    <w:rsid w:val="002F4C95"/>
    <w:rsid w:val="002F5062"/>
    <w:rsid w:val="00300D4D"/>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0C84"/>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57DD8"/>
    <w:rsid w:val="00362039"/>
    <w:rsid w:val="003628EE"/>
    <w:rsid w:val="00362A68"/>
    <w:rsid w:val="00362E0F"/>
    <w:rsid w:val="00363CF0"/>
    <w:rsid w:val="00363E8A"/>
    <w:rsid w:val="00364900"/>
    <w:rsid w:val="0036592F"/>
    <w:rsid w:val="00366F8C"/>
    <w:rsid w:val="00367367"/>
    <w:rsid w:val="00370186"/>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07C6"/>
    <w:rsid w:val="00391603"/>
    <w:rsid w:val="00391D08"/>
    <w:rsid w:val="00391F62"/>
    <w:rsid w:val="003924C8"/>
    <w:rsid w:val="003930DE"/>
    <w:rsid w:val="00393AAC"/>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7B6"/>
    <w:rsid w:val="003B0CF4"/>
    <w:rsid w:val="003B0EE0"/>
    <w:rsid w:val="003B130D"/>
    <w:rsid w:val="003B15CC"/>
    <w:rsid w:val="003B164D"/>
    <w:rsid w:val="003B253D"/>
    <w:rsid w:val="003B2DD5"/>
    <w:rsid w:val="003B2FB5"/>
    <w:rsid w:val="003B4B2E"/>
    <w:rsid w:val="003B528C"/>
    <w:rsid w:val="003B53F9"/>
    <w:rsid w:val="003B5C4D"/>
    <w:rsid w:val="003B677C"/>
    <w:rsid w:val="003B68D0"/>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28E"/>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A8"/>
    <w:rsid w:val="003E28EE"/>
    <w:rsid w:val="003E2EBC"/>
    <w:rsid w:val="003E44B5"/>
    <w:rsid w:val="003E4513"/>
    <w:rsid w:val="003E4ACC"/>
    <w:rsid w:val="003E56DC"/>
    <w:rsid w:val="003E5EC1"/>
    <w:rsid w:val="003E643A"/>
    <w:rsid w:val="003E6574"/>
    <w:rsid w:val="003E6865"/>
    <w:rsid w:val="003E6BE2"/>
    <w:rsid w:val="003F0431"/>
    <w:rsid w:val="003F04BD"/>
    <w:rsid w:val="003F05C8"/>
    <w:rsid w:val="003F0A05"/>
    <w:rsid w:val="003F100E"/>
    <w:rsid w:val="003F22B7"/>
    <w:rsid w:val="003F2E58"/>
    <w:rsid w:val="003F3574"/>
    <w:rsid w:val="003F41AC"/>
    <w:rsid w:val="003F4BA4"/>
    <w:rsid w:val="003F4C10"/>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275"/>
    <w:rsid w:val="0041469D"/>
    <w:rsid w:val="00414D99"/>
    <w:rsid w:val="004151B2"/>
    <w:rsid w:val="00415A0B"/>
    <w:rsid w:val="00416505"/>
    <w:rsid w:val="00416914"/>
    <w:rsid w:val="00416A2C"/>
    <w:rsid w:val="00416B2E"/>
    <w:rsid w:val="00420213"/>
    <w:rsid w:val="00420858"/>
    <w:rsid w:val="00420ADE"/>
    <w:rsid w:val="00421177"/>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1D"/>
    <w:rsid w:val="00471C9F"/>
    <w:rsid w:val="00471EB2"/>
    <w:rsid w:val="00472786"/>
    <w:rsid w:val="004732EC"/>
    <w:rsid w:val="0047372C"/>
    <w:rsid w:val="00474190"/>
    <w:rsid w:val="004750CC"/>
    <w:rsid w:val="00475FFA"/>
    <w:rsid w:val="004771AF"/>
    <w:rsid w:val="00477310"/>
    <w:rsid w:val="0047740F"/>
    <w:rsid w:val="0048134B"/>
    <w:rsid w:val="00481A8E"/>
    <w:rsid w:val="00481C52"/>
    <w:rsid w:val="004824B2"/>
    <w:rsid w:val="00482B29"/>
    <w:rsid w:val="00482BB6"/>
    <w:rsid w:val="0048346E"/>
    <w:rsid w:val="00483B5C"/>
    <w:rsid w:val="00483C9E"/>
    <w:rsid w:val="004841CC"/>
    <w:rsid w:val="00484BC7"/>
    <w:rsid w:val="004860BC"/>
    <w:rsid w:val="00487A11"/>
    <w:rsid w:val="00487C65"/>
    <w:rsid w:val="004902C2"/>
    <w:rsid w:val="004906F3"/>
    <w:rsid w:val="0049093D"/>
    <w:rsid w:val="00491D16"/>
    <w:rsid w:val="00494C8D"/>
    <w:rsid w:val="00495309"/>
    <w:rsid w:val="00495E65"/>
    <w:rsid w:val="004969E0"/>
    <w:rsid w:val="00496D2A"/>
    <w:rsid w:val="004972D9"/>
    <w:rsid w:val="004A0315"/>
    <w:rsid w:val="004A05CF"/>
    <w:rsid w:val="004A0835"/>
    <w:rsid w:val="004A099B"/>
    <w:rsid w:val="004A0A1F"/>
    <w:rsid w:val="004A1339"/>
    <w:rsid w:val="004A190E"/>
    <w:rsid w:val="004A1C1D"/>
    <w:rsid w:val="004A5DD6"/>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5449"/>
    <w:rsid w:val="004D61A3"/>
    <w:rsid w:val="004D6AAA"/>
    <w:rsid w:val="004D6D44"/>
    <w:rsid w:val="004E0016"/>
    <w:rsid w:val="004E0AD8"/>
    <w:rsid w:val="004E0B8E"/>
    <w:rsid w:val="004E17B6"/>
    <w:rsid w:val="004E1D1D"/>
    <w:rsid w:val="004E4C78"/>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2A63"/>
    <w:rsid w:val="00503287"/>
    <w:rsid w:val="005033FE"/>
    <w:rsid w:val="005037E5"/>
    <w:rsid w:val="005038DD"/>
    <w:rsid w:val="0050478D"/>
    <w:rsid w:val="00504993"/>
    <w:rsid w:val="00504D82"/>
    <w:rsid w:val="00505D56"/>
    <w:rsid w:val="00505DA3"/>
    <w:rsid w:val="00506F29"/>
    <w:rsid w:val="00514148"/>
    <w:rsid w:val="0051472C"/>
    <w:rsid w:val="00514B89"/>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154"/>
    <w:rsid w:val="00553466"/>
    <w:rsid w:val="005543E3"/>
    <w:rsid w:val="0055484F"/>
    <w:rsid w:val="00554BAA"/>
    <w:rsid w:val="0055573B"/>
    <w:rsid w:val="00555A61"/>
    <w:rsid w:val="00557604"/>
    <w:rsid w:val="00560DBF"/>
    <w:rsid w:val="00561476"/>
    <w:rsid w:val="005622A7"/>
    <w:rsid w:val="005646B4"/>
    <w:rsid w:val="005650C6"/>
    <w:rsid w:val="005654D5"/>
    <w:rsid w:val="00565CD7"/>
    <w:rsid w:val="00566392"/>
    <w:rsid w:val="00566ACD"/>
    <w:rsid w:val="00567186"/>
    <w:rsid w:val="0057018A"/>
    <w:rsid w:val="00570367"/>
    <w:rsid w:val="00570594"/>
    <w:rsid w:val="00570669"/>
    <w:rsid w:val="00571130"/>
    <w:rsid w:val="00571B61"/>
    <w:rsid w:val="00572E84"/>
    <w:rsid w:val="00572ED3"/>
    <w:rsid w:val="0057314B"/>
    <w:rsid w:val="00573A05"/>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7B5"/>
    <w:rsid w:val="0059094B"/>
    <w:rsid w:val="005914ED"/>
    <w:rsid w:val="005917A2"/>
    <w:rsid w:val="00592043"/>
    <w:rsid w:val="005929AC"/>
    <w:rsid w:val="00592EBB"/>
    <w:rsid w:val="005944DE"/>
    <w:rsid w:val="005947BB"/>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1C"/>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223"/>
    <w:rsid w:val="005E1AC1"/>
    <w:rsid w:val="005E21C0"/>
    <w:rsid w:val="005E2745"/>
    <w:rsid w:val="005E2887"/>
    <w:rsid w:val="005E4775"/>
    <w:rsid w:val="005E58BD"/>
    <w:rsid w:val="005E7EC1"/>
    <w:rsid w:val="005E7EE7"/>
    <w:rsid w:val="005F0002"/>
    <w:rsid w:val="005F1BC1"/>
    <w:rsid w:val="005F1C12"/>
    <w:rsid w:val="005F3860"/>
    <w:rsid w:val="005F3F4A"/>
    <w:rsid w:val="005F45D0"/>
    <w:rsid w:val="005F5102"/>
    <w:rsid w:val="005F6145"/>
    <w:rsid w:val="005F6228"/>
    <w:rsid w:val="005F6E50"/>
    <w:rsid w:val="0060086A"/>
    <w:rsid w:val="00600B6E"/>
    <w:rsid w:val="0060108A"/>
    <w:rsid w:val="0060132F"/>
    <w:rsid w:val="006014C5"/>
    <w:rsid w:val="00602AC7"/>
    <w:rsid w:val="00602C63"/>
    <w:rsid w:val="006030A4"/>
    <w:rsid w:val="00603175"/>
    <w:rsid w:val="00603887"/>
    <w:rsid w:val="00603F0D"/>
    <w:rsid w:val="00604A78"/>
    <w:rsid w:val="0060588B"/>
    <w:rsid w:val="00605BD6"/>
    <w:rsid w:val="00605D92"/>
    <w:rsid w:val="00606EC8"/>
    <w:rsid w:val="00606FD7"/>
    <w:rsid w:val="00607FA4"/>
    <w:rsid w:val="0061090A"/>
    <w:rsid w:val="00611198"/>
    <w:rsid w:val="006117B7"/>
    <w:rsid w:val="00611E54"/>
    <w:rsid w:val="00612202"/>
    <w:rsid w:val="0061224B"/>
    <w:rsid w:val="006125E4"/>
    <w:rsid w:val="0061270B"/>
    <w:rsid w:val="00612720"/>
    <w:rsid w:val="00613DE5"/>
    <w:rsid w:val="0061464E"/>
    <w:rsid w:val="00614967"/>
    <w:rsid w:val="006149AB"/>
    <w:rsid w:val="00614BE7"/>
    <w:rsid w:val="0061561F"/>
    <w:rsid w:val="00617746"/>
    <w:rsid w:val="006178CC"/>
    <w:rsid w:val="00617EF8"/>
    <w:rsid w:val="0062140D"/>
    <w:rsid w:val="00621D0D"/>
    <w:rsid w:val="006224E4"/>
    <w:rsid w:val="0062297C"/>
    <w:rsid w:val="00622B80"/>
    <w:rsid w:val="006236D0"/>
    <w:rsid w:val="00623D6F"/>
    <w:rsid w:val="00624B26"/>
    <w:rsid w:val="0062506E"/>
    <w:rsid w:val="006260F5"/>
    <w:rsid w:val="006261FE"/>
    <w:rsid w:val="00626F3C"/>
    <w:rsid w:val="00626FDD"/>
    <w:rsid w:val="00627AA9"/>
    <w:rsid w:val="00627C88"/>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2F93"/>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B95"/>
    <w:rsid w:val="00672CE5"/>
    <w:rsid w:val="0067306B"/>
    <w:rsid w:val="006740E6"/>
    <w:rsid w:val="00674C4F"/>
    <w:rsid w:val="00675638"/>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58CC"/>
    <w:rsid w:val="006A5C59"/>
    <w:rsid w:val="006A648B"/>
    <w:rsid w:val="006A7012"/>
    <w:rsid w:val="006A7BF0"/>
    <w:rsid w:val="006B0785"/>
    <w:rsid w:val="006B0933"/>
    <w:rsid w:val="006B2649"/>
    <w:rsid w:val="006B277D"/>
    <w:rsid w:val="006B361B"/>
    <w:rsid w:val="006B5349"/>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5E09"/>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2B77"/>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27F32"/>
    <w:rsid w:val="007307CE"/>
    <w:rsid w:val="00730FEF"/>
    <w:rsid w:val="00731100"/>
    <w:rsid w:val="0073164A"/>
    <w:rsid w:val="00731D2C"/>
    <w:rsid w:val="00732551"/>
    <w:rsid w:val="007325B3"/>
    <w:rsid w:val="00732E22"/>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12A"/>
    <w:rsid w:val="0074586D"/>
    <w:rsid w:val="00745CEB"/>
    <w:rsid w:val="00746498"/>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6A8D"/>
    <w:rsid w:val="0077770D"/>
    <w:rsid w:val="00777A7E"/>
    <w:rsid w:val="00777E9D"/>
    <w:rsid w:val="00780B03"/>
    <w:rsid w:val="007813E5"/>
    <w:rsid w:val="00781909"/>
    <w:rsid w:val="00781AFB"/>
    <w:rsid w:val="0078293F"/>
    <w:rsid w:val="00783CD8"/>
    <w:rsid w:val="007849F7"/>
    <w:rsid w:val="00785DEB"/>
    <w:rsid w:val="0078674D"/>
    <w:rsid w:val="00786767"/>
    <w:rsid w:val="007867D9"/>
    <w:rsid w:val="007906DF"/>
    <w:rsid w:val="00790E76"/>
    <w:rsid w:val="007911BC"/>
    <w:rsid w:val="00791B46"/>
    <w:rsid w:val="00793B1C"/>
    <w:rsid w:val="0079440F"/>
    <w:rsid w:val="0079497E"/>
    <w:rsid w:val="0079568B"/>
    <w:rsid w:val="007966C6"/>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1C0"/>
    <w:rsid w:val="007A6BBA"/>
    <w:rsid w:val="007A7448"/>
    <w:rsid w:val="007B01D3"/>
    <w:rsid w:val="007B2BA7"/>
    <w:rsid w:val="007B3378"/>
    <w:rsid w:val="007B3894"/>
    <w:rsid w:val="007B48AC"/>
    <w:rsid w:val="007B4D12"/>
    <w:rsid w:val="007B5651"/>
    <w:rsid w:val="007B56FF"/>
    <w:rsid w:val="007B58BB"/>
    <w:rsid w:val="007B5998"/>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0F39"/>
    <w:rsid w:val="007D1F4E"/>
    <w:rsid w:val="007D2B09"/>
    <w:rsid w:val="007D2CEB"/>
    <w:rsid w:val="007D3F05"/>
    <w:rsid w:val="007D5109"/>
    <w:rsid w:val="007D549C"/>
    <w:rsid w:val="007D5559"/>
    <w:rsid w:val="007D57D4"/>
    <w:rsid w:val="007D634A"/>
    <w:rsid w:val="007D63E0"/>
    <w:rsid w:val="007D6665"/>
    <w:rsid w:val="007D684E"/>
    <w:rsid w:val="007D6F92"/>
    <w:rsid w:val="007D7644"/>
    <w:rsid w:val="007D7F51"/>
    <w:rsid w:val="007E0050"/>
    <w:rsid w:val="007E0763"/>
    <w:rsid w:val="007E221D"/>
    <w:rsid w:val="007E2604"/>
    <w:rsid w:val="007E36D5"/>
    <w:rsid w:val="007E4637"/>
    <w:rsid w:val="007E4B44"/>
    <w:rsid w:val="007E54FD"/>
    <w:rsid w:val="007E57C8"/>
    <w:rsid w:val="007E57DB"/>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7F6A74"/>
    <w:rsid w:val="00800411"/>
    <w:rsid w:val="0080044C"/>
    <w:rsid w:val="00801128"/>
    <w:rsid w:val="00801B50"/>
    <w:rsid w:val="00801E44"/>
    <w:rsid w:val="00801F6D"/>
    <w:rsid w:val="00802025"/>
    <w:rsid w:val="008023AA"/>
    <w:rsid w:val="008042A8"/>
    <w:rsid w:val="0080477C"/>
    <w:rsid w:val="00804C92"/>
    <w:rsid w:val="00804CD5"/>
    <w:rsid w:val="0080553F"/>
    <w:rsid w:val="0080570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0F28"/>
    <w:rsid w:val="008317CE"/>
    <w:rsid w:val="0083193E"/>
    <w:rsid w:val="00833810"/>
    <w:rsid w:val="00834933"/>
    <w:rsid w:val="00835682"/>
    <w:rsid w:val="00836684"/>
    <w:rsid w:val="0083793F"/>
    <w:rsid w:val="00837B26"/>
    <w:rsid w:val="00837D62"/>
    <w:rsid w:val="0084034B"/>
    <w:rsid w:val="008404A2"/>
    <w:rsid w:val="008408C0"/>
    <w:rsid w:val="00840A39"/>
    <w:rsid w:val="00841400"/>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0D9B"/>
    <w:rsid w:val="00881021"/>
    <w:rsid w:val="008811C9"/>
    <w:rsid w:val="008816D4"/>
    <w:rsid w:val="008820BA"/>
    <w:rsid w:val="00882EA7"/>
    <w:rsid w:val="00882FA4"/>
    <w:rsid w:val="00883479"/>
    <w:rsid w:val="008845DA"/>
    <w:rsid w:val="00885186"/>
    <w:rsid w:val="00885F5F"/>
    <w:rsid w:val="008865FC"/>
    <w:rsid w:val="00886A4E"/>
    <w:rsid w:val="0088750C"/>
    <w:rsid w:val="008903ED"/>
    <w:rsid w:val="00890829"/>
    <w:rsid w:val="0089089E"/>
    <w:rsid w:val="00890F46"/>
    <w:rsid w:val="008917B2"/>
    <w:rsid w:val="00891859"/>
    <w:rsid w:val="00892532"/>
    <w:rsid w:val="00893056"/>
    <w:rsid w:val="008939F1"/>
    <w:rsid w:val="0089541E"/>
    <w:rsid w:val="008956F2"/>
    <w:rsid w:val="00896A28"/>
    <w:rsid w:val="00897CB4"/>
    <w:rsid w:val="008A01FB"/>
    <w:rsid w:val="008A027D"/>
    <w:rsid w:val="008A0634"/>
    <w:rsid w:val="008A1FA7"/>
    <w:rsid w:val="008A2146"/>
    <w:rsid w:val="008A21D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4C52"/>
    <w:rsid w:val="008D6566"/>
    <w:rsid w:val="008D65B4"/>
    <w:rsid w:val="008D6785"/>
    <w:rsid w:val="008D67B7"/>
    <w:rsid w:val="008D74DB"/>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2635"/>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76B"/>
    <w:rsid w:val="009029BE"/>
    <w:rsid w:val="00902D94"/>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65D9"/>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0BFB"/>
    <w:rsid w:val="00930C98"/>
    <w:rsid w:val="00931233"/>
    <w:rsid w:val="00931AF6"/>
    <w:rsid w:val="00932114"/>
    <w:rsid w:val="0093279C"/>
    <w:rsid w:val="0093429D"/>
    <w:rsid w:val="00934A2F"/>
    <w:rsid w:val="00935023"/>
    <w:rsid w:val="009351B2"/>
    <w:rsid w:val="00935993"/>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68"/>
    <w:rsid w:val="009535F2"/>
    <w:rsid w:val="009548FB"/>
    <w:rsid w:val="00954E55"/>
    <w:rsid w:val="00954E9F"/>
    <w:rsid w:val="00955A2D"/>
    <w:rsid w:val="00956559"/>
    <w:rsid w:val="00956A91"/>
    <w:rsid w:val="00956C25"/>
    <w:rsid w:val="00956CC3"/>
    <w:rsid w:val="009575CD"/>
    <w:rsid w:val="00960117"/>
    <w:rsid w:val="009601E0"/>
    <w:rsid w:val="00960964"/>
    <w:rsid w:val="009609B3"/>
    <w:rsid w:val="00960A9E"/>
    <w:rsid w:val="009612DF"/>
    <w:rsid w:val="009615FD"/>
    <w:rsid w:val="00961979"/>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50E"/>
    <w:rsid w:val="00977EAF"/>
    <w:rsid w:val="00980010"/>
    <w:rsid w:val="0098095B"/>
    <w:rsid w:val="00981E40"/>
    <w:rsid w:val="00981F76"/>
    <w:rsid w:val="00982C29"/>
    <w:rsid w:val="0098328D"/>
    <w:rsid w:val="009836E8"/>
    <w:rsid w:val="00983777"/>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E8F"/>
    <w:rsid w:val="009B1FF9"/>
    <w:rsid w:val="009B4E1C"/>
    <w:rsid w:val="009B732E"/>
    <w:rsid w:val="009C09D5"/>
    <w:rsid w:val="009C1618"/>
    <w:rsid w:val="009C31F2"/>
    <w:rsid w:val="009C393F"/>
    <w:rsid w:val="009C3A92"/>
    <w:rsid w:val="009C46D4"/>
    <w:rsid w:val="009C4B8E"/>
    <w:rsid w:val="009C57E8"/>
    <w:rsid w:val="009C5B51"/>
    <w:rsid w:val="009C5E8F"/>
    <w:rsid w:val="009C6E65"/>
    <w:rsid w:val="009C752C"/>
    <w:rsid w:val="009C78DA"/>
    <w:rsid w:val="009C7A24"/>
    <w:rsid w:val="009C7DDA"/>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DE2"/>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4F8"/>
    <w:rsid w:val="00A00D60"/>
    <w:rsid w:val="00A01414"/>
    <w:rsid w:val="00A029AA"/>
    <w:rsid w:val="00A0403F"/>
    <w:rsid w:val="00A040D2"/>
    <w:rsid w:val="00A0482D"/>
    <w:rsid w:val="00A0562F"/>
    <w:rsid w:val="00A059A7"/>
    <w:rsid w:val="00A05D23"/>
    <w:rsid w:val="00A06D54"/>
    <w:rsid w:val="00A10B6F"/>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75"/>
    <w:rsid w:val="00A330E1"/>
    <w:rsid w:val="00A3342F"/>
    <w:rsid w:val="00A3351B"/>
    <w:rsid w:val="00A33729"/>
    <w:rsid w:val="00A343FF"/>
    <w:rsid w:val="00A3609D"/>
    <w:rsid w:val="00A362C8"/>
    <w:rsid w:val="00A364D9"/>
    <w:rsid w:val="00A36B60"/>
    <w:rsid w:val="00A36E39"/>
    <w:rsid w:val="00A371F4"/>
    <w:rsid w:val="00A373C2"/>
    <w:rsid w:val="00A37A60"/>
    <w:rsid w:val="00A40C45"/>
    <w:rsid w:val="00A40CC7"/>
    <w:rsid w:val="00A41C3B"/>
    <w:rsid w:val="00A422CF"/>
    <w:rsid w:val="00A431CE"/>
    <w:rsid w:val="00A4323E"/>
    <w:rsid w:val="00A43615"/>
    <w:rsid w:val="00A46629"/>
    <w:rsid w:val="00A46C39"/>
    <w:rsid w:val="00A47DED"/>
    <w:rsid w:val="00A5043A"/>
    <w:rsid w:val="00A519CA"/>
    <w:rsid w:val="00A529D4"/>
    <w:rsid w:val="00A52FE1"/>
    <w:rsid w:val="00A54563"/>
    <w:rsid w:val="00A54B26"/>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2FD8"/>
    <w:rsid w:val="00A84C31"/>
    <w:rsid w:val="00A8635B"/>
    <w:rsid w:val="00A86367"/>
    <w:rsid w:val="00A86F81"/>
    <w:rsid w:val="00A871E0"/>
    <w:rsid w:val="00A87210"/>
    <w:rsid w:val="00A905EE"/>
    <w:rsid w:val="00A9077F"/>
    <w:rsid w:val="00A91489"/>
    <w:rsid w:val="00A91816"/>
    <w:rsid w:val="00A92C08"/>
    <w:rsid w:val="00A948B4"/>
    <w:rsid w:val="00A97440"/>
    <w:rsid w:val="00A97F74"/>
    <w:rsid w:val="00AA0392"/>
    <w:rsid w:val="00AA0998"/>
    <w:rsid w:val="00AA0AF0"/>
    <w:rsid w:val="00AA0DE4"/>
    <w:rsid w:val="00AA1D7E"/>
    <w:rsid w:val="00AA2769"/>
    <w:rsid w:val="00AA2A11"/>
    <w:rsid w:val="00AA3DFC"/>
    <w:rsid w:val="00AA48C4"/>
    <w:rsid w:val="00AA5235"/>
    <w:rsid w:val="00AA5E1B"/>
    <w:rsid w:val="00AA7172"/>
    <w:rsid w:val="00AB0784"/>
    <w:rsid w:val="00AB0B1B"/>
    <w:rsid w:val="00AB0C51"/>
    <w:rsid w:val="00AB147E"/>
    <w:rsid w:val="00AB1657"/>
    <w:rsid w:val="00AB1790"/>
    <w:rsid w:val="00AB236E"/>
    <w:rsid w:val="00AB2709"/>
    <w:rsid w:val="00AB3110"/>
    <w:rsid w:val="00AB4467"/>
    <w:rsid w:val="00AB46A1"/>
    <w:rsid w:val="00AB48E4"/>
    <w:rsid w:val="00AB4BC4"/>
    <w:rsid w:val="00AB71E3"/>
    <w:rsid w:val="00AB752C"/>
    <w:rsid w:val="00AB7770"/>
    <w:rsid w:val="00AB7AB1"/>
    <w:rsid w:val="00AB7BD1"/>
    <w:rsid w:val="00AC138D"/>
    <w:rsid w:val="00AC1640"/>
    <w:rsid w:val="00AC1792"/>
    <w:rsid w:val="00AC1FD4"/>
    <w:rsid w:val="00AC3B99"/>
    <w:rsid w:val="00AC3E31"/>
    <w:rsid w:val="00AC4B1F"/>
    <w:rsid w:val="00AC5CC8"/>
    <w:rsid w:val="00AC6716"/>
    <w:rsid w:val="00AC76B6"/>
    <w:rsid w:val="00AD004D"/>
    <w:rsid w:val="00AD0F27"/>
    <w:rsid w:val="00AD1800"/>
    <w:rsid w:val="00AD1921"/>
    <w:rsid w:val="00AD1D57"/>
    <w:rsid w:val="00AD219F"/>
    <w:rsid w:val="00AD2A86"/>
    <w:rsid w:val="00AD2CD2"/>
    <w:rsid w:val="00AD37DA"/>
    <w:rsid w:val="00AD3B49"/>
    <w:rsid w:val="00AD4927"/>
    <w:rsid w:val="00AD4B6E"/>
    <w:rsid w:val="00AD61DB"/>
    <w:rsid w:val="00AD67ED"/>
    <w:rsid w:val="00AD6CB5"/>
    <w:rsid w:val="00AD78FF"/>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258D"/>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6FB5"/>
    <w:rsid w:val="00B27555"/>
    <w:rsid w:val="00B275B5"/>
    <w:rsid w:val="00B27D2F"/>
    <w:rsid w:val="00B307CB"/>
    <w:rsid w:val="00B31EBF"/>
    <w:rsid w:val="00B32557"/>
    <w:rsid w:val="00B33307"/>
    <w:rsid w:val="00B33F01"/>
    <w:rsid w:val="00B34979"/>
    <w:rsid w:val="00B35698"/>
    <w:rsid w:val="00B358AC"/>
    <w:rsid w:val="00B35D93"/>
    <w:rsid w:val="00B35EBF"/>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23EB"/>
    <w:rsid w:val="00B6458F"/>
    <w:rsid w:val="00B64B44"/>
    <w:rsid w:val="00B65146"/>
    <w:rsid w:val="00B65AD0"/>
    <w:rsid w:val="00B66285"/>
    <w:rsid w:val="00B66693"/>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A77D3"/>
    <w:rsid w:val="00BB011C"/>
    <w:rsid w:val="00BB0974"/>
    <w:rsid w:val="00BB0C08"/>
    <w:rsid w:val="00BB2959"/>
    <w:rsid w:val="00BB2AE3"/>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25A4"/>
    <w:rsid w:val="00BC30DC"/>
    <w:rsid w:val="00BC36C1"/>
    <w:rsid w:val="00BC3E2A"/>
    <w:rsid w:val="00BC52A9"/>
    <w:rsid w:val="00BC5646"/>
    <w:rsid w:val="00BC5831"/>
    <w:rsid w:val="00BC7806"/>
    <w:rsid w:val="00BD074D"/>
    <w:rsid w:val="00BD0FC0"/>
    <w:rsid w:val="00BD255B"/>
    <w:rsid w:val="00BD36F5"/>
    <w:rsid w:val="00BD3ADE"/>
    <w:rsid w:val="00BD44D0"/>
    <w:rsid w:val="00BD65AF"/>
    <w:rsid w:val="00BD67A1"/>
    <w:rsid w:val="00BD69CA"/>
    <w:rsid w:val="00BD6B68"/>
    <w:rsid w:val="00BD71B0"/>
    <w:rsid w:val="00BD732F"/>
    <w:rsid w:val="00BE048E"/>
    <w:rsid w:val="00BE09D8"/>
    <w:rsid w:val="00BE0EDA"/>
    <w:rsid w:val="00BE127E"/>
    <w:rsid w:val="00BE137C"/>
    <w:rsid w:val="00BE1BBE"/>
    <w:rsid w:val="00BE1CFB"/>
    <w:rsid w:val="00BE3874"/>
    <w:rsid w:val="00BE4591"/>
    <w:rsid w:val="00BE4852"/>
    <w:rsid w:val="00BE518A"/>
    <w:rsid w:val="00BE70E7"/>
    <w:rsid w:val="00BE71DB"/>
    <w:rsid w:val="00BE7797"/>
    <w:rsid w:val="00BE795A"/>
    <w:rsid w:val="00BF0D2A"/>
    <w:rsid w:val="00BF1216"/>
    <w:rsid w:val="00BF15AA"/>
    <w:rsid w:val="00BF24E3"/>
    <w:rsid w:val="00BF2813"/>
    <w:rsid w:val="00BF3714"/>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2746"/>
    <w:rsid w:val="00C134B6"/>
    <w:rsid w:val="00C1617A"/>
    <w:rsid w:val="00C161E0"/>
    <w:rsid w:val="00C17CBF"/>
    <w:rsid w:val="00C2005C"/>
    <w:rsid w:val="00C20C33"/>
    <w:rsid w:val="00C234E2"/>
    <w:rsid w:val="00C23EDB"/>
    <w:rsid w:val="00C23F84"/>
    <w:rsid w:val="00C2420D"/>
    <w:rsid w:val="00C2424C"/>
    <w:rsid w:val="00C257B7"/>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CAC"/>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3872"/>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2A28"/>
    <w:rsid w:val="00CD2C41"/>
    <w:rsid w:val="00CD32F3"/>
    <w:rsid w:val="00CD4A89"/>
    <w:rsid w:val="00CD536E"/>
    <w:rsid w:val="00CD5CDE"/>
    <w:rsid w:val="00CD64C8"/>
    <w:rsid w:val="00CD6752"/>
    <w:rsid w:val="00CD6D71"/>
    <w:rsid w:val="00CD71ED"/>
    <w:rsid w:val="00CE0D7A"/>
    <w:rsid w:val="00CE1992"/>
    <w:rsid w:val="00CE1A71"/>
    <w:rsid w:val="00CE20F4"/>
    <w:rsid w:val="00CE28EA"/>
    <w:rsid w:val="00CE293D"/>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046D"/>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378"/>
    <w:rsid w:val="00D45501"/>
    <w:rsid w:val="00D45551"/>
    <w:rsid w:val="00D457E8"/>
    <w:rsid w:val="00D4587D"/>
    <w:rsid w:val="00D509B4"/>
    <w:rsid w:val="00D5342D"/>
    <w:rsid w:val="00D543B1"/>
    <w:rsid w:val="00D54542"/>
    <w:rsid w:val="00D54A89"/>
    <w:rsid w:val="00D54AC5"/>
    <w:rsid w:val="00D551A8"/>
    <w:rsid w:val="00D56035"/>
    <w:rsid w:val="00D56723"/>
    <w:rsid w:val="00D5675D"/>
    <w:rsid w:val="00D56CD0"/>
    <w:rsid w:val="00D5704A"/>
    <w:rsid w:val="00D57142"/>
    <w:rsid w:val="00D5716E"/>
    <w:rsid w:val="00D603C8"/>
    <w:rsid w:val="00D6095E"/>
    <w:rsid w:val="00D609F4"/>
    <w:rsid w:val="00D612AD"/>
    <w:rsid w:val="00D616DC"/>
    <w:rsid w:val="00D61F6D"/>
    <w:rsid w:val="00D624AE"/>
    <w:rsid w:val="00D626F3"/>
    <w:rsid w:val="00D627F4"/>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7FE"/>
    <w:rsid w:val="00D8196C"/>
    <w:rsid w:val="00D821C2"/>
    <w:rsid w:val="00D82D4D"/>
    <w:rsid w:val="00D838F6"/>
    <w:rsid w:val="00D83D09"/>
    <w:rsid w:val="00D84692"/>
    <w:rsid w:val="00D848BC"/>
    <w:rsid w:val="00D86784"/>
    <w:rsid w:val="00D8698E"/>
    <w:rsid w:val="00D869E8"/>
    <w:rsid w:val="00D87D2F"/>
    <w:rsid w:val="00D90FE8"/>
    <w:rsid w:val="00D91A0D"/>
    <w:rsid w:val="00D921C3"/>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0A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4E2C"/>
    <w:rsid w:val="00DC5A5F"/>
    <w:rsid w:val="00DC5AE9"/>
    <w:rsid w:val="00DC5B41"/>
    <w:rsid w:val="00DC64A9"/>
    <w:rsid w:val="00DC798C"/>
    <w:rsid w:val="00DC7E40"/>
    <w:rsid w:val="00DD0A07"/>
    <w:rsid w:val="00DD16C8"/>
    <w:rsid w:val="00DD3A68"/>
    <w:rsid w:val="00DD401C"/>
    <w:rsid w:val="00DD442A"/>
    <w:rsid w:val="00DD4D82"/>
    <w:rsid w:val="00DD51CF"/>
    <w:rsid w:val="00DD6279"/>
    <w:rsid w:val="00DD67A9"/>
    <w:rsid w:val="00DD7711"/>
    <w:rsid w:val="00DE199B"/>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429"/>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4B8E"/>
    <w:rsid w:val="00E2591F"/>
    <w:rsid w:val="00E261AB"/>
    <w:rsid w:val="00E274D4"/>
    <w:rsid w:val="00E275D6"/>
    <w:rsid w:val="00E27AD5"/>
    <w:rsid w:val="00E27E58"/>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0CA"/>
    <w:rsid w:val="00E51449"/>
    <w:rsid w:val="00E519A9"/>
    <w:rsid w:val="00E51A62"/>
    <w:rsid w:val="00E534E3"/>
    <w:rsid w:val="00E5354D"/>
    <w:rsid w:val="00E54A43"/>
    <w:rsid w:val="00E5546B"/>
    <w:rsid w:val="00E55D3E"/>
    <w:rsid w:val="00E579ED"/>
    <w:rsid w:val="00E57E67"/>
    <w:rsid w:val="00E57F9C"/>
    <w:rsid w:val="00E616A9"/>
    <w:rsid w:val="00E62EC2"/>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0407"/>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2F7"/>
    <w:rsid w:val="00E90371"/>
    <w:rsid w:val="00E91B33"/>
    <w:rsid w:val="00E91DBC"/>
    <w:rsid w:val="00E922D0"/>
    <w:rsid w:val="00E93294"/>
    <w:rsid w:val="00E9381E"/>
    <w:rsid w:val="00E94514"/>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1CBD"/>
    <w:rsid w:val="00EB3779"/>
    <w:rsid w:val="00EB38AA"/>
    <w:rsid w:val="00EB48AA"/>
    <w:rsid w:val="00EB49B6"/>
    <w:rsid w:val="00EB4B2F"/>
    <w:rsid w:val="00EB52DC"/>
    <w:rsid w:val="00EB5889"/>
    <w:rsid w:val="00EB6CC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3F51"/>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012"/>
    <w:rsid w:val="00F00860"/>
    <w:rsid w:val="00F01172"/>
    <w:rsid w:val="00F0163D"/>
    <w:rsid w:val="00F022E4"/>
    <w:rsid w:val="00F0338E"/>
    <w:rsid w:val="00F040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2974"/>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5E0C"/>
    <w:rsid w:val="00F46BE9"/>
    <w:rsid w:val="00F46C4A"/>
    <w:rsid w:val="00F46ED4"/>
    <w:rsid w:val="00F47472"/>
    <w:rsid w:val="00F47657"/>
    <w:rsid w:val="00F47708"/>
    <w:rsid w:val="00F51923"/>
    <w:rsid w:val="00F51CB9"/>
    <w:rsid w:val="00F526CC"/>
    <w:rsid w:val="00F54061"/>
    <w:rsid w:val="00F54F7A"/>
    <w:rsid w:val="00F55616"/>
    <w:rsid w:val="00F55676"/>
    <w:rsid w:val="00F55E65"/>
    <w:rsid w:val="00F564D8"/>
    <w:rsid w:val="00F56805"/>
    <w:rsid w:val="00F57F5C"/>
    <w:rsid w:val="00F6030F"/>
    <w:rsid w:val="00F6055E"/>
    <w:rsid w:val="00F60D1F"/>
    <w:rsid w:val="00F62201"/>
    <w:rsid w:val="00F6265F"/>
    <w:rsid w:val="00F65806"/>
    <w:rsid w:val="00F65966"/>
    <w:rsid w:val="00F6675A"/>
    <w:rsid w:val="00F704AC"/>
    <w:rsid w:val="00F70D39"/>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8F"/>
    <w:rsid w:val="00F820D0"/>
    <w:rsid w:val="00F82DC6"/>
    <w:rsid w:val="00F8337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03DB"/>
    <w:rsid w:val="00FA1192"/>
    <w:rsid w:val="00FA1344"/>
    <w:rsid w:val="00FA1458"/>
    <w:rsid w:val="00FA16DC"/>
    <w:rsid w:val="00FA2140"/>
    <w:rsid w:val="00FA2310"/>
    <w:rsid w:val="00FA2CDB"/>
    <w:rsid w:val="00FA3141"/>
    <w:rsid w:val="00FA328F"/>
    <w:rsid w:val="00FA43B4"/>
    <w:rsid w:val="00FA4DDB"/>
    <w:rsid w:val="00FA5002"/>
    <w:rsid w:val="00FA521B"/>
    <w:rsid w:val="00FA535E"/>
    <w:rsid w:val="00FA5E19"/>
    <w:rsid w:val="00FA61DD"/>
    <w:rsid w:val="00FA6297"/>
    <w:rsid w:val="00FA6C15"/>
    <w:rsid w:val="00FA6F20"/>
    <w:rsid w:val="00FA78C2"/>
    <w:rsid w:val="00FB0363"/>
    <w:rsid w:val="00FB1287"/>
    <w:rsid w:val="00FB17D6"/>
    <w:rsid w:val="00FB1ADE"/>
    <w:rsid w:val="00FB1E2D"/>
    <w:rsid w:val="00FB2542"/>
    <w:rsid w:val="00FB3F69"/>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08B"/>
    <w:rsid w:val="00FD7732"/>
    <w:rsid w:val="00FD7F8D"/>
    <w:rsid w:val="00FE0452"/>
    <w:rsid w:val="00FE1595"/>
    <w:rsid w:val="00FE1832"/>
    <w:rsid w:val="00FE1F53"/>
    <w:rsid w:val="00FE2366"/>
    <w:rsid w:val="00FE24FB"/>
    <w:rsid w:val="00FE3C85"/>
    <w:rsid w:val="00FE4275"/>
    <w:rsid w:val="00FE43F6"/>
    <w:rsid w:val="00FE4BE1"/>
    <w:rsid w:val="00FE4E50"/>
    <w:rsid w:val="00FE5B5A"/>
    <w:rsid w:val="00FE5D6D"/>
    <w:rsid w:val="00FE6667"/>
    <w:rsid w:val="00FE744C"/>
    <w:rsid w:val="00FE7A2A"/>
    <w:rsid w:val="00FE7D99"/>
    <w:rsid w:val="00FF0B6F"/>
    <w:rsid w:val="00FF0D2E"/>
    <w:rsid w:val="00FF0F17"/>
    <w:rsid w:val="00FF10F3"/>
    <w:rsid w:val="00FF2204"/>
    <w:rsid w:val="00FF31E7"/>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A4D1B22A-BE56-41FD-AABE-ACEBC7D8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C13C2-7471-49C7-AD12-D21770EEA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10</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Links>
    <vt:vector size="18" baseType="variant">
      <vt:variant>
        <vt:i4>1900597</vt:i4>
      </vt:variant>
      <vt:variant>
        <vt:i4>14</vt:i4>
      </vt:variant>
      <vt:variant>
        <vt:i4>0</vt:i4>
      </vt:variant>
      <vt:variant>
        <vt:i4>5</vt:i4>
      </vt:variant>
      <vt:variant>
        <vt:lpwstr/>
      </vt:variant>
      <vt:variant>
        <vt:lpwstr>_Toc225169402</vt:lpwstr>
      </vt:variant>
      <vt:variant>
        <vt:i4>1900597</vt:i4>
      </vt:variant>
      <vt:variant>
        <vt:i4>8</vt:i4>
      </vt:variant>
      <vt:variant>
        <vt:i4>0</vt:i4>
      </vt:variant>
      <vt:variant>
        <vt:i4>5</vt:i4>
      </vt:variant>
      <vt:variant>
        <vt:lpwstr/>
      </vt:variant>
      <vt:variant>
        <vt:lpwstr>_Toc225169401</vt:lpwstr>
      </vt:variant>
      <vt:variant>
        <vt:i4>1900597</vt:i4>
      </vt:variant>
      <vt:variant>
        <vt:i4>2</vt:i4>
      </vt:variant>
      <vt:variant>
        <vt:i4>0</vt:i4>
      </vt:variant>
      <vt:variant>
        <vt:i4>5</vt:i4>
      </vt:variant>
      <vt:variant>
        <vt:lpwstr/>
      </vt:variant>
      <vt:variant>
        <vt:lpwstr>_Toc225169400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2026-03-23T06:43:00Z</cp:lastPrinted>
  <dcterms:created xsi:type="dcterms:W3CDTF">2026-03-25T03:23:00Z</dcterms:created>
  <dcterms:modified xsi:type="dcterms:W3CDTF">2026-03-25T03:23:00Z</dcterms:modified>
</cp:coreProperties>
</file>