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Default="00535ADA" w:rsidP="004C34F1">
      <w:pPr>
        <w:pStyle w:val="ab"/>
        <w:rPr>
          <w:rFonts w:hAnsi="標楷體"/>
          <w:color w:val="000000"/>
        </w:rPr>
      </w:pPr>
      <w:bookmarkStart w:id="0" w:name="_GoBack"/>
      <w:bookmarkEnd w:id="0"/>
      <w:r>
        <w:rPr>
          <w:rFonts w:hAnsi="標楷體" w:hint="eastAsia"/>
          <w:color w:val="000000"/>
        </w:rPr>
        <w:t>台灣中油股份有限公司1</w:t>
      </w:r>
      <w:r w:rsidR="00230994">
        <w:rPr>
          <w:rFonts w:hAnsi="標楷體" w:hint="eastAsia"/>
          <w:color w:val="000000"/>
        </w:rPr>
        <w:t>1</w:t>
      </w:r>
      <w:r w:rsidR="00D47C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</w:t>
      </w:r>
      <w:r w:rsidR="007F1315">
        <w:rPr>
          <w:rFonts w:hAnsi="標楷體" w:hint="eastAsia"/>
          <w:color w:val="000000"/>
        </w:rPr>
        <w:t>決</w:t>
      </w:r>
      <w:r>
        <w:rPr>
          <w:rFonts w:hAnsi="標楷體" w:hint="eastAsia"/>
          <w:color w:val="000000"/>
        </w:rPr>
        <w:t>算評估報告</w:t>
      </w:r>
    </w:p>
    <w:p w:rsidR="007F1315" w:rsidRDefault="007F1315" w:rsidP="007F1315">
      <w:pPr>
        <w:pStyle w:val="a9"/>
        <w:ind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台灣中油股份有限公司(下稱台灣中油公司)1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年度決算審定(以下同)淨</w:t>
      </w:r>
      <w:r w:rsidR="005D70DB">
        <w:rPr>
          <w:rFonts w:hAnsi="標楷體" w:hint="eastAsia"/>
          <w:color w:val="000000"/>
        </w:rPr>
        <w:t>損</w:t>
      </w:r>
      <w:bookmarkStart w:id="1" w:name="_Hlk219817659"/>
      <w:r w:rsidR="00256E98">
        <w:rPr>
          <w:rFonts w:hAnsi="標楷體" w:hint="eastAsia"/>
          <w:color w:val="000000"/>
        </w:rPr>
        <w:t>341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8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154</w:t>
      </w:r>
      <w:r>
        <w:rPr>
          <w:rFonts w:hAnsi="標楷體" w:hint="eastAsia"/>
          <w:color w:val="000000"/>
        </w:rPr>
        <w:t>萬</w:t>
      </w:r>
      <w:r w:rsidR="00256E98">
        <w:rPr>
          <w:rFonts w:hAnsi="標楷體" w:hint="eastAsia"/>
          <w:color w:val="000000"/>
        </w:rPr>
        <w:t>5千</w:t>
      </w:r>
      <w:r>
        <w:rPr>
          <w:rFonts w:hAnsi="標楷體" w:hint="eastAsia"/>
          <w:color w:val="000000"/>
        </w:rPr>
        <w:t>元</w:t>
      </w:r>
      <w:bookmarkEnd w:id="1"/>
      <w:r>
        <w:rPr>
          <w:rFonts w:hAnsi="標楷體" w:hint="eastAsia"/>
          <w:color w:val="000000"/>
        </w:rPr>
        <w:t>，較預算淨利</w:t>
      </w:r>
      <w:r w:rsidR="00256E98">
        <w:rPr>
          <w:rFonts w:hAnsi="標楷體" w:hint="eastAsia"/>
          <w:color w:val="000000"/>
        </w:rPr>
        <w:t>30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988</w:t>
      </w:r>
      <w:r>
        <w:rPr>
          <w:rFonts w:hAnsi="標楷體" w:hint="eastAsia"/>
          <w:color w:val="000000"/>
        </w:rPr>
        <w:t>萬元，</w:t>
      </w:r>
      <w:r w:rsidR="005D70DB">
        <w:rPr>
          <w:rFonts w:hAnsi="標楷體" w:hint="eastAsia"/>
          <w:color w:val="000000"/>
        </w:rPr>
        <w:t>減少</w:t>
      </w:r>
      <w:r w:rsidR="00C77E77">
        <w:rPr>
          <w:rFonts w:hAnsi="標楷體" w:hint="eastAsia"/>
          <w:color w:val="000000"/>
        </w:rPr>
        <w:t>淨利</w:t>
      </w:r>
      <w:r w:rsidR="00256E98">
        <w:rPr>
          <w:rFonts w:hAnsi="標楷體" w:hint="eastAsia"/>
          <w:color w:val="000000"/>
        </w:rPr>
        <w:t>372</w:t>
      </w:r>
      <w:r>
        <w:rPr>
          <w:rFonts w:hAnsi="標楷體" w:hint="eastAsia"/>
          <w:color w:val="000000"/>
        </w:rPr>
        <w:t>億</w:t>
      </w:r>
      <w:r w:rsidR="006333F6">
        <w:rPr>
          <w:rFonts w:hAnsi="標楷體" w:hint="eastAsia"/>
          <w:color w:val="000000"/>
        </w:rPr>
        <w:t>4</w:t>
      </w:r>
      <w:r>
        <w:rPr>
          <w:rFonts w:hAnsi="標楷體" w:hint="eastAsia"/>
          <w:color w:val="000000"/>
        </w:rPr>
        <w:t>,</w:t>
      </w:r>
      <w:r w:rsidR="00C75BAE">
        <w:rPr>
          <w:rFonts w:hAnsi="標楷體"/>
          <w:color w:val="000000"/>
        </w:rPr>
        <w:t>1</w:t>
      </w:r>
      <w:r w:rsidR="00256E98">
        <w:rPr>
          <w:rFonts w:hAnsi="標楷體" w:hint="eastAsia"/>
          <w:color w:val="000000"/>
        </w:rPr>
        <w:t>42</w:t>
      </w:r>
      <w:r>
        <w:rPr>
          <w:rFonts w:hAnsi="標楷體" w:hint="eastAsia"/>
          <w:color w:val="000000"/>
        </w:rPr>
        <w:t>萬</w:t>
      </w:r>
      <w:r w:rsidR="006333F6">
        <w:rPr>
          <w:rFonts w:hAnsi="標楷體"/>
          <w:color w:val="000000"/>
        </w:rPr>
        <w:t>5</w:t>
      </w:r>
      <w:r w:rsidR="006333F6">
        <w:rPr>
          <w:rFonts w:hAnsi="標楷體" w:hint="eastAsia"/>
          <w:color w:val="000000"/>
        </w:rPr>
        <w:t>千</w:t>
      </w:r>
      <w:r>
        <w:rPr>
          <w:rFonts w:hAnsi="標楷體" w:hint="eastAsia"/>
          <w:color w:val="000000"/>
        </w:rPr>
        <w:t>元</w:t>
      </w:r>
      <w:r w:rsidR="006F02BF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主要係</w:t>
      </w:r>
      <w:r w:rsidR="006F3DBB">
        <w:rPr>
          <w:rFonts w:hAnsi="標楷體" w:hint="eastAsia"/>
          <w:color w:val="000000"/>
        </w:rPr>
        <w:t>配合</w:t>
      </w:r>
      <w:r w:rsidR="006333F6">
        <w:rPr>
          <w:rFonts w:hAnsi="標楷體" w:hint="eastAsia"/>
          <w:color w:val="000000"/>
        </w:rPr>
        <w:t>平</w:t>
      </w:r>
      <w:r w:rsidR="006F3DBB">
        <w:rPr>
          <w:rFonts w:hAnsi="標楷體" w:hint="eastAsia"/>
          <w:color w:val="000000"/>
        </w:rPr>
        <w:t>穩物價政策，</w:t>
      </w:r>
      <w:r w:rsidR="006333F6">
        <w:rPr>
          <w:rFonts w:hAnsi="標楷體" w:hint="eastAsia"/>
          <w:color w:val="000000"/>
        </w:rPr>
        <w:t>油氣</w:t>
      </w:r>
      <w:r w:rsidR="006F3DBB">
        <w:rPr>
          <w:rFonts w:hAnsi="標楷體" w:hint="eastAsia"/>
          <w:color w:val="000000"/>
        </w:rPr>
        <w:t>售價未</w:t>
      </w:r>
      <w:r w:rsidR="006333F6">
        <w:rPr>
          <w:rFonts w:hAnsi="標楷體" w:hint="eastAsia"/>
          <w:color w:val="000000"/>
        </w:rPr>
        <w:t>能適足反應成本變動情形等</w:t>
      </w:r>
      <w:r w:rsidR="006F3DBB">
        <w:rPr>
          <w:rFonts w:hAnsi="標楷體" w:hint="eastAsia"/>
          <w:color w:val="000000"/>
        </w:rPr>
        <w:t>所致</w:t>
      </w:r>
      <w:r>
        <w:rPr>
          <w:rFonts w:hAnsi="標楷體" w:hint="eastAsia"/>
          <w:color w:val="000000"/>
        </w:rPr>
        <w:t>。有關</w:t>
      </w:r>
      <w:r w:rsidR="003F1CF1">
        <w:rPr>
          <w:rFonts w:hAnsi="標楷體" w:hint="eastAsia"/>
          <w:color w:val="000000"/>
        </w:rPr>
        <w:t>台灣中油公司</w:t>
      </w:r>
      <w:r>
        <w:rPr>
          <w:rFonts w:hAnsi="標楷體" w:hint="eastAsia"/>
          <w:color w:val="000000"/>
        </w:rPr>
        <w:t>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年度營業預算執行狀況評析如下：</w:t>
      </w:r>
    </w:p>
    <w:p w:rsidR="005D62B0" w:rsidRPr="004F2019" w:rsidRDefault="005D62B0" w:rsidP="00547896">
      <w:pPr>
        <w:pStyle w:val="14"/>
        <w:ind w:left="567" w:hanging="567"/>
        <w:rPr>
          <w:rFonts w:hAnsi="標楷體" w:hint="eastAsia"/>
          <w:color w:val="FF0000"/>
        </w:rPr>
      </w:pPr>
      <w:bookmarkStart w:id="2" w:name="_Toc56673973"/>
      <w:bookmarkStart w:id="3" w:name="_Toc119058820"/>
      <w:bookmarkStart w:id="4" w:name="_Toc3170791"/>
      <w:bookmarkStart w:id="5" w:name="_Toc60137822"/>
      <w:bookmarkStart w:id="6" w:name="_Toc60137826"/>
      <w:bookmarkStart w:id="7" w:name="_Toc307216978"/>
      <w:bookmarkStart w:id="8" w:name="_Toc307218028"/>
      <w:bookmarkStart w:id="9" w:name="_Toc307218166"/>
      <w:bookmarkStart w:id="10" w:name="_Toc433707924"/>
      <w:bookmarkStart w:id="11" w:name="_Toc467171356"/>
      <w:bookmarkStart w:id="12" w:name="_Toc531338051"/>
      <w:bookmarkStart w:id="13" w:name="_Toc161054344"/>
      <w:bookmarkStart w:id="14" w:name="_Toc119058810"/>
      <w:bookmarkStart w:id="15" w:name="_Toc312920277"/>
      <w:bookmarkStart w:id="16" w:name="_Toc531338055"/>
      <w:bookmarkStart w:id="17" w:name="_Toc224560450"/>
      <w:r w:rsidRPr="003019EF">
        <w:rPr>
          <w:rFonts w:hAnsi="標楷體" w:hint="eastAsia"/>
        </w:rPr>
        <w:t>四、</w:t>
      </w:r>
      <w:r w:rsidR="00B166A2">
        <w:rPr>
          <w:rFonts w:hAnsi="標楷體" w:hint="eastAsia"/>
        </w:rPr>
        <w:t>「</w:t>
      </w:r>
      <w:r w:rsidR="007C62C2">
        <w:rPr>
          <w:rFonts w:hAnsi="標楷體" w:hint="eastAsia"/>
        </w:rPr>
        <w:t>停工損失</w:t>
      </w:r>
      <w:r w:rsidR="00B166A2">
        <w:rPr>
          <w:rFonts w:hAnsi="標楷體" w:hint="eastAsia"/>
        </w:rPr>
        <w:t>」</w:t>
      </w:r>
      <w:r w:rsidR="007C62C2">
        <w:rPr>
          <w:rFonts w:hAnsi="標楷體" w:hint="eastAsia"/>
        </w:rPr>
        <w:t>由</w:t>
      </w:r>
      <w:r>
        <w:rPr>
          <w:rFonts w:hAnsi="標楷體" w:hint="eastAsia"/>
        </w:rPr>
        <w:t>10</w:t>
      </w:r>
      <w:r w:rsidR="007C62C2">
        <w:rPr>
          <w:rFonts w:hAnsi="標楷體" w:hint="eastAsia"/>
        </w:rPr>
        <w:t>9</w:t>
      </w:r>
      <w:r>
        <w:rPr>
          <w:rFonts w:hAnsi="標楷體" w:hint="eastAsia"/>
        </w:rPr>
        <w:t>年度</w:t>
      </w:r>
      <w:r w:rsidR="007C62C2">
        <w:rPr>
          <w:rFonts w:hAnsi="標楷體" w:hint="eastAsia"/>
        </w:rPr>
        <w:t>7.75億元</w:t>
      </w:r>
      <w:r w:rsidR="00140E26">
        <w:rPr>
          <w:rFonts w:hAnsi="標楷體" w:hint="eastAsia"/>
        </w:rPr>
        <w:t>逐年</w:t>
      </w:r>
      <w:r w:rsidR="007C62C2">
        <w:rPr>
          <w:rFonts w:hAnsi="標楷體" w:hint="eastAsia"/>
        </w:rPr>
        <w:t>增加至113年度20.13億元，</w:t>
      </w:r>
      <w:r w:rsidR="00B166A2">
        <w:rPr>
          <w:rFonts w:hAnsi="標楷體" w:hint="eastAsia"/>
        </w:rPr>
        <w:t>允宜妥</w:t>
      </w:r>
      <w:r w:rsidR="00E04E05">
        <w:rPr>
          <w:rFonts w:hAnsi="標楷體" w:hint="eastAsia"/>
        </w:rPr>
        <w:t>適</w:t>
      </w:r>
      <w:r w:rsidR="00B166A2">
        <w:rPr>
          <w:rFonts w:hAnsi="標楷體" w:hint="eastAsia"/>
        </w:rPr>
        <w:t>檢討改善，</w:t>
      </w:r>
      <w:r w:rsidR="000528FC">
        <w:rPr>
          <w:rFonts w:hAnsi="標楷體" w:hint="eastAsia"/>
        </w:rPr>
        <w:t>俾</w:t>
      </w:r>
      <w:r w:rsidR="00B166A2">
        <w:rPr>
          <w:rFonts w:hAnsi="標楷體" w:hint="eastAsia"/>
        </w:rPr>
        <w:t>降低</w:t>
      </w:r>
      <w:r w:rsidR="00B166A2" w:rsidRPr="00B166A2">
        <w:rPr>
          <w:rFonts w:hAnsi="標楷體" w:hint="eastAsia"/>
        </w:rPr>
        <w:t>非計畫性停爐</w:t>
      </w:r>
      <w:r w:rsidR="00B166A2">
        <w:rPr>
          <w:rFonts w:hAnsi="標楷體" w:hint="eastAsia"/>
        </w:rPr>
        <w:t>風險</w:t>
      </w:r>
      <w:r w:rsidR="00E04E05">
        <w:rPr>
          <w:rFonts w:hAnsi="標楷體" w:hint="eastAsia"/>
        </w:rPr>
        <w:t>及</w:t>
      </w:r>
      <w:r w:rsidR="000528FC">
        <w:rPr>
          <w:rFonts w:hAnsi="標楷體" w:hint="eastAsia"/>
        </w:rPr>
        <w:t>提升煉製效益</w:t>
      </w:r>
      <w:bookmarkEnd w:id="17"/>
    </w:p>
    <w:p w:rsidR="005D62B0" w:rsidRPr="003019EF" w:rsidRDefault="005D62B0" w:rsidP="00871731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台灣中油公司11</w:t>
      </w:r>
      <w:r w:rsidR="00B166A2">
        <w:rPr>
          <w:rFonts w:hAnsi="標楷體" w:hint="eastAsia"/>
        </w:rPr>
        <w:t>3</w:t>
      </w:r>
      <w:r w:rsidRPr="003019EF">
        <w:rPr>
          <w:rFonts w:hAnsi="標楷體" w:hint="eastAsia"/>
        </w:rPr>
        <w:t>年度</w:t>
      </w:r>
      <w:r w:rsidR="00B166A2">
        <w:rPr>
          <w:rFonts w:hAnsi="標楷體" w:hint="eastAsia"/>
        </w:rPr>
        <w:t>「停工損失」</w:t>
      </w:r>
      <w:r w:rsidR="00F52DBF" w:rsidRPr="003019EF">
        <w:rPr>
          <w:rFonts w:hAnsi="標楷體" w:hint="eastAsia"/>
        </w:rPr>
        <w:t>決算數</w:t>
      </w:r>
      <w:r w:rsidR="00F52DBF">
        <w:rPr>
          <w:rFonts w:hAnsi="標楷體" w:hint="eastAsia"/>
        </w:rPr>
        <w:t>20</w:t>
      </w:r>
      <w:r w:rsidR="00F52DBF" w:rsidRPr="003019EF">
        <w:rPr>
          <w:rFonts w:hAnsi="標楷體" w:hint="eastAsia"/>
        </w:rPr>
        <w:t>億</w:t>
      </w:r>
      <w:r w:rsidR="00F52DBF">
        <w:rPr>
          <w:rFonts w:hAnsi="標楷體" w:hint="eastAsia"/>
        </w:rPr>
        <w:t>1</w:t>
      </w:r>
      <w:r w:rsidR="00F52DBF" w:rsidRPr="003019EF">
        <w:rPr>
          <w:rFonts w:hAnsi="標楷體" w:hint="eastAsia"/>
        </w:rPr>
        <w:t>,</w:t>
      </w:r>
      <w:r w:rsidR="00F52DBF">
        <w:rPr>
          <w:rFonts w:hAnsi="標楷體" w:hint="eastAsia"/>
        </w:rPr>
        <w:t>316</w:t>
      </w:r>
      <w:r w:rsidR="00F52DBF" w:rsidRPr="003019EF">
        <w:rPr>
          <w:rFonts w:hAnsi="標楷體" w:hint="eastAsia"/>
        </w:rPr>
        <w:t>萬</w:t>
      </w:r>
      <w:r w:rsidR="00F52DBF" w:rsidRPr="003019EF">
        <w:rPr>
          <w:rFonts w:hAnsi="標楷體"/>
        </w:rPr>
        <w:t>2</w:t>
      </w:r>
      <w:r w:rsidR="00F52DBF" w:rsidRPr="003019EF">
        <w:rPr>
          <w:rFonts w:hAnsi="標楷體" w:hint="eastAsia"/>
        </w:rPr>
        <w:t>千元</w:t>
      </w:r>
      <w:r w:rsidRPr="003019EF">
        <w:rPr>
          <w:rFonts w:hAnsi="標楷體" w:hint="eastAsia"/>
        </w:rPr>
        <w:t>，</w:t>
      </w:r>
      <w:r w:rsidR="00F52DBF">
        <w:rPr>
          <w:rFonts w:hAnsi="標楷體" w:hint="eastAsia"/>
        </w:rPr>
        <w:t>較</w:t>
      </w:r>
      <w:r w:rsidR="00F52DBF" w:rsidRPr="003019EF">
        <w:rPr>
          <w:rFonts w:hAnsi="標楷體" w:hint="eastAsia"/>
        </w:rPr>
        <w:t>預算數</w:t>
      </w:r>
      <w:r w:rsidR="00F52DBF">
        <w:rPr>
          <w:rFonts w:hAnsi="標楷體" w:hint="eastAsia"/>
        </w:rPr>
        <w:t>7</w:t>
      </w:r>
      <w:r w:rsidR="00F52DBF" w:rsidRPr="003019EF">
        <w:rPr>
          <w:rFonts w:hAnsi="標楷體" w:hint="eastAsia"/>
        </w:rPr>
        <w:t>億</w:t>
      </w:r>
      <w:r w:rsidR="00F52DBF">
        <w:rPr>
          <w:rFonts w:hAnsi="標楷體" w:hint="eastAsia"/>
        </w:rPr>
        <w:t>1</w:t>
      </w:r>
      <w:r w:rsidR="00F52DBF" w:rsidRPr="003019EF">
        <w:rPr>
          <w:rFonts w:hAnsi="標楷體" w:hint="eastAsia"/>
        </w:rPr>
        <w:t>,</w:t>
      </w:r>
      <w:r w:rsidR="00F52DBF">
        <w:rPr>
          <w:rFonts w:hAnsi="標楷體" w:hint="eastAsia"/>
        </w:rPr>
        <w:t>267</w:t>
      </w:r>
      <w:r w:rsidR="00F52DBF" w:rsidRPr="003019EF">
        <w:rPr>
          <w:rFonts w:hAnsi="標楷體" w:hint="eastAsia"/>
        </w:rPr>
        <w:t>萬元，</w:t>
      </w:r>
      <w:r w:rsidR="00F52DBF">
        <w:rPr>
          <w:rFonts w:hAnsi="標楷體" w:hint="eastAsia"/>
        </w:rPr>
        <w:t>增加</w:t>
      </w:r>
      <w:r w:rsidR="00EF7732">
        <w:rPr>
          <w:rFonts w:hAnsi="標楷體" w:hint="eastAsia"/>
        </w:rPr>
        <w:t>13</w:t>
      </w:r>
      <w:r w:rsidR="00EF7732" w:rsidRPr="003019EF">
        <w:rPr>
          <w:rFonts w:hAnsi="標楷體" w:hint="eastAsia"/>
        </w:rPr>
        <w:t>億</w:t>
      </w:r>
      <w:r w:rsidR="00EF7732">
        <w:rPr>
          <w:rFonts w:hAnsi="標楷體" w:hint="eastAsia"/>
        </w:rPr>
        <w:t>49</w:t>
      </w:r>
      <w:r w:rsidR="00EF7732" w:rsidRPr="003019EF">
        <w:rPr>
          <w:rFonts w:hAnsi="標楷體" w:hint="eastAsia"/>
        </w:rPr>
        <w:t>萬</w:t>
      </w:r>
      <w:r w:rsidR="00EF7732" w:rsidRPr="003019EF">
        <w:rPr>
          <w:rFonts w:hAnsi="標楷體"/>
        </w:rPr>
        <w:t>2</w:t>
      </w:r>
      <w:r w:rsidR="00EF7732" w:rsidRPr="003019EF">
        <w:rPr>
          <w:rFonts w:hAnsi="標楷體" w:hint="eastAsia"/>
        </w:rPr>
        <w:t>千元</w:t>
      </w:r>
      <w:r w:rsidR="000528FC">
        <w:rPr>
          <w:rFonts w:hAnsi="標楷體" w:hint="eastAsia"/>
        </w:rPr>
        <w:t>(</w:t>
      </w:r>
      <w:r w:rsidR="00EF7732">
        <w:rPr>
          <w:rFonts w:hAnsi="標楷體" w:hint="eastAsia"/>
        </w:rPr>
        <w:t>增幅1.82倍</w:t>
      </w:r>
      <w:r w:rsidR="000528FC">
        <w:rPr>
          <w:rFonts w:hAnsi="標楷體" w:hint="eastAsia"/>
        </w:rPr>
        <w:t>)</w:t>
      </w:r>
      <w:r w:rsidRPr="003019EF">
        <w:rPr>
          <w:rFonts w:hAnsi="標楷體" w:hint="eastAsia"/>
        </w:rPr>
        <w:t>。經查：</w:t>
      </w:r>
    </w:p>
    <w:p w:rsidR="005D62B0" w:rsidRPr="003019EF" w:rsidRDefault="005D62B0" w:rsidP="00547896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(一)</w:t>
      </w:r>
      <w:r w:rsidRPr="003019EF">
        <w:rPr>
          <w:rFonts w:hAnsi="標楷體"/>
          <w:b/>
        </w:rPr>
        <w:t>11</w:t>
      </w:r>
      <w:r w:rsidR="00B166A2">
        <w:rPr>
          <w:rFonts w:hAnsi="標楷體" w:hint="eastAsia"/>
          <w:b/>
        </w:rPr>
        <w:t>3</w:t>
      </w:r>
      <w:r w:rsidRPr="003019EF">
        <w:rPr>
          <w:rFonts w:hAnsi="標楷體" w:hint="eastAsia"/>
          <w:b/>
        </w:rPr>
        <w:t>年度決算</w:t>
      </w:r>
      <w:r w:rsidR="00F52DBF" w:rsidRPr="00F52DBF">
        <w:rPr>
          <w:rFonts w:hAnsi="標楷體" w:hint="eastAsia"/>
          <w:b/>
        </w:rPr>
        <w:t>「停工損失」</w:t>
      </w:r>
      <w:r w:rsidR="00F52DBF">
        <w:rPr>
          <w:rFonts w:hAnsi="標楷體" w:hint="eastAsia"/>
          <w:b/>
        </w:rPr>
        <w:t>達20.13</w:t>
      </w:r>
      <w:r w:rsidRPr="003019EF">
        <w:rPr>
          <w:rFonts w:hAnsi="標楷體" w:hint="eastAsia"/>
          <w:b/>
        </w:rPr>
        <w:t>億元</w:t>
      </w:r>
      <w:r w:rsidR="00F52DBF">
        <w:rPr>
          <w:rFonts w:hAnsi="標楷體" w:hint="eastAsia"/>
          <w:b/>
        </w:rPr>
        <w:t>，</w:t>
      </w:r>
      <w:r w:rsidR="00140E26">
        <w:rPr>
          <w:rFonts w:hAnsi="標楷體" w:hint="eastAsia"/>
          <w:b/>
        </w:rPr>
        <w:t>超逾預算數1.82倍，並</w:t>
      </w:r>
      <w:r w:rsidR="00F52DBF">
        <w:rPr>
          <w:rFonts w:hAnsi="標楷體" w:hint="eastAsia"/>
          <w:b/>
        </w:rPr>
        <w:t>為自109年度以來新高</w:t>
      </w:r>
    </w:p>
    <w:p w:rsidR="005D62B0" w:rsidRDefault="005D62B0" w:rsidP="00191836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台灣中油公司近</w:t>
      </w:r>
      <w:r w:rsidR="00C4126F">
        <w:rPr>
          <w:rFonts w:hAnsi="標楷體" w:hint="eastAsia"/>
        </w:rPr>
        <w:t>5</w:t>
      </w:r>
      <w:r w:rsidRPr="003019EF">
        <w:rPr>
          <w:rFonts w:hAnsi="標楷體" w:hint="eastAsia"/>
        </w:rPr>
        <w:t>年</w:t>
      </w:r>
      <w:r w:rsidR="00C4126F">
        <w:rPr>
          <w:rFonts w:hAnsi="標楷體" w:hint="eastAsia"/>
        </w:rPr>
        <w:t>度</w:t>
      </w:r>
      <w:r w:rsidR="00C4126F" w:rsidRPr="00C4126F">
        <w:rPr>
          <w:rFonts w:hAnsi="標楷體" w:hint="eastAsia"/>
        </w:rPr>
        <w:t>(10</w:t>
      </w:r>
      <w:r w:rsidR="00C4126F">
        <w:rPr>
          <w:rFonts w:hAnsi="標楷體" w:hint="eastAsia"/>
        </w:rPr>
        <w:t>9</w:t>
      </w:r>
      <w:r w:rsidR="00C4126F" w:rsidRPr="00C4126F">
        <w:rPr>
          <w:rFonts w:hAnsi="標楷體" w:hint="eastAsia"/>
        </w:rPr>
        <w:t>至11</w:t>
      </w:r>
      <w:r w:rsidR="00C4126F">
        <w:rPr>
          <w:rFonts w:hAnsi="標楷體" w:hint="eastAsia"/>
        </w:rPr>
        <w:t>3</w:t>
      </w:r>
      <w:r w:rsidR="00C4126F" w:rsidRPr="00C4126F">
        <w:rPr>
          <w:rFonts w:hAnsi="標楷體" w:hint="eastAsia"/>
        </w:rPr>
        <w:t>年度)</w:t>
      </w:r>
      <w:r w:rsidR="003E2C39" w:rsidRPr="00C4126F">
        <w:rPr>
          <w:rFonts w:hAnsi="標楷體" w:hint="eastAsia"/>
        </w:rPr>
        <w:t>「停工損失」</w:t>
      </w:r>
      <w:r w:rsidR="00F357E7">
        <w:rPr>
          <w:rFonts w:hAnsi="標楷體" w:hint="eastAsia"/>
        </w:rPr>
        <w:t>預算</w:t>
      </w:r>
      <w:r w:rsidR="003E2C39">
        <w:rPr>
          <w:rFonts w:hAnsi="標楷體" w:hint="eastAsia"/>
        </w:rPr>
        <w:t>數介於4.85億元至7.13億元之間，惟上開期間</w:t>
      </w:r>
      <w:r w:rsidR="00E04E05">
        <w:rPr>
          <w:rFonts w:hAnsi="標楷體" w:hint="eastAsia"/>
        </w:rPr>
        <w:t>實際執行</w:t>
      </w:r>
      <w:r w:rsidR="00140E26">
        <w:rPr>
          <w:rFonts w:hAnsi="標楷體" w:hint="eastAsia"/>
        </w:rPr>
        <w:t>結果，</w:t>
      </w:r>
      <w:r w:rsidR="00C4126F" w:rsidRPr="00C4126F">
        <w:rPr>
          <w:rFonts w:hAnsi="標楷體" w:hint="eastAsia"/>
        </w:rPr>
        <w:t>「停工損失」</w:t>
      </w:r>
      <w:r w:rsidR="00F50D4C">
        <w:rPr>
          <w:rFonts w:hAnsi="標楷體" w:hint="eastAsia"/>
        </w:rPr>
        <w:t>已</w:t>
      </w:r>
      <w:r w:rsidRPr="003019EF">
        <w:rPr>
          <w:rFonts w:hAnsi="標楷體" w:hint="eastAsia"/>
        </w:rPr>
        <w:t>由10</w:t>
      </w:r>
      <w:r w:rsidR="00C4126F">
        <w:rPr>
          <w:rFonts w:hAnsi="標楷體" w:hint="eastAsia"/>
        </w:rPr>
        <w:t>9</w:t>
      </w:r>
      <w:r w:rsidRPr="003019EF">
        <w:rPr>
          <w:rFonts w:hAnsi="標楷體" w:hint="eastAsia"/>
        </w:rPr>
        <w:t>年度</w:t>
      </w:r>
      <w:r w:rsidR="00C4126F">
        <w:rPr>
          <w:rFonts w:hAnsi="標楷體" w:hint="eastAsia"/>
        </w:rPr>
        <w:t>決算</w:t>
      </w:r>
      <w:r w:rsidRPr="003019EF">
        <w:rPr>
          <w:rFonts w:hAnsi="標楷體" w:hint="eastAsia"/>
        </w:rPr>
        <w:t>之</w:t>
      </w:r>
      <w:r w:rsidR="00C4126F" w:rsidRPr="00C4126F">
        <w:rPr>
          <w:rFonts w:hAnsi="標楷體"/>
        </w:rPr>
        <w:t>7.75</w:t>
      </w:r>
      <w:r w:rsidRPr="003019EF">
        <w:rPr>
          <w:rFonts w:hAnsi="標楷體" w:hint="eastAsia"/>
        </w:rPr>
        <w:t>億元逐年增加至11</w:t>
      </w:r>
      <w:r w:rsidR="00C4126F">
        <w:rPr>
          <w:rFonts w:hAnsi="標楷體" w:hint="eastAsia"/>
        </w:rPr>
        <w:t>3</w:t>
      </w:r>
      <w:r w:rsidRPr="003019EF">
        <w:rPr>
          <w:rFonts w:hAnsi="標楷體" w:hint="eastAsia"/>
        </w:rPr>
        <w:t>年度之</w:t>
      </w:r>
      <w:r w:rsidR="00C4126F" w:rsidRPr="00C4126F">
        <w:rPr>
          <w:rFonts w:hAnsi="標楷體"/>
        </w:rPr>
        <w:t>20.13</w:t>
      </w:r>
      <w:r w:rsidRPr="003019EF">
        <w:rPr>
          <w:rFonts w:hAnsi="標楷體" w:hint="eastAsia"/>
        </w:rPr>
        <w:t>億元，</w:t>
      </w:r>
      <w:r w:rsidR="00EF37A7">
        <w:rPr>
          <w:rFonts w:hAnsi="標楷體" w:hint="eastAsia"/>
        </w:rPr>
        <w:t>且</w:t>
      </w:r>
      <w:r w:rsidR="00F50D4C">
        <w:rPr>
          <w:rFonts w:hAnsi="標楷體" w:hint="eastAsia"/>
        </w:rPr>
        <w:t>各</w:t>
      </w:r>
      <w:r w:rsidR="00140E26">
        <w:rPr>
          <w:rFonts w:hAnsi="標楷體" w:hint="eastAsia"/>
        </w:rPr>
        <w:t>該</w:t>
      </w:r>
      <w:r w:rsidR="00F50D4C">
        <w:rPr>
          <w:rFonts w:hAnsi="標楷體" w:hint="eastAsia"/>
        </w:rPr>
        <w:t>年</w:t>
      </w:r>
      <w:r w:rsidR="00F357E7">
        <w:rPr>
          <w:rFonts w:hAnsi="標楷體" w:hint="eastAsia"/>
        </w:rPr>
        <w:t>決算</w:t>
      </w:r>
      <w:r w:rsidR="00DE13AF">
        <w:rPr>
          <w:rFonts w:hAnsi="標楷體" w:hint="eastAsia"/>
        </w:rPr>
        <w:t>較</w:t>
      </w:r>
      <w:r w:rsidR="003E2C39" w:rsidRPr="003E2C39">
        <w:rPr>
          <w:rFonts w:hAnsi="標楷體" w:hint="eastAsia"/>
        </w:rPr>
        <w:t>預算數</w:t>
      </w:r>
      <w:r w:rsidR="00DE13AF">
        <w:rPr>
          <w:rFonts w:hAnsi="標楷體" w:hint="eastAsia"/>
        </w:rPr>
        <w:t>增加幅度</w:t>
      </w:r>
      <w:r w:rsidR="00F50D4C">
        <w:rPr>
          <w:rFonts w:hAnsi="標楷體" w:hint="eastAsia"/>
        </w:rPr>
        <w:t>由109年度之59.69%</w:t>
      </w:r>
      <w:r w:rsidR="00140E26">
        <w:rPr>
          <w:rFonts w:hAnsi="標楷體" w:hint="eastAsia"/>
        </w:rPr>
        <w:t>大幅</w:t>
      </w:r>
      <w:r w:rsidR="00F50D4C">
        <w:rPr>
          <w:rFonts w:hAnsi="標楷體" w:hint="eastAsia"/>
        </w:rPr>
        <w:t>擴增至113年度</w:t>
      </w:r>
      <w:r w:rsidR="00F50D4C" w:rsidRPr="003019EF">
        <w:rPr>
          <w:rFonts w:hAnsi="標楷體" w:hint="eastAsia"/>
        </w:rPr>
        <w:t>達</w:t>
      </w:r>
      <w:r w:rsidR="00F50D4C">
        <w:rPr>
          <w:rFonts w:hAnsi="標楷體" w:hint="eastAsia"/>
        </w:rPr>
        <w:t>1.82倍</w:t>
      </w:r>
      <w:r w:rsidRPr="003019EF">
        <w:rPr>
          <w:rFonts w:hAnsi="標楷體" w:hint="eastAsia"/>
        </w:rPr>
        <w:t>(詳表1)</w:t>
      </w:r>
      <w:r w:rsidR="00F50D4C">
        <w:rPr>
          <w:rFonts w:hAnsi="標楷體" w:hint="eastAsia"/>
        </w:rPr>
        <w:t>，</w:t>
      </w:r>
      <w:r w:rsidR="00DE13AF">
        <w:rPr>
          <w:rFonts w:hAnsi="標楷體" w:hint="eastAsia"/>
        </w:rPr>
        <w:t>允待妥適控管</w:t>
      </w:r>
      <w:r w:rsidR="00B715F9">
        <w:rPr>
          <w:rFonts w:hAnsi="標楷體" w:hint="eastAsia"/>
        </w:rPr>
        <w:t>並</w:t>
      </w:r>
      <w:r w:rsidR="00651AC9">
        <w:rPr>
          <w:rFonts w:hAnsi="標楷體" w:hint="eastAsia"/>
        </w:rPr>
        <w:t>參酌</w:t>
      </w:r>
      <w:r w:rsidR="00B715F9">
        <w:rPr>
          <w:rFonts w:hAnsi="標楷體" w:hint="eastAsia"/>
        </w:rPr>
        <w:t>可</w:t>
      </w:r>
      <w:r w:rsidR="00B715F9" w:rsidRPr="00B715F9">
        <w:rPr>
          <w:rFonts w:hAnsi="標楷體" w:hint="eastAsia"/>
        </w:rPr>
        <w:t>預知</w:t>
      </w:r>
      <w:r w:rsidR="00B715F9">
        <w:rPr>
          <w:rFonts w:hAnsi="標楷體" w:hint="eastAsia"/>
        </w:rPr>
        <w:t>之</w:t>
      </w:r>
      <w:r w:rsidR="00B715F9" w:rsidRPr="00B715F9">
        <w:rPr>
          <w:rFonts w:hAnsi="標楷體" w:hint="eastAsia"/>
        </w:rPr>
        <w:t>生管產銷調度</w:t>
      </w:r>
      <w:r w:rsidR="00B715F9">
        <w:rPr>
          <w:rFonts w:hAnsi="標楷體" w:hint="eastAsia"/>
        </w:rPr>
        <w:t>計畫或</w:t>
      </w:r>
      <w:r w:rsidR="00B715F9" w:rsidRPr="00B715F9">
        <w:rPr>
          <w:rFonts w:hAnsi="標楷體" w:hint="eastAsia"/>
        </w:rPr>
        <w:t>效益性停爐</w:t>
      </w:r>
      <w:r w:rsidR="006045C2">
        <w:rPr>
          <w:rFonts w:hAnsi="標楷體" w:hint="eastAsia"/>
        </w:rPr>
        <w:t>需求</w:t>
      </w:r>
      <w:r w:rsidR="00651AC9">
        <w:rPr>
          <w:rFonts w:hAnsi="標楷體" w:hint="eastAsia"/>
        </w:rPr>
        <w:t>核實</w:t>
      </w:r>
      <w:r w:rsidR="00B715F9">
        <w:rPr>
          <w:rFonts w:hAnsi="標楷體" w:hint="eastAsia"/>
        </w:rPr>
        <w:t>估列</w:t>
      </w:r>
      <w:r w:rsidR="00140E26">
        <w:rPr>
          <w:rFonts w:hAnsi="標楷體" w:hint="eastAsia"/>
        </w:rPr>
        <w:t>年度</w:t>
      </w:r>
      <w:r w:rsidR="00B715F9">
        <w:rPr>
          <w:rFonts w:hAnsi="標楷體" w:hint="eastAsia"/>
        </w:rPr>
        <w:t>預算</w:t>
      </w:r>
      <w:r w:rsidRPr="003019EF">
        <w:rPr>
          <w:rFonts w:hAnsi="標楷體" w:hint="eastAsia"/>
        </w:rPr>
        <w:t>。</w:t>
      </w:r>
    </w:p>
    <w:p w:rsidR="00EF7732" w:rsidRPr="00F357E7" w:rsidRDefault="00EF7732" w:rsidP="00EF7732">
      <w:pPr>
        <w:pStyle w:val="142"/>
        <w:spacing w:line="500" w:lineRule="exact"/>
        <w:rPr>
          <w:rFonts w:hint="eastAsia"/>
          <w:spacing w:val="-16"/>
          <w:szCs w:val="24"/>
        </w:rPr>
      </w:pPr>
      <w:r w:rsidRPr="00F357E7">
        <w:rPr>
          <w:rFonts w:hint="eastAsia"/>
          <w:b/>
          <w:bCs/>
          <w:spacing w:val="-16"/>
          <w:sz w:val="28"/>
          <w:szCs w:val="32"/>
        </w:rPr>
        <w:t>表1  台灣中油公司1</w:t>
      </w:r>
      <w:r w:rsidR="00F52DBF" w:rsidRPr="00F357E7">
        <w:rPr>
          <w:rFonts w:hint="eastAsia"/>
          <w:b/>
          <w:bCs/>
          <w:spacing w:val="-16"/>
          <w:sz w:val="28"/>
          <w:szCs w:val="32"/>
        </w:rPr>
        <w:t>09</w:t>
      </w:r>
      <w:r w:rsidRPr="00F357E7">
        <w:rPr>
          <w:rFonts w:hint="eastAsia"/>
          <w:b/>
          <w:bCs/>
          <w:spacing w:val="-16"/>
          <w:sz w:val="28"/>
          <w:szCs w:val="32"/>
        </w:rPr>
        <w:t>至113年度</w:t>
      </w:r>
      <w:r w:rsidR="00F52DBF" w:rsidRPr="00F357E7">
        <w:rPr>
          <w:rFonts w:hint="eastAsia"/>
          <w:b/>
          <w:bCs/>
          <w:spacing w:val="-16"/>
          <w:sz w:val="28"/>
          <w:szCs w:val="32"/>
        </w:rPr>
        <w:t>「停工損失」預</w:t>
      </w:r>
      <w:r w:rsidRPr="00F357E7">
        <w:rPr>
          <w:rFonts w:hint="eastAsia"/>
          <w:b/>
          <w:bCs/>
          <w:spacing w:val="-16"/>
          <w:sz w:val="28"/>
          <w:szCs w:val="32"/>
        </w:rPr>
        <w:t>決算表</w:t>
      </w:r>
      <w:r w:rsidRPr="00F357E7">
        <w:rPr>
          <w:rFonts w:hint="eastAsia"/>
          <w:spacing w:val="-16"/>
        </w:rPr>
        <w:t xml:space="preserve">  </w:t>
      </w:r>
      <w:r w:rsidRPr="00F357E7">
        <w:rPr>
          <w:rFonts w:hint="eastAsia"/>
          <w:spacing w:val="-16"/>
          <w:szCs w:val="24"/>
        </w:rPr>
        <w:t>單位：新臺幣千元</w:t>
      </w:r>
      <w:r w:rsidR="00F357E7" w:rsidRPr="00F357E7">
        <w:rPr>
          <w:rFonts w:hint="eastAsia"/>
          <w:spacing w:val="-16"/>
          <w:szCs w:val="24"/>
        </w:rPr>
        <w:t>；%</w:t>
      </w:r>
    </w:p>
    <w:tbl>
      <w:tblPr>
        <w:tblW w:w="851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1667"/>
        <w:gridCol w:w="1181"/>
        <w:gridCol w:w="1180"/>
        <w:gridCol w:w="1181"/>
        <w:gridCol w:w="1181"/>
      </w:tblGrid>
      <w:tr w:rsidR="00F52DBF" w:rsidTr="00F50D4C">
        <w:trPr>
          <w:trHeight w:val="295"/>
          <w:tblHeader/>
        </w:trPr>
        <w:tc>
          <w:tcPr>
            <w:tcW w:w="2127" w:type="dxa"/>
            <w:shd w:val="clear" w:color="auto" w:fill="auto"/>
            <w:vAlign w:val="center"/>
          </w:tcPr>
          <w:p w:rsidR="00F52DBF" w:rsidRDefault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項目</w:t>
            </w:r>
          </w:p>
        </w:tc>
        <w:tc>
          <w:tcPr>
            <w:tcW w:w="1667" w:type="dxa"/>
            <w:vAlign w:val="center"/>
          </w:tcPr>
          <w:p w:rsidR="00F52DBF" w:rsidRDefault="00F52DBF" w:rsidP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109年度</w:t>
            </w:r>
          </w:p>
        </w:tc>
        <w:tc>
          <w:tcPr>
            <w:tcW w:w="1181" w:type="dxa"/>
            <w:vAlign w:val="center"/>
          </w:tcPr>
          <w:p w:rsidR="00F52DBF" w:rsidRDefault="00F52DBF" w:rsidP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110年度</w:t>
            </w:r>
          </w:p>
        </w:tc>
        <w:tc>
          <w:tcPr>
            <w:tcW w:w="1180" w:type="dxa"/>
            <w:vAlign w:val="center"/>
          </w:tcPr>
          <w:p w:rsidR="00F52DBF" w:rsidRDefault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111年度</w:t>
            </w:r>
          </w:p>
        </w:tc>
        <w:tc>
          <w:tcPr>
            <w:tcW w:w="1181" w:type="dxa"/>
            <w:vAlign w:val="center"/>
          </w:tcPr>
          <w:p w:rsidR="00F52DBF" w:rsidRDefault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112年度</w:t>
            </w:r>
          </w:p>
        </w:tc>
        <w:tc>
          <w:tcPr>
            <w:tcW w:w="1181" w:type="dxa"/>
            <w:vAlign w:val="center"/>
          </w:tcPr>
          <w:p w:rsidR="00F52DBF" w:rsidRDefault="00F52DBF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113年度</w:t>
            </w:r>
          </w:p>
        </w:tc>
      </w:tr>
      <w:tr w:rsidR="00F52DBF" w:rsidTr="00F50D4C">
        <w:trPr>
          <w:trHeight w:val="295"/>
        </w:trPr>
        <w:tc>
          <w:tcPr>
            <w:tcW w:w="2127" w:type="dxa"/>
            <w:shd w:val="clear" w:color="auto" w:fill="auto"/>
            <w:vAlign w:val="center"/>
          </w:tcPr>
          <w:p w:rsidR="00F52DBF" w:rsidRDefault="00F52DBF">
            <w:pPr>
              <w:pStyle w:val="142"/>
              <w:jc w:val="both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預算數(1)</w:t>
            </w:r>
          </w:p>
        </w:tc>
        <w:tc>
          <w:tcPr>
            <w:tcW w:w="1667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485,168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556,067</w:t>
            </w:r>
          </w:p>
        </w:tc>
        <w:tc>
          <w:tcPr>
            <w:tcW w:w="1180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602,897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 w:rsidRPr="00C4126F">
              <w:rPr>
                <w:rFonts w:hAnsi="標楷體"/>
                <w:bCs/>
                <w:color w:val="000000"/>
                <w:spacing w:val="-4"/>
                <w:szCs w:val="22"/>
              </w:rPr>
              <w:t>708,679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 w:rsidRPr="00C4126F">
              <w:rPr>
                <w:rFonts w:hAnsi="標楷體"/>
                <w:bCs/>
                <w:color w:val="000000"/>
                <w:spacing w:val="-4"/>
                <w:szCs w:val="22"/>
              </w:rPr>
              <w:t>712,670</w:t>
            </w:r>
          </w:p>
        </w:tc>
      </w:tr>
      <w:tr w:rsidR="00F52DBF" w:rsidTr="00F50D4C">
        <w:trPr>
          <w:trHeight w:val="295"/>
        </w:trPr>
        <w:tc>
          <w:tcPr>
            <w:tcW w:w="2127" w:type="dxa"/>
            <w:shd w:val="clear" w:color="auto" w:fill="auto"/>
            <w:vAlign w:val="center"/>
          </w:tcPr>
          <w:p w:rsidR="00F52DBF" w:rsidRDefault="00F52DBF">
            <w:pPr>
              <w:pStyle w:val="142"/>
              <w:ind w:left="226" w:hangingChars="93" w:hanging="226"/>
              <w:jc w:val="both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決算數(2)</w:t>
            </w:r>
          </w:p>
        </w:tc>
        <w:tc>
          <w:tcPr>
            <w:tcW w:w="1667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774,749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925,675</w:t>
            </w:r>
          </w:p>
        </w:tc>
        <w:tc>
          <w:tcPr>
            <w:tcW w:w="1180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1,098,116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C4126F">
              <w:rPr>
                <w:rFonts w:hAnsi="標楷體"/>
                <w:bCs/>
                <w:color w:val="000000"/>
                <w:spacing w:val="-4"/>
                <w:szCs w:val="22"/>
              </w:rPr>
              <w:t>1,654,77</w:t>
            </w: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7</w:t>
            </w:r>
          </w:p>
        </w:tc>
        <w:tc>
          <w:tcPr>
            <w:tcW w:w="1181" w:type="dxa"/>
            <w:vAlign w:val="center"/>
          </w:tcPr>
          <w:p w:rsidR="00F52DB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C4126F">
              <w:rPr>
                <w:rFonts w:hAnsi="標楷體"/>
                <w:bCs/>
                <w:color w:val="000000"/>
                <w:spacing w:val="-4"/>
                <w:szCs w:val="22"/>
              </w:rPr>
              <w:t>2,013,16</w:t>
            </w: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</w:p>
        </w:tc>
      </w:tr>
      <w:tr w:rsidR="00F52DBF" w:rsidTr="00F50D4C">
        <w:trPr>
          <w:trHeight w:val="295"/>
        </w:trPr>
        <w:tc>
          <w:tcPr>
            <w:tcW w:w="2127" w:type="dxa"/>
            <w:shd w:val="clear" w:color="auto" w:fill="auto"/>
            <w:vAlign w:val="center"/>
          </w:tcPr>
          <w:p w:rsidR="00F52DBF" w:rsidRPr="00F52DBF" w:rsidRDefault="00F52DBF" w:rsidP="00F50D4C">
            <w:pPr>
              <w:pStyle w:val="142"/>
              <w:jc w:val="both"/>
              <w:rPr>
                <w:rFonts w:hAnsi="標楷體" w:hint="eastAsia"/>
                <w:bCs/>
                <w:color w:val="000000"/>
                <w:szCs w:val="24"/>
              </w:rPr>
            </w:pPr>
            <w:r w:rsidRPr="00F52DBF">
              <w:rPr>
                <w:rFonts w:hAnsi="標楷體" w:hint="eastAsia"/>
                <w:bCs/>
                <w:color w:val="000000"/>
                <w:szCs w:val="24"/>
              </w:rPr>
              <w:t>決算較預算增減</w:t>
            </w:r>
            <w:r w:rsidR="00F50D4C">
              <w:rPr>
                <w:rFonts w:hAnsi="標楷體" w:hint="eastAsia"/>
                <w:bCs/>
                <w:color w:val="000000"/>
                <w:szCs w:val="24"/>
              </w:rPr>
              <w:t>數(3)=</w:t>
            </w:r>
            <w:r>
              <w:rPr>
                <w:rFonts w:hAnsi="標楷體" w:hint="eastAsia"/>
                <w:bCs/>
                <w:color w:val="000000"/>
                <w:szCs w:val="24"/>
              </w:rPr>
              <w:t>(2)-(1)</w:t>
            </w:r>
          </w:p>
        </w:tc>
        <w:tc>
          <w:tcPr>
            <w:tcW w:w="1667" w:type="dxa"/>
            <w:vAlign w:val="center"/>
          </w:tcPr>
          <w:p w:rsidR="00F52DBF" w:rsidRPr="00C4126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289,581</w:t>
            </w:r>
          </w:p>
        </w:tc>
        <w:tc>
          <w:tcPr>
            <w:tcW w:w="1181" w:type="dxa"/>
            <w:vAlign w:val="center"/>
          </w:tcPr>
          <w:p w:rsidR="00F52DBF" w:rsidRPr="00C4126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369,608</w:t>
            </w:r>
          </w:p>
        </w:tc>
        <w:tc>
          <w:tcPr>
            <w:tcW w:w="1180" w:type="dxa"/>
            <w:vAlign w:val="center"/>
          </w:tcPr>
          <w:p w:rsidR="00F52DBF" w:rsidRPr="00C4126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495,219</w:t>
            </w:r>
          </w:p>
        </w:tc>
        <w:tc>
          <w:tcPr>
            <w:tcW w:w="1181" w:type="dxa"/>
            <w:vAlign w:val="center"/>
          </w:tcPr>
          <w:p w:rsidR="00F52DBF" w:rsidRPr="00C4126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C4126F">
              <w:rPr>
                <w:rFonts w:hAnsi="標楷體"/>
                <w:bCs/>
                <w:color w:val="000000"/>
                <w:spacing w:val="-4"/>
                <w:szCs w:val="22"/>
              </w:rPr>
              <w:t>946,09</w:t>
            </w: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8</w:t>
            </w:r>
          </w:p>
        </w:tc>
        <w:tc>
          <w:tcPr>
            <w:tcW w:w="1181" w:type="dxa"/>
            <w:vAlign w:val="center"/>
          </w:tcPr>
          <w:p w:rsidR="00F52DBF" w:rsidRPr="00C4126F" w:rsidRDefault="00C4126F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1,300,492</w:t>
            </w:r>
          </w:p>
        </w:tc>
      </w:tr>
      <w:tr w:rsidR="00F50D4C" w:rsidTr="00F50D4C">
        <w:trPr>
          <w:trHeight w:val="295"/>
        </w:trPr>
        <w:tc>
          <w:tcPr>
            <w:tcW w:w="2127" w:type="dxa"/>
            <w:shd w:val="clear" w:color="auto" w:fill="auto"/>
            <w:vAlign w:val="center"/>
          </w:tcPr>
          <w:p w:rsidR="00F50D4C" w:rsidRPr="00F52DBF" w:rsidRDefault="00F50D4C" w:rsidP="00F50D4C">
            <w:pPr>
              <w:pStyle w:val="142"/>
              <w:jc w:val="both"/>
              <w:rPr>
                <w:rFonts w:hAnsi="標楷體" w:hint="eastAsia"/>
                <w:bCs/>
                <w:color w:val="000000"/>
                <w:szCs w:val="24"/>
              </w:rPr>
            </w:pPr>
            <w:r w:rsidRPr="00F357E7">
              <w:rPr>
                <w:rFonts w:hAnsi="標楷體" w:hint="eastAsia"/>
                <w:bCs/>
                <w:color w:val="000000"/>
                <w:szCs w:val="24"/>
              </w:rPr>
              <w:t>決算較預算增減</w:t>
            </w:r>
            <w:r>
              <w:rPr>
                <w:rFonts w:hAnsi="標楷體" w:hint="eastAsia"/>
                <w:bCs/>
                <w:color w:val="000000"/>
                <w:szCs w:val="24"/>
              </w:rPr>
              <w:t>率</w:t>
            </w:r>
            <w:r w:rsidRPr="00F357E7">
              <w:rPr>
                <w:rFonts w:hAnsi="標楷體" w:hint="eastAsia"/>
                <w:bCs/>
                <w:color w:val="000000"/>
                <w:szCs w:val="24"/>
              </w:rPr>
              <w:t>(</w:t>
            </w:r>
            <w:r>
              <w:rPr>
                <w:rFonts w:hAnsi="標楷體" w:hint="eastAsia"/>
                <w:bCs/>
                <w:color w:val="000000"/>
                <w:szCs w:val="24"/>
              </w:rPr>
              <w:t>3</w:t>
            </w:r>
            <w:r w:rsidRPr="00F357E7">
              <w:rPr>
                <w:rFonts w:hAnsi="標楷體" w:hint="eastAsia"/>
                <w:bCs/>
                <w:color w:val="000000"/>
                <w:szCs w:val="24"/>
              </w:rPr>
              <w:t>)</w:t>
            </w:r>
            <w:r>
              <w:rPr>
                <w:rFonts w:hAnsi="標楷體" w:hint="eastAsia"/>
                <w:bCs/>
                <w:color w:val="000000"/>
                <w:szCs w:val="24"/>
              </w:rPr>
              <w:t>/</w:t>
            </w:r>
            <w:r w:rsidRPr="00F357E7">
              <w:rPr>
                <w:rFonts w:hAnsi="標楷體"/>
                <w:bCs/>
                <w:color w:val="000000"/>
                <w:szCs w:val="24"/>
              </w:rPr>
              <w:t>(1)</w:t>
            </w:r>
          </w:p>
        </w:tc>
        <w:tc>
          <w:tcPr>
            <w:tcW w:w="1667" w:type="dxa"/>
            <w:vAlign w:val="center"/>
          </w:tcPr>
          <w:p w:rsidR="00F50D4C" w:rsidRDefault="00F50D4C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8E2AE6">
              <w:t>59.69</w:t>
            </w:r>
          </w:p>
        </w:tc>
        <w:tc>
          <w:tcPr>
            <w:tcW w:w="1181" w:type="dxa"/>
            <w:vAlign w:val="center"/>
          </w:tcPr>
          <w:p w:rsidR="00F50D4C" w:rsidRDefault="00F50D4C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8E2AE6">
              <w:t>66.47</w:t>
            </w:r>
          </w:p>
        </w:tc>
        <w:tc>
          <w:tcPr>
            <w:tcW w:w="1180" w:type="dxa"/>
            <w:vAlign w:val="center"/>
          </w:tcPr>
          <w:p w:rsidR="00F50D4C" w:rsidRDefault="00F50D4C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8E2AE6">
              <w:t>82.14</w:t>
            </w:r>
          </w:p>
        </w:tc>
        <w:tc>
          <w:tcPr>
            <w:tcW w:w="1181" w:type="dxa"/>
            <w:vAlign w:val="center"/>
          </w:tcPr>
          <w:p w:rsidR="00F50D4C" w:rsidRPr="00C4126F" w:rsidRDefault="00F50D4C" w:rsidP="00F50D4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 w:rsidRPr="008E2AE6">
              <w:t>133.50</w:t>
            </w:r>
          </w:p>
        </w:tc>
        <w:tc>
          <w:tcPr>
            <w:tcW w:w="1181" w:type="dxa"/>
            <w:vAlign w:val="center"/>
          </w:tcPr>
          <w:p w:rsidR="00F50D4C" w:rsidRDefault="00F50D4C" w:rsidP="00F50D4C">
            <w:pPr>
              <w:pStyle w:val="142"/>
              <w:jc w:val="right"/>
              <w:rPr>
                <w:rFonts w:hAnsi="標楷體" w:hint="eastAsia"/>
                <w:bCs/>
                <w:color w:val="000000"/>
                <w:spacing w:val="-4"/>
                <w:szCs w:val="22"/>
              </w:rPr>
            </w:pPr>
            <w:r w:rsidRPr="008E2AE6">
              <w:t>182.48</w:t>
            </w:r>
          </w:p>
        </w:tc>
      </w:tr>
    </w:tbl>
    <w:p w:rsidR="00EF7732" w:rsidRDefault="00EF7732" w:rsidP="00EF7732">
      <w:pPr>
        <w:spacing w:line="280" w:lineRule="exact"/>
        <w:ind w:leftChars="0" w:left="0" w:right="812" w:firstLineChars="0" w:firstLine="0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  <w:sz w:val="24"/>
          <w:szCs w:val="24"/>
        </w:rPr>
        <w:t>資料來源：台灣中油公司各年度決算書。</w:t>
      </w:r>
    </w:p>
    <w:p w:rsidR="005D62B0" w:rsidRPr="003019EF" w:rsidRDefault="005D62B0" w:rsidP="00547896">
      <w:pPr>
        <w:pStyle w:val="a5"/>
        <w:ind w:left="851" w:hanging="284"/>
        <w:rPr>
          <w:rFonts w:hAnsi="標楷體" w:hint="eastAsia"/>
          <w:b/>
        </w:rPr>
      </w:pPr>
      <w:r w:rsidRPr="003019EF">
        <w:rPr>
          <w:rFonts w:hAnsi="標楷體" w:hint="eastAsia"/>
          <w:b/>
        </w:rPr>
        <w:lastRenderedPageBreak/>
        <w:t>(二)近</w:t>
      </w:r>
      <w:r w:rsidR="001E177C">
        <w:rPr>
          <w:rFonts w:hAnsi="標楷體" w:hint="eastAsia"/>
          <w:b/>
        </w:rPr>
        <w:t>2</w:t>
      </w:r>
      <w:r w:rsidRPr="003019EF">
        <w:rPr>
          <w:rFonts w:hAnsi="標楷體" w:hint="eastAsia"/>
          <w:b/>
        </w:rPr>
        <w:t>年</w:t>
      </w:r>
      <w:r>
        <w:rPr>
          <w:rFonts w:hAnsi="標楷體" w:hint="eastAsia"/>
          <w:b/>
        </w:rPr>
        <w:t>度</w:t>
      </w:r>
      <w:r w:rsidR="001E177C">
        <w:rPr>
          <w:rFonts w:hAnsi="標楷體" w:hint="eastAsia"/>
          <w:b/>
        </w:rPr>
        <w:t>「停工損失」多起因於煉製事業部</w:t>
      </w:r>
      <w:r w:rsidR="003C6D80">
        <w:rPr>
          <w:rFonts w:hAnsi="標楷體" w:hint="eastAsia"/>
          <w:b/>
        </w:rPr>
        <w:t>大林廠</w:t>
      </w:r>
      <w:r w:rsidRPr="003019EF">
        <w:rPr>
          <w:rFonts w:hAnsi="標楷體" w:hint="eastAsia"/>
          <w:b/>
        </w:rPr>
        <w:t>，允</w:t>
      </w:r>
      <w:r w:rsidR="001E177C">
        <w:rPr>
          <w:rFonts w:hAnsi="標楷體" w:hint="eastAsia"/>
          <w:b/>
        </w:rPr>
        <w:t>待</w:t>
      </w:r>
      <w:r w:rsidR="001E177C" w:rsidRPr="001E177C">
        <w:rPr>
          <w:rFonts w:hAnsi="標楷體" w:hint="eastAsia"/>
          <w:b/>
        </w:rPr>
        <w:t>妥善監控</w:t>
      </w:r>
      <w:r w:rsidR="003C6D80">
        <w:rPr>
          <w:rFonts w:hAnsi="標楷體" w:hint="eastAsia"/>
          <w:b/>
        </w:rPr>
        <w:t>事故</w:t>
      </w:r>
      <w:r w:rsidR="001E177C" w:rsidRPr="001E177C">
        <w:rPr>
          <w:rFonts w:hAnsi="標楷體" w:hint="eastAsia"/>
          <w:b/>
        </w:rPr>
        <w:t>停工</w:t>
      </w:r>
      <w:r w:rsidR="001E177C">
        <w:rPr>
          <w:rFonts w:hAnsi="標楷體" w:hint="eastAsia"/>
          <w:b/>
        </w:rPr>
        <w:t>後續恢復進度</w:t>
      </w:r>
      <w:r w:rsidR="003C6D80">
        <w:rPr>
          <w:rFonts w:hAnsi="標楷體" w:hint="eastAsia"/>
          <w:b/>
        </w:rPr>
        <w:t>及優化生管產銷調度計畫</w:t>
      </w:r>
    </w:p>
    <w:p w:rsidR="005D62B0" w:rsidRPr="0015690E" w:rsidRDefault="009A6E94" w:rsidP="00381624">
      <w:pPr>
        <w:pStyle w:val="22"/>
        <w:ind w:left="850" w:firstLine="567"/>
      </w:pPr>
      <w:r w:rsidRPr="0015690E">
        <w:rPr>
          <w:rFonts w:hint="eastAsia"/>
        </w:rPr>
        <w:t>洽</w:t>
      </w:r>
      <w:r w:rsidR="005D62B0" w:rsidRPr="0015690E">
        <w:rPr>
          <w:rFonts w:hint="eastAsia"/>
        </w:rPr>
        <w:t>據台灣中油公司</w:t>
      </w:r>
      <w:r w:rsidR="000C7D9A" w:rsidRPr="0015690E">
        <w:rPr>
          <w:rFonts w:hint="eastAsia"/>
        </w:rPr>
        <w:t>提供</w:t>
      </w:r>
      <w:r w:rsidRPr="0015690E">
        <w:rPr>
          <w:rFonts w:hint="eastAsia"/>
        </w:rPr>
        <w:t>112及113</w:t>
      </w:r>
      <w:r w:rsidR="00EF37A7" w:rsidRPr="0015690E">
        <w:rPr>
          <w:rFonts w:hint="eastAsia"/>
        </w:rPr>
        <w:t>年度</w:t>
      </w:r>
      <w:r w:rsidRPr="0015690E">
        <w:rPr>
          <w:rFonts w:hint="eastAsia"/>
        </w:rPr>
        <w:t>決算「</w:t>
      </w:r>
      <w:r w:rsidR="00EF37A7" w:rsidRPr="0015690E">
        <w:rPr>
          <w:rFonts w:hint="eastAsia"/>
        </w:rPr>
        <w:t>停工損失</w:t>
      </w:r>
      <w:r w:rsidRPr="0015690E">
        <w:rPr>
          <w:rFonts w:hint="eastAsia"/>
        </w:rPr>
        <w:t>」</w:t>
      </w:r>
      <w:r w:rsidR="008E5D04">
        <w:rPr>
          <w:rFonts w:hint="eastAsia"/>
        </w:rPr>
        <w:t>明細</w:t>
      </w:r>
      <w:r w:rsidR="00DE13AF">
        <w:rPr>
          <w:rFonts w:hint="eastAsia"/>
        </w:rPr>
        <w:t>資料</w:t>
      </w:r>
      <w:r w:rsidR="0015690E">
        <w:rPr>
          <w:rFonts w:hint="eastAsia"/>
        </w:rPr>
        <w:t>，</w:t>
      </w:r>
      <w:r w:rsidR="00EF37A7" w:rsidRPr="0015690E">
        <w:rPr>
          <w:rFonts w:hint="eastAsia"/>
        </w:rPr>
        <w:t>多</w:t>
      </w:r>
      <w:r w:rsidR="00DE13AF">
        <w:rPr>
          <w:rFonts w:hint="eastAsia"/>
        </w:rPr>
        <w:t>源</w:t>
      </w:r>
      <w:r w:rsidR="00F64CA4" w:rsidRPr="0015690E">
        <w:rPr>
          <w:rFonts w:hint="eastAsia"/>
        </w:rPr>
        <w:t>於</w:t>
      </w:r>
      <w:r w:rsidR="00EF37A7" w:rsidRPr="0015690E">
        <w:rPr>
          <w:rFonts w:hint="eastAsia"/>
        </w:rPr>
        <w:t>煉製事業部</w:t>
      </w:r>
      <w:r w:rsidRPr="0015690E">
        <w:rPr>
          <w:rFonts w:hint="eastAsia"/>
        </w:rPr>
        <w:t>(</w:t>
      </w:r>
      <w:r w:rsidR="00EF37A7" w:rsidRPr="0015690E">
        <w:rPr>
          <w:rFonts w:hint="eastAsia"/>
        </w:rPr>
        <w:t>占全年停工損失</w:t>
      </w:r>
      <w:r w:rsidR="00BE370D">
        <w:rPr>
          <w:rFonts w:hint="eastAsia"/>
        </w:rPr>
        <w:t>比率</w:t>
      </w:r>
      <w:r w:rsidR="00577441" w:rsidRPr="0015690E">
        <w:rPr>
          <w:rFonts w:hint="eastAsia"/>
        </w:rPr>
        <w:t>各</w:t>
      </w:r>
      <w:r w:rsidR="000C7D9A" w:rsidRPr="0015690E">
        <w:rPr>
          <w:rFonts w:hint="eastAsia"/>
        </w:rPr>
        <w:t>為</w:t>
      </w:r>
      <w:r w:rsidR="00EF37A7" w:rsidRPr="0015690E">
        <w:rPr>
          <w:rFonts w:hint="eastAsia"/>
        </w:rPr>
        <w:t>9</w:t>
      </w:r>
      <w:r w:rsidR="00577441" w:rsidRPr="0015690E">
        <w:rPr>
          <w:rFonts w:hint="eastAsia"/>
        </w:rPr>
        <w:t>8.22</w:t>
      </w:r>
      <w:r w:rsidR="00EF37A7" w:rsidRPr="0015690E">
        <w:rPr>
          <w:rFonts w:hint="eastAsia"/>
        </w:rPr>
        <w:t>%</w:t>
      </w:r>
      <w:r w:rsidR="00577441" w:rsidRPr="0015690E">
        <w:rPr>
          <w:rFonts w:hint="eastAsia"/>
        </w:rPr>
        <w:t>及97.20%</w:t>
      </w:r>
      <w:r w:rsidRPr="0015690E">
        <w:rPr>
          <w:rFonts w:hint="eastAsia"/>
        </w:rPr>
        <w:t>，</w:t>
      </w:r>
      <w:r w:rsidR="00EF37A7" w:rsidRPr="0015690E">
        <w:rPr>
          <w:rFonts w:hint="eastAsia"/>
        </w:rPr>
        <w:t>詳表2)，</w:t>
      </w:r>
      <w:r w:rsidR="0015690E">
        <w:rPr>
          <w:rFonts w:hint="eastAsia"/>
        </w:rPr>
        <w:t>主要係</w:t>
      </w:r>
      <w:r w:rsidR="000C7D9A" w:rsidRPr="0015690E">
        <w:rPr>
          <w:rFonts w:hint="eastAsia"/>
        </w:rPr>
        <w:t>大林廠第三重油脫硫工場111年氣爆案致第</w:t>
      </w:r>
      <w:r w:rsidR="00B077F6">
        <w:rPr>
          <w:rFonts w:hint="eastAsia"/>
        </w:rPr>
        <w:t>八</w:t>
      </w:r>
      <w:r w:rsidR="000C7D9A" w:rsidRPr="0015690E">
        <w:rPr>
          <w:rFonts w:hint="eastAsia"/>
        </w:rPr>
        <w:t>硫磺及第</w:t>
      </w:r>
      <w:r w:rsidR="00B077F6">
        <w:rPr>
          <w:rFonts w:hint="eastAsia"/>
        </w:rPr>
        <w:t>四</w:t>
      </w:r>
      <w:r w:rsidR="000C7D9A" w:rsidRPr="0015690E">
        <w:rPr>
          <w:rFonts w:hint="eastAsia"/>
        </w:rPr>
        <w:t>硫磺工場</w:t>
      </w:r>
      <w:r w:rsidR="00140E26">
        <w:rPr>
          <w:rFonts w:hint="eastAsia"/>
        </w:rPr>
        <w:t>停工及</w:t>
      </w:r>
      <w:r w:rsidR="000C7D9A" w:rsidRPr="0015690E">
        <w:rPr>
          <w:rFonts w:hint="eastAsia"/>
        </w:rPr>
        <w:t>效益性停爐</w:t>
      </w:r>
      <w:r w:rsidR="00140E26">
        <w:rPr>
          <w:rFonts w:hint="eastAsia"/>
        </w:rPr>
        <w:t>等</w:t>
      </w:r>
      <w:r w:rsidR="000C7D9A" w:rsidRPr="0015690E">
        <w:rPr>
          <w:rFonts w:hint="eastAsia"/>
        </w:rPr>
        <w:t>，</w:t>
      </w:r>
      <w:r w:rsidR="00DE13AF">
        <w:rPr>
          <w:rFonts w:hint="eastAsia"/>
        </w:rPr>
        <w:t>兩年度</w:t>
      </w:r>
      <w:r w:rsidR="00140E26">
        <w:rPr>
          <w:rFonts w:hint="eastAsia"/>
        </w:rPr>
        <w:t>「</w:t>
      </w:r>
      <w:r w:rsidR="00DE13AF">
        <w:rPr>
          <w:rFonts w:hint="eastAsia"/>
        </w:rPr>
        <w:t>停工損失</w:t>
      </w:r>
      <w:r w:rsidR="00140E26">
        <w:rPr>
          <w:rFonts w:hint="eastAsia"/>
        </w:rPr>
        <w:t>」</w:t>
      </w:r>
      <w:r w:rsidR="00DE13AF">
        <w:rPr>
          <w:rFonts w:hint="eastAsia"/>
        </w:rPr>
        <w:t>各為8</w:t>
      </w:r>
      <w:r w:rsidR="00140E26">
        <w:rPr>
          <w:rFonts w:hint="eastAsia"/>
        </w:rPr>
        <w:t>.07</w:t>
      </w:r>
      <w:r w:rsidR="00DE13AF">
        <w:rPr>
          <w:rFonts w:hint="eastAsia"/>
        </w:rPr>
        <w:t>億</w:t>
      </w:r>
      <w:r w:rsidR="00140E26">
        <w:rPr>
          <w:rFonts w:hint="eastAsia"/>
        </w:rPr>
        <w:t>元</w:t>
      </w:r>
      <w:r w:rsidR="00DE13AF">
        <w:rPr>
          <w:rFonts w:hint="eastAsia"/>
        </w:rPr>
        <w:t>及9</w:t>
      </w:r>
      <w:r w:rsidR="00140E26">
        <w:rPr>
          <w:rFonts w:hint="eastAsia"/>
        </w:rPr>
        <w:t>.97</w:t>
      </w:r>
      <w:r w:rsidR="00DE13AF">
        <w:rPr>
          <w:rFonts w:hint="eastAsia"/>
        </w:rPr>
        <w:t>億元，</w:t>
      </w:r>
      <w:r w:rsidR="00140E26">
        <w:rPr>
          <w:rFonts w:hint="eastAsia"/>
        </w:rPr>
        <w:t>復</w:t>
      </w:r>
      <w:r w:rsidR="006045C2">
        <w:rPr>
          <w:rFonts w:hint="eastAsia"/>
        </w:rPr>
        <w:t>據該公司說明</w:t>
      </w:r>
      <w:r w:rsidR="006045C2" w:rsidRPr="006045C2">
        <w:rPr>
          <w:rFonts w:hint="eastAsia"/>
        </w:rPr>
        <w:t>第三重油脫硫</w:t>
      </w:r>
      <w:r w:rsidR="000C7D9A" w:rsidRPr="0015690E">
        <w:rPr>
          <w:rFonts w:hint="eastAsia"/>
        </w:rPr>
        <w:t>工場</w:t>
      </w:r>
      <w:r w:rsidR="00B715F9">
        <w:rPr>
          <w:rFonts w:hint="eastAsia"/>
        </w:rPr>
        <w:t>設備</w:t>
      </w:r>
      <w:r w:rsidR="00167A4F">
        <w:rPr>
          <w:rFonts w:hint="eastAsia"/>
        </w:rPr>
        <w:t>更換施工案已</w:t>
      </w:r>
      <w:r w:rsidR="00B715F9">
        <w:rPr>
          <w:rFonts w:hint="eastAsia"/>
        </w:rPr>
        <w:t>於114年9月完工</w:t>
      </w:r>
      <w:r w:rsidR="006045C2">
        <w:rPr>
          <w:rFonts w:hint="eastAsia"/>
        </w:rPr>
        <w:t>，惟尚</w:t>
      </w:r>
      <w:r w:rsidR="00DE13AF">
        <w:rPr>
          <w:rFonts w:hint="eastAsia"/>
        </w:rPr>
        <w:t>須</w:t>
      </w:r>
      <w:r w:rsidR="000C7D9A" w:rsidRPr="0015690E">
        <w:rPr>
          <w:rFonts w:hint="eastAsia"/>
        </w:rPr>
        <w:t>取得相關設備合格證及通過復工申請操作，預計115年3月</w:t>
      </w:r>
      <w:r w:rsidR="00167A4F">
        <w:rPr>
          <w:rFonts w:hint="eastAsia"/>
        </w:rPr>
        <w:t>重新</w:t>
      </w:r>
      <w:r w:rsidR="000C7D9A" w:rsidRPr="0015690E">
        <w:rPr>
          <w:rFonts w:hint="eastAsia"/>
        </w:rPr>
        <w:t>進料開爐</w:t>
      </w:r>
      <w:r w:rsidR="006045C2">
        <w:rPr>
          <w:rFonts w:hint="eastAsia"/>
        </w:rPr>
        <w:t>，</w:t>
      </w:r>
      <w:r w:rsidR="000C7D9A" w:rsidRPr="0015690E">
        <w:rPr>
          <w:rFonts w:hint="eastAsia"/>
        </w:rPr>
        <w:t>下游工場亦可隨之</w:t>
      </w:r>
      <w:r w:rsidR="006045C2">
        <w:rPr>
          <w:rFonts w:hint="eastAsia"/>
        </w:rPr>
        <w:t>運作</w:t>
      </w:r>
      <w:r w:rsidR="000C7D9A" w:rsidRPr="0015690E">
        <w:rPr>
          <w:rFonts w:hint="eastAsia"/>
        </w:rPr>
        <w:t>，</w:t>
      </w:r>
      <w:r w:rsidR="001E177C">
        <w:rPr>
          <w:rFonts w:hint="eastAsia"/>
        </w:rPr>
        <w:t>嗣後</w:t>
      </w:r>
      <w:r w:rsidR="000C7D9A" w:rsidRPr="0015690E">
        <w:rPr>
          <w:rFonts w:hint="eastAsia"/>
        </w:rPr>
        <w:t>停工損失</w:t>
      </w:r>
      <w:r w:rsidR="006045C2">
        <w:rPr>
          <w:rFonts w:hint="eastAsia"/>
        </w:rPr>
        <w:t>可</w:t>
      </w:r>
      <w:r w:rsidR="00167A4F">
        <w:rPr>
          <w:rFonts w:hint="eastAsia"/>
        </w:rPr>
        <w:t>望</w:t>
      </w:r>
      <w:r w:rsidR="001E177C">
        <w:rPr>
          <w:rFonts w:hint="eastAsia"/>
        </w:rPr>
        <w:t>轉趨收斂，</w:t>
      </w:r>
      <w:r w:rsidR="008E5D04">
        <w:rPr>
          <w:rFonts w:hint="eastAsia"/>
        </w:rPr>
        <w:t>為</w:t>
      </w:r>
      <w:r w:rsidR="008E5D04" w:rsidRPr="0015690E">
        <w:rPr>
          <w:rFonts w:hint="eastAsia"/>
        </w:rPr>
        <w:t>減輕公司營運負荷</w:t>
      </w:r>
      <w:r w:rsidR="008E5D04">
        <w:rPr>
          <w:rFonts w:hint="eastAsia"/>
        </w:rPr>
        <w:t>，</w:t>
      </w:r>
      <w:r w:rsidR="004E1C70" w:rsidRPr="0015690E">
        <w:rPr>
          <w:rFonts w:hint="eastAsia"/>
        </w:rPr>
        <w:t>允</w:t>
      </w:r>
      <w:r w:rsidR="001E177C">
        <w:rPr>
          <w:rFonts w:hint="eastAsia"/>
        </w:rPr>
        <w:t>待台灣中油公司</w:t>
      </w:r>
      <w:r w:rsidR="004E1C70" w:rsidRPr="0015690E">
        <w:rPr>
          <w:rFonts w:hint="eastAsia"/>
        </w:rPr>
        <w:t>持續研謀降低設備故障風險及妥善監控停工事件，並優化</w:t>
      </w:r>
      <w:r w:rsidR="003C6D80" w:rsidRPr="003C6D80">
        <w:rPr>
          <w:rFonts w:hint="eastAsia"/>
        </w:rPr>
        <w:t>生管產銷</w:t>
      </w:r>
      <w:r w:rsidR="004E1C70" w:rsidRPr="0015690E">
        <w:rPr>
          <w:rFonts w:hint="eastAsia"/>
        </w:rPr>
        <w:t>調度計畫，以期有效降低停工損失數額</w:t>
      </w:r>
      <w:r w:rsidR="005D62B0" w:rsidRPr="0015690E">
        <w:rPr>
          <w:rFonts w:hint="eastAsia"/>
        </w:rPr>
        <w:t>。</w:t>
      </w:r>
    </w:p>
    <w:p w:rsidR="0031777D" w:rsidRDefault="0031777D" w:rsidP="00BE370D">
      <w:pPr>
        <w:pStyle w:val="142"/>
        <w:spacing w:line="360" w:lineRule="exact"/>
        <w:ind w:left="780" w:hangingChars="275" w:hanging="780"/>
      </w:pPr>
      <w:r w:rsidRPr="003019EF">
        <w:rPr>
          <w:b/>
          <w:sz w:val="28"/>
        </w:rPr>
        <w:t>表2</w:t>
      </w:r>
      <w:r w:rsidRPr="003019EF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112及</w:t>
      </w:r>
      <w:r w:rsidRPr="003019EF">
        <w:rPr>
          <w:rFonts w:hint="eastAsia"/>
          <w:b/>
          <w:sz w:val="28"/>
        </w:rPr>
        <w:t>11</w:t>
      </w:r>
      <w:r>
        <w:rPr>
          <w:rFonts w:hint="eastAsia"/>
          <w:b/>
          <w:sz w:val="28"/>
        </w:rPr>
        <w:t>3</w:t>
      </w:r>
      <w:r w:rsidRPr="003019EF">
        <w:rPr>
          <w:rFonts w:hint="eastAsia"/>
          <w:b/>
          <w:sz w:val="28"/>
        </w:rPr>
        <w:t>年度</w:t>
      </w:r>
      <w:r w:rsidRPr="003019EF">
        <w:rPr>
          <w:b/>
          <w:sz w:val="28"/>
        </w:rPr>
        <w:t>台灣中油公司</w:t>
      </w:r>
      <w:r>
        <w:rPr>
          <w:rFonts w:hint="eastAsia"/>
          <w:b/>
          <w:sz w:val="28"/>
        </w:rPr>
        <w:t>煉製事業部</w:t>
      </w:r>
      <w:r w:rsidRPr="0031777D">
        <w:rPr>
          <w:rFonts w:hint="eastAsia"/>
          <w:b/>
          <w:sz w:val="28"/>
        </w:rPr>
        <w:t>各廠停工原因及損失金額</w:t>
      </w:r>
      <w:r>
        <w:rPr>
          <w:rFonts w:hint="eastAsia"/>
          <w:b/>
          <w:sz w:val="28"/>
        </w:rPr>
        <w:t>概況</w:t>
      </w:r>
      <w:r w:rsidRPr="003019EF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                                  </w:t>
      </w:r>
      <w:r w:rsidRPr="003019EF">
        <w:t>單位：</w:t>
      </w:r>
      <w:r w:rsidRPr="00D52EC8">
        <w:rPr>
          <w:rFonts w:hint="eastAsia"/>
        </w:rPr>
        <w:t>新臺幣</w:t>
      </w:r>
      <w:r>
        <w:rPr>
          <w:rFonts w:hint="eastAsia"/>
        </w:rPr>
        <w:t>千</w:t>
      </w:r>
      <w:r w:rsidRPr="003019EF">
        <w:rPr>
          <w:rFonts w:hint="eastAsia"/>
        </w:rPr>
        <w:t>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4925"/>
        <w:gridCol w:w="1176"/>
      </w:tblGrid>
      <w:tr w:rsidR="002824F4" w:rsidRPr="002824F4" w:rsidTr="00C02369">
        <w:trPr>
          <w:trHeight w:val="336"/>
          <w:tblHeader/>
        </w:trPr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廠別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部門別</w:t>
            </w:r>
          </w:p>
        </w:tc>
        <w:tc>
          <w:tcPr>
            <w:tcW w:w="4925" w:type="dxa"/>
            <w:tcBorders>
              <w:top w:val="single" w:sz="12" w:space="0" w:color="auto"/>
            </w:tcBorders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事由</w:t>
            </w:r>
          </w:p>
        </w:tc>
        <w:tc>
          <w:tcPr>
            <w:tcW w:w="1176" w:type="dxa"/>
            <w:tcBorders>
              <w:top w:val="single" w:sz="12" w:space="0" w:color="auto"/>
            </w:tcBorders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損失金額</w:t>
            </w:r>
          </w:p>
        </w:tc>
      </w:tr>
      <w:tr w:rsidR="00C02369" w:rsidRPr="002824F4" w:rsidTr="00C02369">
        <w:trPr>
          <w:trHeight w:val="294"/>
        </w:trPr>
        <w:tc>
          <w:tcPr>
            <w:tcW w:w="7335" w:type="dxa"/>
            <w:gridSpan w:val="3"/>
            <w:shd w:val="clear" w:color="auto" w:fill="auto"/>
            <w:noWrap/>
            <w:vAlign w:val="center"/>
          </w:tcPr>
          <w:p w:rsidR="00C02369" w:rsidRPr="00C02369" w:rsidRDefault="00C02369" w:rsidP="00CA65A6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112年度合計</w:t>
            </w:r>
          </w:p>
        </w:tc>
        <w:tc>
          <w:tcPr>
            <w:tcW w:w="1176" w:type="dxa"/>
            <w:vAlign w:val="center"/>
          </w:tcPr>
          <w:p w:rsidR="00C02369" w:rsidRPr="00C02369" w:rsidRDefault="00C02369" w:rsidP="00CA65A6">
            <w:pPr>
              <w:spacing w:line="260" w:lineRule="exact"/>
              <w:ind w:leftChars="0" w:left="647" w:firstLineChars="0" w:hanging="647"/>
              <w:jc w:val="right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C02369">
              <w:rPr>
                <w:rFonts w:hAnsi="標楷體"/>
                <w:b/>
                <w:bCs/>
                <w:snapToGrid/>
                <w:sz w:val="24"/>
                <w:szCs w:val="24"/>
              </w:rPr>
              <w:t>1,625,345</w:t>
            </w:r>
          </w:p>
        </w:tc>
      </w:tr>
      <w:tr w:rsidR="002824F4" w:rsidRPr="002824F4" w:rsidTr="00C02369">
        <w:trPr>
          <w:trHeight w:val="294"/>
        </w:trPr>
        <w:tc>
          <w:tcPr>
            <w:tcW w:w="1276" w:type="dxa"/>
            <w:shd w:val="clear" w:color="auto" w:fill="auto"/>
            <w:noWrap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高雄煉油廠</w:t>
            </w:r>
          </w:p>
        </w:tc>
        <w:tc>
          <w:tcPr>
            <w:tcW w:w="1134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4925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政策性長期停工。</w:t>
            </w:r>
          </w:p>
        </w:tc>
        <w:tc>
          <w:tcPr>
            <w:tcW w:w="1176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>31,195</w:t>
            </w:r>
          </w:p>
        </w:tc>
      </w:tr>
      <w:tr w:rsidR="002824F4" w:rsidRPr="002824F4" w:rsidTr="00C02369">
        <w:trPr>
          <w:trHeight w:val="294"/>
        </w:trPr>
        <w:tc>
          <w:tcPr>
            <w:tcW w:w="1276" w:type="dxa"/>
            <w:shd w:val="clear" w:color="auto" w:fill="auto"/>
            <w:noWrap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桃園煉油廠</w:t>
            </w:r>
          </w:p>
        </w:tc>
        <w:tc>
          <w:tcPr>
            <w:tcW w:w="1134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煉一組、煉二組、煉三組</w:t>
            </w:r>
          </w:p>
        </w:tc>
        <w:tc>
          <w:tcPr>
            <w:tcW w:w="4925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受112年8月16日跳電影響停爐。</w:t>
            </w:r>
          </w:p>
        </w:tc>
        <w:tc>
          <w:tcPr>
            <w:tcW w:w="1176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>33,524</w:t>
            </w:r>
          </w:p>
        </w:tc>
      </w:tr>
      <w:tr w:rsidR="002824F4" w:rsidRPr="002824F4" w:rsidTr="004E1C70">
        <w:trPr>
          <w:trHeight w:val="294"/>
        </w:trPr>
        <w:tc>
          <w:tcPr>
            <w:tcW w:w="1276" w:type="dxa"/>
            <w:shd w:val="clear" w:color="auto" w:fill="auto"/>
            <w:noWrap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大林煉油廠</w:t>
            </w:r>
          </w:p>
        </w:tc>
        <w:tc>
          <w:tcPr>
            <w:tcW w:w="1134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煉一組</w:t>
            </w:r>
          </w:p>
        </w:tc>
        <w:tc>
          <w:tcPr>
            <w:tcW w:w="4925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1.異戊烷分離因煉製結構改善停用。</w:t>
            </w:r>
          </w:p>
          <w:p w:rsidR="002824F4" w:rsidRPr="002824F4" w:rsidRDefault="002824F4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2.烯烴轉化工場及航空燃油處理裝置配合調度效益性停爐。</w:t>
            </w:r>
          </w:p>
          <w:p w:rsidR="002824F4" w:rsidRPr="002824F4" w:rsidRDefault="002824F4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3.第九蒸餾工場政策性長期停工。</w:t>
            </w:r>
          </w:p>
        </w:tc>
        <w:tc>
          <w:tcPr>
            <w:tcW w:w="1176" w:type="dxa"/>
            <w:vAlign w:val="center"/>
          </w:tcPr>
          <w:p w:rsidR="002824F4" w:rsidRPr="002824F4" w:rsidRDefault="002824F4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 xml:space="preserve">  324,392 </w:t>
            </w:r>
          </w:p>
        </w:tc>
      </w:tr>
      <w:tr w:rsidR="003C6D80" w:rsidRPr="002824F4" w:rsidTr="004E1C70">
        <w:trPr>
          <w:trHeight w:val="294"/>
        </w:trPr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大林煉油廠</w:t>
            </w:r>
          </w:p>
        </w:tc>
        <w:tc>
          <w:tcPr>
            <w:tcW w:w="1134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煉二組</w:t>
            </w:r>
          </w:p>
        </w:tc>
        <w:tc>
          <w:tcPr>
            <w:tcW w:w="4925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第二氫氣工場、第一重油脫硫工場及重油裂解工場等配合調度效益性停爐。</w:t>
            </w:r>
          </w:p>
        </w:tc>
        <w:tc>
          <w:tcPr>
            <w:tcW w:w="1176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 xml:space="preserve">325,565 </w:t>
            </w:r>
          </w:p>
        </w:tc>
      </w:tr>
      <w:tr w:rsidR="003C6D80" w:rsidRPr="002824F4" w:rsidTr="004E1C70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煉三組</w:t>
            </w:r>
          </w:p>
        </w:tc>
        <w:tc>
          <w:tcPr>
            <w:tcW w:w="4925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1.第</w:t>
            </w:r>
            <w:r w:rsidR="00B077F6">
              <w:rPr>
                <w:rFonts w:hAnsi="標楷體" w:hint="eastAsia"/>
                <w:snapToGrid/>
                <w:sz w:val="24"/>
                <w:szCs w:val="24"/>
              </w:rPr>
              <w:t>三</w:t>
            </w:r>
            <w:r w:rsidR="00B077F6" w:rsidRPr="00B077F6">
              <w:rPr>
                <w:rFonts w:hAnsi="標楷體" w:hint="eastAsia"/>
                <w:snapToGrid/>
                <w:sz w:val="24"/>
                <w:szCs w:val="24"/>
              </w:rPr>
              <w:t>重油脫硫</w:t>
            </w:r>
            <w:r w:rsidR="00B077F6">
              <w:rPr>
                <w:rFonts w:hAnsi="標楷體" w:hint="eastAsia"/>
                <w:snapToGrid/>
                <w:sz w:val="24"/>
                <w:szCs w:val="24"/>
              </w:rPr>
              <w:t>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於111年10月27日發生氣爆停工。</w:t>
            </w:r>
          </w:p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2.第</w:t>
            </w:r>
            <w:r w:rsidR="00B077F6">
              <w:rPr>
                <w:rFonts w:hAnsi="標楷體" w:hint="eastAsia"/>
                <w:snapToGrid/>
                <w:sz w:val="24"/>
                <w:szCs w:val="24"/>
              </w:rPr>
              <w:t>八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硫磺及第</w:t>
            </w:r>
            <w:r w:rsidR="00B077F6">
              <w:rPr>
                <w:rFonts w:hAnsi="標楷體" w:hint="eastAsia"/>
                <w:snapToGrid/>
                <w:sz w:val="24"/>
                <w:szCs w:val="24"/>
              </w:rPr>
              <w:t>四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硫磺工場因第</w:t>
            </w:r>
            <w:r w:rsidR="00DA1D17" w:rsidRPr="00DA1D17">
              <w:rPr>
                <w:rFonts w:hAnsi="標楷體" w:hint="eastAsia"/>
                <w:snapToGrid/>
                <w:sz w:val="24"/>
                <w:szCs w:val="24"/>
              </w:rPr>
              <w:t>三重油脫硫工場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發生氣爆停工無操作。</w:t>
            </w:r>
          </w:p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3.第</w:t>
            </w:r>
            <w:r w:rsidR="00B077F6">
              <w:rPr>
                <w:rFonts w:hAnsi="標楷體" w:hint="eastAsia"/>
                <w:snapToGrid/>
                <w:sz w:val="24"/>
                <w:szCs w:val="24"/>
              </w:rPr>
              <w:t>二</w:t>
            </w:r>
            <w:r w:rsidR="00B077F6" w:rsidRPr="00B077F6">
              <w:rPr>
                <w:rFonts w:hAnsi="標楷體" w:hint="eastAsia"/>
                <w:snapToGrid/>
                <w:sz w:val="24"/>
                <w:szCs w:val="24"/>
              </w:rPr>
              <w:t>汽油加氫脫硫工場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配合調度效益性停爐。</w:t>
            </w:r>
          </w:p>
        </w:tc>
        <w:tc>
          <w:tcPr>
            <w:tcW w:w="1176" w:type="dxa"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>806,961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煉四組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1.第十柴油加氫脫硫工場9月因</w:t>
            </w:r>
            <w:r w:rsidR="00D81F7A" w:rsidRPr="00D81F7A">
              <w:rPr>
                <w:rFonts w:hAnsi="標楷體" w:hint="eastAsia"/>
                <w:snapToGrid/>
                <w:sz w:val="24"/>
                <w:szCs w:val="24"/>
              </w:rPr>
              <w:t>重油</w:t>
            </w:r>
            <w:r w:rsidR="00D356B4">
              <w:rPr>
                <w:rFonts w:hAnsi="標楷體" w:hint="eastAsia"/>
                <w:snapToGrid/>
                <w:sz w:val="24"/>
                <w:szCs w:val="24"/>
              </w:rPr>
              <w:t>媒裂</w:t>
            </w:r>
            <w:r w:rsidR="00D81F7A">
              <w:rPr>
                <w:rFonts w:hAnsi="標楷體" w:hint="eastAsia"/>
                <w:snapToGrid/>
                <w:sz w:val="24"/>
                <w:szCs w:val="24"/>
              </w:rPr>
              <w:t>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大修，柴油進料不足，配合調度效益性停爐。</w:t>
            </w:r>
          </w:p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2.輕油分煉工場因C類原油庫存不足配合調度效益性停爐。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>51,745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煉五組</w:t>
            </w:r>
          </w:p>
        </w:tc>
        <w:tc>
          <w:tcPr>
            <w:tcW w:w="492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1.重油媒裂工場R-1101(反應器)進料噴嘴處流孔法蘭取壓管銲道斷裂熱油洩漏。</w:t>
            </w:r>
          </w:p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2.油氣純化工場配合調度效益性停爐。</w:t>
            </w:r>
          </w:p>
        </w:tc>
        <w:tc>
          <w:tcPr>
            <w:tcW w:w="11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/>
                <w:snapToGrid/>
                <w:sz w:val="24"/>
                <w:szCs w:val="24"/>
              </w:rPr>
              <w:t>51,963</w:t>
            </w:r>
          </w:p>
        </w:tc>
      </w:tr>
      <w:tr w:rsidR="00C02369" w:rsidRPr="002824F4" w:rsidTr="004E1C70">
        <w:trPr>
          <w:trHeight w:val="294"/>
        </w:trPr>
        <w:tc>
          <w:tcPr>
            <w:tcW w:w="7335" w:type="dxa"/>
            <w:gridSpan w:val="3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C02369" w:rsidRPr="00C02369" w:rsidRDefault="00C02369" w:rsidP="00CA65A6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113年度合計</w:t>
            </w: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C02369" w:rsidRPr="00C02369" w:rsidRDefault="00C02369" w:rsidP="00CA65A6">
            <w:pPr>
              <w:spacing w:line="260" w:lineRule="exact"/>
              <w:ind w:leftChars="0" w:left="647" w:firstLineChars="0" w:hanging="647"/>
              <w:jc w:val="right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C02369">
              <w:rPr>
                <w:rFonts w:hAnsi="標楷體"/>
                <w:b/>
                <w:bCs/>
                <w:snapToGrid/>
                <w:sz w:val="24"/>
                <w:szCs w:val="24"/>
              </w:rPr>
              <w:t>1,956,775</w:t>
            </w:r>
          </w:p>
        </w:tc>
      </w:tr>
      <w:tr w:rsidR="00C02369" w:rsidRPr="002824F4" w:rsidTr="004E1C70">
        <w:trPr>
          <w:trHeight w:val="294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2369" w:rsidRPr="002824F4" w:rsidRDefault="00C02369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高雄煉油廠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02369" w:rsidRPr="002824F4" w:rsidRDefault="00C02369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C02369" w:rsidRPr="002824F4" w:rsidRDefault="00C02369" w:rsidP="00CA65A6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政策性長期停工。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C02369" w:rsidRPr="002824F4" w:rsidRDefault="00C02369" w:rsidP="00CA65A6">
            <w:pPr>
              <w:spacing w:line="26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>25,276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桃園煉油廠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C02369" w:rsidRDefault="003C6D80" w:rsidP="00CA65A6">
            <w:pPr>
              <w:spacing w:line="260" w:lineRule="exact"/>
              <w:ind w:leftChars="0" w:left="0" w:firstLineChars="0" w:firstLine="0"/>
              <w:rPr>
                <w:sz w:val="24"/>
                <w:szCs w:val="24"/>
              </w:rPr>
            </w:pPr>
            <w:r w:rsidRPr="00C02369">
              <w:rPr>
                <w:rFonts w:hint="eastAsia"/>
                <w:sz w:val="24"/>
                <w:szCs w:val="24"/>
              </w:rPr>
              <w:t>第二蒸餾工場</w:t>
            </w:r>
          </w:p>
        </w:tc>
        <w:tc>
          <w:tcPr>
            <w:tcW w:w="4925" w:type="dxa"/>
            <w:tcBorders>
              <w:bottom w:val="single" w:sz="4" w:space="0" w:color="auto"/>
            </w:tcBorders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因配合基隆長途管線洩漏檢修，燃料油輸出受堵故規劃停爐，屬非計劃性損失</w:t>
            </w:r>
            <w:r>
              <w:rPr>
                <w:rFonts w:hAnsi="標楷體" w:hint="eastAsia"/>
                <w:snapToGrid/>
                <w:sz w:val="24"/>
                <w:szCs w:val="24"/>
              </w:rPr>
              <w:t>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5,408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C02369" w:rsidRDefault="003C6D80" w:rsidP="00CA65A6">
            <w:pPr>
              <w:spacing w:line="260" w:lineRule="exact"/>
              <w:ind w:leftChars="0" w:left="0" w:firstLineChars="0" w:firstLine="0"/>
              <w:rPr>
                <w:sz w:val="24"/>
                <w:szCs w:val="24"/>
              </w:rPr>
            </w:pPr>
            <w:r w:rsidRPr="00C02369">
              <w:rPr>
                <w:rFonts w:hint="eastAsia"/>
                <w:sz w:val="24"/>
                <w:szCs w:val="24"/>
              </w:rPr>
              <w:t>真空製氣油工場</w:t>
            </w:r>
          </w:p>
        </w:tc>
        <w:tc>
          <w:tcPr>
            <w:tcW w:w="4925" w:type="dxa"/>
            <w:tcBorders>
              <w:bottom w:val="single" w:sz="4" w:space="0" w:color="auto"/>
            </w:tcBorders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因配合基隆長途管線洩漏檢修，燃料油輸出受堵故規劃停爐，屬非計劃性損失</w:t>
            </w:r>
            <w:r>
              <w:rPr>
                <w:rFonts w:hAnsi="標楷體" w:hint="eastAsia"/>
                <w:snapToGrid/>
                <w:sz w:val="24"/>
                <w:szCs w:val="24"/>
              </w:rPr>
              <w:t>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4,154</w:t>
            </w:r>
          </w:p>
        </w:tc>
      </w:tr>
      <w:tr w:rsidR="003C6D80" w:rsidRPr="002824F4" w:rsidTr="00140E26">
        <w:trPr>
          <w:trHeight w:val="294"/>
        </w:trPr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C02369" w:rsidRDefault="003C6D80" w:rsidP="00CA65A6">
            <w:pPr>
              <w:spacing w:line="260" w:lineRule="exact"/>
              <w:ind w:leftChars="0" w:left="0" w:firstLineChars="0" w:firstLine="0"/>
              <w:rPr>
                <w:sz w:val="24"/>
                <w:szCs w:val="24"/>
              </w:rPr>
            </w:pPr>
            <w:r w:rsidRPr="00C02369">
              <w:rPr>
                <w:rFonts w:hint="eastAsia"/>
                <w:sz w:val="24"/>
                <w:szCs w:val="24"/>
              </w:rPr>
              <w:t>輕油異構化工場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140E2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配合產銷規</w:t>
            </w:r>
            <w:r>
              <w:rPr>
                <w:rFonts w:hAnsi="標楷體" w:hint="eastAsia"/>
                <w:snapToGrid/>
                <w:sz w:val="24"/>
                <w:szCs w:val="24"/>
              </w:rPr>
              <w:t>劃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停爐封存。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14,378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大林煉油廠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煉一組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3C6D80" w:rsidRPr="00C02369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1.異戊烷分離因煉製結構改善停用。</w:t>
            </w:r>
          </w:p>
          <w:p w:rsidR="003C6D80" w:rsidRPr="00C02369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2.第</w:t>
            </w:r>
            <w:r w:rsidR="00D81F7A">
              <w:rPr>
                <w:rFonts w:hAnsi="標楷體" w:hint="eastAsia"/>
                <w:snapToGrid/>
                <w:sz w:val="24"/>
                <w:szCs w:val="24"/>
              </w:rPr>
              <w:t>十一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蒸餾工場及航空燃油處理裝置配合調度效益性停爐。</w:t>
            </w:r>
          </w:p>
          <w:p w:rsidR="003C6D80" w:rsidRPr="00C02369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3.第九柴油加氫脫硫合格證到期配合開放檢查。</w:t>
            </w:r>
          </w:p>
          <w:p w:rsidR="003C6D80" w:rsidRPr="002824F4" w:rsidRDefault="003C6D80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4.第九蒸餾工場政策性長期停工。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>139,163</w:t>
            </w:r>
          </w:p>
        </w:tc>
      </w:tr>
      <w:tr w:rsidR="003C6D80" w:rsidRPr="002824F4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煉二組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第二氫氣工場、第一重油脫硫及重油裂解工場配合調度效益性停爐</w:t>
            </w:r>
            <w:r>
              <w:rPr>
                <w:rFonts w:hAnsi="標楷體" w:hint="eastAsia"/>
                <w:snapToGrid/>
                <w:sz w:val="24"/>
                <w:szCs w:val="24"/>
              </w:rPr>
              <w:t>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3C6D80" w:rsidRPr="002824F4" w:rsidRDefault="003C6D80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>183,195</w:t>
            </w:r>
          </w:p>
        </w:tc>
      </w:tr>
      <w:tr w:rsidR="00DA1D17" w:rsidRPr="002824F4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煉三組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1.第</w:t>
            </w:r>
            <w:r>
              <w:rPr>
                <w:rFonts w:hAnsi="標楷體" w:hint="eastAsia"/>
                <w:snapToGrid/>
                <w:sz w:val="24"/>
                <w:szCs w:val="24"/>
              </w:rPr>
              <w:t>三</w:t>
            </w:r>
            <w:r w:rsidRPr="00B077F6">
              <w:rPr>
                <w:rFonts w:hAnsi="標楷體" w:hint="eastAsia"/>
                <w:snapToGrid/>
                <w:sz w:val="24"/>
                <w:szCs w:val="24"/>
              </w:rPr>
              <w:t>重油脫硫</w:t>
            </w:r>
            <w:r>
              <w:rPr>
                <w:rFonts w:hAnsi="標楷體" w:hint="eastAsia"/>
                <w:snapToGrid/>
                <w:sz w:val="24"/>
                <w:szCs w:val="24"/>
              </w:rPr>
              <w:t>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於111年10月27日發生氣爆停工。</w:t>
            </w:r>
          </w:p>
          <w:p w:rsidR="00DA1D17" w:rsidRPr="002824F4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2.第</w:t>
            </w:r>
            <w:r>
              <w:rPr>
                <w:rFonts w:hAnsi="標楷體" w:hint="eastAsia"/>
                <w:snapToGrid/>
                <w:sz w:val="24"/>
                <w:szCs w:val="24"/>
              </w:rPr>
              <w:t>八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硫磺及第</w:t>
            </w:r>
            <w:r>
              <w:rPr>
                <w:rFonts w:hAnsi="標楷體" w:hint="eastAsia"/>
                <w:snapToGrid/>
                <w:sz w:val="24"/>
                <w:szCs w:val="24"/>
              </w:rPr>
              <w:t>四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硫磺工場因第</w:t>
            </w:r>
            <w:r w:rsidRPr="00DA1D17">
              <w:rPr>
                <w:rFonts w:hAnsi="標楷體" w:hint="eastAsia"/>
                <w:snapToGrid/>
                <w:sz w:val="24"/>
                <w:szCs w:val="24"/>
              </w:rPr>
              <w:t>三重油脫硫工場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發生氣爆停工無操作。</w:t>
            </w:r>
          </w:p>
          <w:p w:rsidR="00DA1D17" w:rsidRPr="002824F4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Ansi="標楷體" w:hint="eastAsia"/>
                <w:snapToGrid/>
                <w:sz w:val="24"/>
                <w:szCs w:val="24"/>
              </w:rPr>
              <w:t>3.第</w:t>
            </w:r>
            <w:r>
              <w:rPr>
                <w:rFonts w:hAnsi="標楷體" w:hint="eastAsia"/>
                <w:snapToGrid/>
                <w:sz w:val="24"/>
                <w:szCs w:val="24"/>
              </w:rPr>
              <w:t>二</w:t>
            </w:r>
            <w:r w:rsidRPr="00B077F6">
              <w:rPr>
                <w:rFonts w:hAnsi="標楷體" w:hint="eastAsia"/>
                <w:snapToGrid/>
                <w:sz w:val="24"/>
                <w:szCs w:val="24"/>
              </w:rPr>
              <w:t>汽油加氫脫硫工場</w:t>
            </w:r>
            <w:r w:rsidRPr="002824F4">
              <w:rPr>
                <w:rFonts w:hAnsi="標楷體" w:hint="eastAsia"/>
                <w:snapToGrid/>
                <w:sz w:val="24"/>
                <w:szCs w:val="24"/>
              </w:rPr>
              <w:t>配合調度效益性停爐。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 xml:space="preserve">  996,747</w:t>
            </w:r>
          </w:p>
        </w:tc>
      </w:tr>
      <w:tr w:rsidR="00DA1D17" w:rsidRPr="002824F4">
        <w:trPr>
          <w:trHeight w:val="294"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煉四組</w:t>
            </w:r>
          </w:p>
        </w:tc>
        <w:tc>
          <w:tcPr>
            <w:tcW w:w="4925" w:type="dxa"/>
            <w:tcBorders>
              <w:bottom w:val="single" w:sz="4" w:space="0" w:color="auto"/>
            </w:tcBorders>
            <w:vAlign w:val="center"/>
          </w:tcPr>
          <w:p w:rsidR="00DA1D17" w:rsidRPr="00C02369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1.第十柴油加氫因第</w:t>
            </w:r>
            <w:r w:rsidR="00140E26">
              <w:rPr>
                <w:rFonts w:hAnsi="標楷體" w:hint="eastAsia"/>
                <w:snapToGrid/>
                <w:sz w:val="24"/>
                <w:szCs w:val="24"/>
              </w:rPr>
              <w:t>六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媒停爐，氫氣不足，配合調度效益性停爐</w:t>
            </w:r>
            <w:r>
              <w:rPr>
                <w:rFonts w:hAnsi="標楷體" w:hint="eastAsia"/>
                <w:snapToGrid/>
                <w:sz w:val="24"/>
                <w:szCs w:val="24"/>
              </w:rPr>
              <w:t>；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11月配合</w:t>
            </w:r>
            <w:r w:rsidR="00A61134" w:rsidRPr="00A61134">
              <w:rPr>
                <w:rFonts w:hAnsi="標楷體" w:hint="eastAsia"/>
                <w:snapToGrid/>
                <w:sz w:val="24"/>
                <w:szCs w:val="24"/>
              </w:rPr>
              <w:t>第十蒸餾工場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效益性停爐。</w:t>
            </w:r>
          </w:p>
          <w:p w:rsidR="00DA1D17" w:rsidRPr="00C02369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2.第十一柴油加氫配合</w:t>
            </w:r>
            <w:r w:rsidR="00D356B4" w:rsidRPr="00D356B4">
              <w:rPr>
                <w:rFonts w:hAnsi="標楷體" w:hint="eastAsia"/>
                <w:snapToGrid/>
                <w:sz w:val="24"/>
                <w:szCs w:val="24"/>
              </w:rPr>
              <w:t>重油媒裂</w:t>
            </w:r>
            <w:r w:rsidR="00241AC3" w:rsidRPr="00241AC3">
              <w:rPr>
                <w:rFonts w:hAnsi="標楷體" w:hint="eastAsia"/>
                <w:snapToGrid/>
                <w:sz w:val="24"/>
                <w:szCs w:val="24"/>
              </w:rPr>
              <w:t>工場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檢修調度效益性停爐。</w:t>
            </w:r>
          </w:p>
          <w:p w:rsidR="00DA1D17" w:rsidRPr="002824F4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3.輕油分煉工場</w:t>
            </w:r>
            <w:r w:rsidR="00140E26">
              <w:rPr>
                <w:rFonts w:hAnsi="標楷體" w:hint="eastAsia"/>
                <w:snapToGrid/>
                <w:sz w:val="24"/>
                <w:szCs w:val="24"/>
              </w:rPr>
              <w:t>及</w:t>
            </w:r>
            <w:r w:rsidR="00241AC3" w:rsidRPr="00241AC3">
              <w:rPr>
                <w:rFonts w:hAnsi="標楷體" w:hint="eastAsia"/>
                <w:snapToGrid/>
                <w:sz w:val="24"/>
                <w:szCs w:val="24"/>
              </w:rPr>
              <w:t>重油</w:t>
            </w:r>
            <w:r w:rsidR="00140E26">
              <w:rPr>
                <w:rFonts w:hAnsi="標楷體" w:hint="eastAsia"/>
                <w:snapToGrid/>
                <w:sz w:val="24"/>
                <w:szCs w:val="24"/>
              </w:rPr>
              <w:t>媒裂</w:t>
            </w:r>
            <w:r w:rsidR="00241AC3" w:rsidRPr="00241AC3">
              <w:rPr>
                <w:rFonts w:hAnsi="標楷體" w:hint="eastAsia"/>
                <w:snapToGrid/>
                <w:sz w:val="24"/>
                <w:szCs w:val="24"/>
              </w:rPr>
              <w:t>工場</w:t>
            </w:r>
            <w:r w:rsidRPr="00C02369">
              <w:rPr>
                <w:rFonts w:hAnsi="標楷體" w:hint="eastAsia"/>
                <w:snapToGrid/>
                <w:sz w:val="24"/>
                <w:szCs w:val="24"/>
              </w:rPr>
              <w:t>停爐，燃料油過剩，配合調度效益性停爐。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 xml:space="preserve"> 29,989</w:t>
            </w:r>
          </w:p>
        </w:tc>
      </w:tr>
      <w:tr w:rsidR="00DA1D17" w:rsidRPr="002824F4" w:rsidTr="004E1C70">
        <w:trPr>
          <w:trHeight w:val="294"/>
        </w:trPr>
        <w:tc>
          <w:tcPr>
            <w:tcW w:w="1276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647" w:firstLineChars="0" w:hanging="647"/>
              <w:rPr>
                <w:rFonts w:hAnsi="標楷體"/>
                <w:snapToGrid/>
                <w:sz w:val="24"/>
                <w:szCs w:val="24"/>
              </w:rPr>
            </w:pPr>
            <w:r w:rsidRPr="002824F4">
              <w:rPr>
                <w:rFonts w:hint="eastAsia"/>
                <w:sz w:val="24"/>
                <w:szCs w:val="24"/>
              </w:rPr>
              <w:t>煉五組</w:t>
            </w:r>
          </w:p>
        </w:tc>
        <w:tc>
          <w:tcPr>
            <w:tcW w:w="4925" w:type="dxa"/>
            <w:tcBorders>
              <w:bottom w:val="single" w:sz="12" w:space="0" w:color="auto"/>
            </w:tcBorders>
            <w:vAlign w:val="center"/>
          </w:tcPr>
          <w:p w:rsidR="00DA1D17" w:rsidRPr="00C02369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1.第六媒組工場因加熱爐F-6303檢修停爐。</w:t>
            </w:r>
          </w:p>
          <w:p w:rsidR="00DA1D17" w:rsidRPr="00C02369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 w:hint="eastAsia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2.油氣純化工場配合調度效益性停爐。</w:t>
            </w:r>
          </w:p>
          <w:p w:rsidR="00DA1D17" w:rsidRPr="002824F4" w:rsidRDefault="00DA1D17" w:rsidP="00CA65A6">
            <w:pPr>
              <w:spacing w:line="26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 w:hint="eastAsia"/>
                <w:snapToGrid/>
                <w:sz w:val="24"/>
                <w:szCs w:val="24"/>
              </w:rPr>
              <w:t>3.重油媒裂工場空氣壓縮機C-1102A因高振動異常跳脫停爐檢修。</w:t>
            </w:r>
          </w:p>
        </w:tc>
        <w:tc>
          <w:tcPr>
            <w:tcW w:w="1176" w:type="dxa"/>
            <w:tcBorders>
              <w:bottom w:val="single" w:sz="12" w:space="0" w:color="auto"/>
            </w:tcBorders>
            <w:vAlign w:val="center"/>
          </w:tcPr>
          <w:p w:rsidR="00DA1D17" w:rsidRPr="002824F4" w:rsidRDefault="00DA1D17" w:rsidP="00CA65A6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C02369">
              <w:rPr>
                <w:rFonts w:hAnsi="標楷體"/>
                <w:snapToGrid/>
                <w:sz w:val="24"/>
                <w:szCs w:val="24"/>
              </w:rPr>
              <w:t>558,465</w:t>
            </w:r>
          </w:p>
        </w:tc>
      </w:tr>
    </w:tbl>
    <w:p w:rsidR="0031777D" w:rsidRPr="003019EF" w:rsidRDefault="0031777D" w:rsidP="0031777D">
      <w:pPr>
        <w:pStyle w:val="142"/>
        <w:jc w:val="both"/>
        <w:rPr>
          <w:rFonts w:hAnsi="標楷體"/>
        </w:rPr>
      </w:pPr>
      <w:r w:rsidRPr="003019EF">
        <w:rPr>
          <w:rFonts w:hAnsi="標楷體" w:hint="eastAsia"/>
        </w:rPr>
        <w:t>資料來源：</w:t>
      </w:r>
      <w:r w:rsidR="00D356B4">
        <w:rPr>
          <w:rFonts w:hAnsi="標楷體" w:hint="eastAsia"/>
        </w:rPr>
        <w:t>整理自</w:t>
      </w:r>
      <w:r w:rsidRPr="003019EF">
        <w:rPr>
          <w:rFonts w:hAnsi="標楷體" w:hint="eastAsia"/>
        </w:rPr>
        <w:t>台灣中油公司提供</w:t>
      </w:r>
      <w:r w:rsidR="00D356B4">
        <w:rPr>
          <w:rFonts w:hAnsi="標楷體" w:hint="eastAsia"/>
        </w:rPr>
        <w:t>資料</w:t>
      </w:r>
      <w:r w:rsidRPr="003019EF">
        <w:rPr>
          <w:rFonts w:hAnsi="標楷體" w:hint="eastAsia"/>
        </w:rPr>
        <w:t>。</w:t>
      </w:r>
    </w:p>
    <w:p w:rsidR="005D62B0" w:rsidRPr="003019EF" w:rsidRDefault="005D62B0" w:rsidP="00381624">
      <w:pPr>
        <w:ind w:left="567" w:firstLine="567"/>
      </w:pPr>
      <w:r w:rsidRPr="003019EF">
        <w:rPr>
          <w:rFonts w:hint="eastAsia"/>
        </w:rPr>
        <w:t>綜上，台灣中油公司</w:t>
      </w:r>
      <w:r w:rsidR="0031777D">
        <w:rPr>
          <w:rFonts w:hint="eastAsia"/>
        </w:rPr>
        <w:t>113年度</w:t>
      </w:r>
      <w:r w:rsidR="0031777D" w:rsidRPr="0031777D">
        <w:rPr>
          <w:rFonts w:hint="eastAsia"/>
        </w:rPr>
        <w:t>「停工損失」決算數20億1,316萬2千元</w:t>
      </w:r>
      <w:r w:rsidRPr="003019EF">
        <w:rPr>
          <w:rFonts w:hint="eastAsia"/>
        </w:rPr>
        <w:t>，</w:t>
      </w:r>
      <w:r w:rsidR="00EF37A7">
        <w:rPr>
          <w:rFonts w:hint="eastAsia"/>
        </w:rPr>
        <w:t>創</w:t>
      </w:r>
      <w:r w:rsidRPr="003019EF">
        <w:rPr>
          <w:rFonts w:hint="eastAsia"/>
        </w:rPr>
        <w:t>自10</w:t>
      </w:r>
      <w:r w:rsidR="0031777D">
        <w:rPr>
          <w:rFonts w:hint="eastAsia"/>
        </w:rPr>
        <w:t>9</w:t>
      </w:r>
      <w:r w:rsidRPr="003019EF">
        <w:rPr>
          <w:rFonts w:hint="eastAsia"/>
        </w:rPr>
        <w:t>年度以來新高，</w:t>
      </w:r>
      <w:r w:rsidR="00FF0696">
        <w:rPr>
          <w:rFonts w:hint="eastAsia"/>
        </w:rPr>
        <w:t>又</w:t>
      </w:r>
      <w:r w:rsidR="003C6D80" w:rsidRPr="003C6D80">
        <w:rPr>
          <w:rFonts w:hint="eastAsia"/>
        </w:rPr>
        <w:t>112及113年度</w:t>
      </w:r>
      <w:r w:rsidR="00FF0696">
        <w:rPr>
          <w:rFonts w:hint="eastAsia"/>
        </w:rPr>
        <w:t>「</w:t>
      </w:r>
      <w:r w:rsidR="0031777D">
        <w:rPr>
          <w:rFonts w:hint="eastAsia"/>
        </w:rPr>
        <w:t>停工損失</w:t>
      </w:r>
      <w:r w:rsidR="00FF0696">
        <w:rPr>
          <w:rFonts w:hint="eastAsia"/>
        </w:rPr>
        <w:t>」</w:t>
      </w:r>
      <w:r w:rsidR="0031777D">
        <w:rPr>
          <w:rFonts w:hint="eastAsia"/>
        </w:rPr>
        <w:t>主要係煉製事業部因</w:t>
      </w:r>
      <w:r w:rsidR="0031777D" w:rsidRPr="0031777D">
        <w:rPr>
          <w:rFonts w:hint="eastAsia"/>
        </w:rPr>
        <w:t>不可預期事故停工</w:t>
      </w:r>
      <w:r w:rsidR="0031777D">
        <w:rPr>
          <w:rFonts w:hint="eastAsia"/>
        </w:rPr>
        <w:t>、</w:t>
      </w:r>
      <w:r w:rsidR="0031777D" w:rsidRPr="0031777D">
        <w:rPr>
          <w:rFonts w:hint="eastAsia"/>
        </w:rPr>
        <w:t>非計畫性停爐</w:t>
      </w:r>
      <w:r w:rsidR="0031777D">
        <w:rPr>
          <w:rFonts w:hint="eastAsia"/>
        </w:rPr>
        <w:t>及效益性停爐等所致，允宜</w:t>
      </w:r>
      <w:r w:rsidR="00E04E05">
        <w:rPr>
          <w:rFonts w:hint="eastAsia"/>
        </w:rPr>
        <w:t>持續</w:t>
      </w:r>
      <w:r w:rsidR="0031777D">
        <w:rPr>
          <w:rFonts w:hint="eastAsia"/>
        </w:rPr>
        <w:t>研謀</w:t>
      </w:r>
      <w:r w:rsidR="0031777D" w:rsidRPr="0031777D">
        <w:rPr>
          <w:rFonts w:hint="eastAsia"/>
        </w:rPr>
        <w:t>降低設備故障風險</w:t>
      </w:r>
      <w:r w:rsidR="0031777D">
        <w:rPr>
          <w:rFonts w:hint="eastAsia"/>
        </w:rPr>
        <w:t>及妥善</w:t>
      </w:r>
      <w:r w:rsidR="0031777D" w:rsidRPr="0031777D">
        <w:rPr>
          <w:rFonts w:hint="eastAsia"/>
        </w:rPr>
        <w:t>監控停工事件</w:t>
      </w:r>
      <w:r w:rsidR="00FF0696">
        <w:rPr>
          <w:rFonts w:hint="eastAsia"/>
        </w:rPr>
        <w:t>後續復原進度</w:t>
      </w:r>
      <w:r w:rsidR="0031777D" w:rsidRPr="0031777D">
        <w:rPr>
          <w:rFonts w:hint="eastAsia"/>
        </w:rPr>
        <w:t>，</w:t>
      </w:r>
      <w:r w:rsidR="0031777D">
        <w:rPr>
          <w:rFonts w:hint="eastAsia"/>
        </w:rPr>
        <w:t>並</w:t>
      </w:r>
      <w:r w:rsidR="0031777D" w:rsidRPr="0031777D">
        <w:rPr>
          <w:rFonts w:hint="eastAsia"/>
        </w:rPr>
        <w:t>優化生管調度計畫</w:t>
      </w:r>
      <w:r w:rsidR="0031777D">
        <w:rPr>
          <w:rFonts w:hint="eastAsia"/>
        </w:rPr>
        <w:t>，</w:t>
      </w:r>
      <w:r w:rsidR="0031777D" w:rsidRPr="0031777D">
        <w:rPr>
          <w:rFonts w:hint="eastAsia"/>
        </w:rPr>
        <w:t>以期</w:t>
      </w:r>
      <w:r w:rsidR="0031777D">
        <w:rPr>
          <w:rFonts w:hint="eastAsia"/>
        </w:rPr>
        <w:t>有效</w:t>
      </w:r>
      <w:r w:rsidR="0031777D" w:rsidRPr="0031777D">
        <w:rPr>
          <w:rFonts w:hint="eastAsia"/>
        </w:rPr>
        <w:t>降低停工損失</w:t>
      </w:r>
      <w:r w:rsidR="000528FC">
        <w:rPr>
          <w:rFonts w:hint="eastAsia"/>
        </w:rPr>
        <w:t>數額</w:t>
      </w:r>
      <w:r w:rsidRPr="003019EF">
        <w:rPr>
          <w:rFonts w:hint="eastAsia"/>
        </w:rPr>
        <w:t>。</w:t>
      </w:r>
    </w:p>
    <w:bookmarkEnd w:id="2"/>
    <w:bookmarkEnd w:id="3"/>
    <w:bookmarkEnd w:id="13"/>
    <w:bookmarkEnd w:id="14"/>
    <w:bookmarkEnd w:id="15"/>
    <w:bookmarkEnd w:id="16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sectPr w:rsidR="005D62B0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53" w:rsidRDefault="0085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55253" w:rsidRDefault="0085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C2315" w:rsidRPr="00FC231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53" w:rsidRDefault="0085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55253" w:rsidRDefault="00855253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3C8A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1EA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B3C"/>
    <w:rsid w:val="00020DF8"/>
    <w:rsid w:val="0002112B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05C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28FC"/>
    <w:rsid w:val="000532DF"/>
    <w:rsid w:val="00054A57"/>
    <w:rsid w:val="0005564E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5E80"/>
    <w:rsid w:val="0008676A"/>
    <w:rsid w:val="00086B14"/>
    <w:rsid w:val="00086E2D"/>
    <w:rsid w:val="00086E93"/>
    <w:rsid w:val="0008745E"/>
    <w:rsid w:val="000874C0"/>
    <w:rsid w:val="00087506"/>
    <w:rsid w:val="00087A01"/>
    <w:rsid w:val="00087A68"/>
    <w:rsid w:val="00087C29"/>
    <w:rsid w:val="00087C55"/>
    <w:rsid w:val="000903CA"/>
    <w:rsid w:val="00091A34"/>
    <w:rsid w:val="000929EF"/>
    <w:rsid w:val="000946A2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2E2B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942"/>
    <w:rsid w:val="000C7D9A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16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17FE5"/>
    <w:rsid w:val="00120A96"/>
    <w:rsid w:val="00120DF0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0E26"/>
    <w:rsid w:val="00141AD1"/>
    <w:rsid w:val="00143346"/>
    <w:rsid w:val="001439D9"/>
    <w:rsid w:val="001444CB"/>
    <w:rsid w:val="00144857"/>
    <w:rsid w:val="00144CA5"/>
    <w:rsid w:val="00145D85"/>
    <w:rsid w:val="00145F52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64A5"/>
    <w:rsid w:val="0015690E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A4F"/>
    <w:rsid w:val="00167BB0"/>
    <w:rsid w:val="00170AC5"/>
    <w:rsid w:val="00170D6F"/>
    <w:rsid w:val="0017282C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1343"/>
    <w:rsid w:val="00181C1A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5B6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12F"/>
    <w:rsid w:val="001A3FC9"/>
    <w:rsid w:val="001A460B"/>
    <w:rsid w:val="001A566A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679D"/>
    <w:rsid w:val="001C7BC2"/>
    <w:rsid w:val="001C7F92"/>
    <w:rsid w:val="001D17A5"/>
    <w:rsid w:val="001D1AED"/>
    <w:rsid w:val="001D28E7"/>
    <w:rsid w:val="001D347C"/>
    <w:rsid w:val="001D3BFC"/>
    <w:rsid w:val="001D3EEF"/>
    <w:rsid w:val="001D4775"/>
    <w:rsid w:val="001D566B"/>
    <w:rsid w:val="001D58CE"/>
    <w:rsid w:val="001D5FE6"/>
    <w:rsid w:val="001D6DD8"/>
    <w:rsid w:val="001D77B6"/>
    <w:rsid w:val="001D7CC8"/>
    <w:rsid w:val="001D7F12"/>
    <w:rsid w:val="001E0837"/>
    <w:rsid w:val="001E0900"/>
    <w:rsid w:val="001E0B1F"/>
    <w:rsid w:val="001E177C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59F"/>
    <w:rsid w:val="001F69F0"/>
    <w:rsid w:val="001F71F6"/>
    <w:rsid w:val="00200112"/>
    <w:rsid w:val="00201830"/>
    <w:rsid w:val="00203378"/>
    <w:rsid w:val="0020367A"/>
    <w:rsid w:val="00204C0A"/>
    <w:rsid w:val="00205109"/>
    <w:rsid w:val="00205B29"/>
    <w:rsid w:val="00205EF1"/>
    <w:rsid w:val="00210E98"/>
    <w:rsid w:val="002114C5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AC3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7B0"/>
    <w:rsid w:val="00246E4F"/>
    <w:rsid w:val="00247645"/>
    <w:rsid w:val="00247829"/>
    <w:rsid w:val="00250B0F"/>
    <w:rsid w:val="00251152"/>
    <w:rsid w:val="002513BC"/>
    <w:rsid w:val="00251A7C"/>
    <w:rsid w:val="0025207B"/>
    <w:rsid w:val="0025230F"/>
    <w:rsid w:val="002552BA"/>
    <w:rsid w:val="0025562C"/>
    <w:rsid w:val="00255C52"/>
    <w:rsid w:val="00256285"/>
    <w:rsid w:val="00256AA7"/>
    <w:rsid w:val="00256D92"/>
    <w:rsid w:val="00256E98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24F4"/>
    <w:rsid w:val="00283722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5DF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455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2E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1EE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6D4"/>
    <w:rsid w:val="002F3A4B"/>
    <w:rsid w:val="002F3F24"/>
    <w:rsid w:val="002F4129"/>
    <w:rsid w:val="002F41A9"/>
    <w:rsid w:val="002F421C"/>
    <w:rsid w:val="002F4814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06C0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3A0"/>
    <w:rsid w:val="00315A68"/>
    <w:rsid w:val="00316510"/>
    <w:rsid w:val="0031774C"/>
    <w:rsid w:val="0031777D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5E8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7DD"/>
    <w:rsid w:val="0034595F"/>
    <w:rsid w:val="00345CA9"/>
    <w:rsid w:val="00350375"/>
    <w:rsid w:val="00350D54"/>
    <w:rsid w:val="00350EA2"/>
    <w:rsid w:val="00351054"/>
    <w:rsid w:val="003526A4"/>
    <w:rsid w:val="003546B1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7BD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3C4B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5F46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7F2"/>
    <w:rsid w:val="003C4CF4"/>
    <w:rsid w:val="003C4E0C"/>
    <w:rsid w:val="003C5844"/>
    <w:rsid w:val="003C63F1"/>
    <w:rsid w:val="003C6D80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2C39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076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3A5C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901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0DCA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708"/>
    <w:rsid w:val="00467862"/>
    <w:rsid w:val="00467D68"/>
    <w:rsid w:val="00467F99"/>
    <w:rsid w:val="00470D32"/>
    <w:rsid w:val="004712BA"/>
    <w:rsid w:val="004724C2"/>
    <w:rsid w:val="004726F7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E4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070E"/>
    <w:rsid w:val="004C1408"/>
    <w:rsid w:val="004C16C5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C70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019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19C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1B43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55DC9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5FCA"/>
    <w:rsid w:val="005760EB"/>
    <w:rsid w:val="005761EA"/>
    <w:rsid w:val="005766FD"/>
    <w:rsid w:val="00577441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5021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5CF"/>
    <w:rsid w:val="005A2A4E"/>
    <w:rsid w:val="005A3318"/>
    <w:rsid w:val="005A36D1"/>
    <w:rsid w:val="005A42FA"/>
    <w:rsid w:val="005A44C1"/>
    <w:rsid w:val="005A4532"/>
    <w:rsid w:val="005A4769"/>
    <w:rsid w:val="005A4D55"/>
    <w:rsid w:val="005A4DD6"/>
    <w:rsid w:val="005A5EEC"/>
    <w:rsid w:val="005A5F4D"/>
    <w:rsid w:val="005A78AB"/>
    <w:rsid w:val="005B013C"/>
    <w:rsid w:val="005B14D3"/>
    <w:rsid w:val="005B14ED"/>
    <w:rsid w:val="005B3CD4"/>
    <w:rsid w:val="005B4971"/>
    <w:rsid w:val="005B4F1F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4DE4"/>
    <w:rsid w:val="005D5210"/>
    <w:rsid w:val="005D527F"/>
    <w:rsid w:val="005D5DB0"/>
    <w:rsid w:val="005D6183"/>
    <w:rsid w:val="005D62B0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3D69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45C2"/>
    <w:rsid w:val="00605C3E"/>
    <w:rsid w:val="0060617F"/>
    <w:rsid w:val="00606360"/>
    <w:rsid w:val="00606AB3"/>
    <w:rsid w:val="0060733B"/>
    <w:rsid w:val="00607C36"/>
    <w:rsid w:val="00607D8D"/>
    <w:rsid w:val="006101BD"/>
    <w:rsid w:val="006105FC"/>
    <w:rsid w:val="00610935"/>
    <w:rsid w:val="00610B53"/>
    <w:rsid w:val="0061162B"/>
    <w:rsid w:val="006122AD"/>
    <w:rsid w:val="0061265A"/>
    <w:rsid w:val="00612E11"/>
    <w:rsid w:val="0061388B"/>
    <w:rsid w:val="00614174"/>
    <w:rsid w:val="00615139"/>
    <w:rsid w:val="006154B9"/>
    <w:rsid w:val="00615AAC"/>
    <w:rsid w:val="0061612D"/>
    <w:rsid w:val="00616451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5D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1AC9"/>
    <w:rsid w:val="0065274C"/>
    <w:rsid w:val="00652C90"/>
    <w:rsid w:val="00653993"/>
    <w:rsid w:val="0065465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5F1A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0380"/>
    <w:rsid w:val="006E2A8D"/>
    <w:rsid w:val="006E30E3"/>
    <w:rsid w:val="006E32A1"/>
    <w:rsid w:val="006E3760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137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33F"/>
    <w:rsid w:val="00730460"/>
    <w:rsid w:val="0073148E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487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037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62C2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456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7FE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07B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6C3F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4FAD"/>
    <w:rsid w:val="00845899"/>
    <w:rsid w:val="008461CC"/>
    <w:rsid w:val="0084626E"/>
    <w:rsid w:val="00846EB9"/>
    <w:rsid w:val="0084700E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253"/>
    <w:rsid w:val="0085584D"/>
    <w:rsid w:val="0085663E"/>
    <w:rsid w:val="00856651"/>
    <w:rsid w:val="00856B7E"/>
    <w:rsid w:val="0085798F"/>
    <w:rsid w:val="00857A3C"/>
    <w:rsid w:val="00857AFD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758"/>
    <w:rsid w:val="0087388D"/>
    <w:rsid w:val="008738C9"/>
    <w:rsid w:val="008747C0"/>
    <w:rsid w:val="00875D4C"/>
    <w:rsid w:val="00877FDE"/>
    <w:rsid w:val="008807DE"/>
    <w:rsid w:val="00881D70"/>
    <w:rsid w:val="008821C8"/>
    <w:rsid w:val="0088440C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2B93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3E82"/>
    <w:rsid w:val="008A4451"/>
    <w:rsid w:val="008A470C"/>
    <w:rsid w:val="008A4863"/>
    <w:rsid w:val="008A4F2F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1F5"/>
    <w:rsid w:val="008D2519"/>
    <w:rsid w:val="008D2631"/>
    <w:rsid w:val="008D2F7B"/>
    <w:rsid w:val="008D3C1A"/>
    <w:rsid w:val="008D3D41"/>
    <w:rsid w:val="008D40D7"/>
    <w:rsid w:val="008D4A2D"/>
    <w:rsid w:val="008D4E92"/>
    <w:rsid w:val="008D5A16"/>
    <w:rsid w:val="008D6565"/>
    <w:rsid w:val="008E01F8"/>
    <w:rsid w:val="008E1520"/>
    <w:rsid w:val="008E1E21"/>
    <w:rsid w:val="008E31E5"/>
    <w:rsid w:val="008E3815"/>
    <w:rsid w:val="008E388E"/>
    <w:rsid w:val="008E3903"/>
    <w:rsid w:val="008E3A69"/>
    <w:rsid w:val="008E4002"/>
    <w:rsid w:val="008E4B0D"/>
    <w:rsid w:val="008E5155"/>
    <w:rsid w:val="008E5D04"/>
    <w:rsid w:val="008E5F5D"/>
    <w:rsid w:val="008E76D4"/>
    <w:rsid w:val="008F0032"/>
    <w:rsid w:val="008F0805"/>
    <w:rsid w:val="008F089C"/>
    <w:rsid w:val="008F0B62"/>
    <w:rsid w:val="008F1161"/>
    <w:rsid w:val="008F1EEE"/>
    <w:rsid w:val="008F22B8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1D12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7FF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5271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4ADE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3C9"/>
    <w:rsid w:val="009A5B8E"/>
    <w:rsid w:val="009A65CF"/>
    <w:rsid w:val="009A6915"/>
    <w:rsid w:val="009A6E4A"/>
    <w:rsid w:val="009A6E94"/>
    <w:rsid w:val="009A7362"/>
    <w:rsid w:val="009A7C42"/>
    <w:rsid w:val="009A7FAB"/>
    <w:rsid w:val="009B0231"/>
    <w:rsid w:val="009B16D5"/>
    <w:rsid w:val="009B1876"/>
    <w:rsid w:val="009B1DD1"/>
    <w:rsid w:val="009B2519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0E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31C9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29B3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1E48"/>
    <w:rsid w:val="00A43043"/>
    <w:rsid w:val="00A43914"/>
    <w:rsid w:val="00A43DD2"/>
    <w:rsid w:val="00A44064"/>
    <w:rsid w:val="00A446AE"/>
    <w:rsid w:val="00A45622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134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815"/>
    <w:rsid w:val="00A7488A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E0E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19C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C7D5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AF7ED2"/>
    <w:rsid w:val="00B00C37"/>
    <w:rsid w:val="00B013AA"/>
    <w:rsid w:val="00B01423"/>
    <w:rsid w:val="00B01DA9"/>
    <w:rsid w:val="00B02241"/>
    <w:rsid w:val="00B0290A"/>
    <w:rsid w:val="00B03DAE"/>
    <w:rsid w:val="00B045D2"/>
    <w:rsid w:val="00B05DF5"/>
    <w:rsid w:val="00B06362"/>
    <w:rsid w:val="00B0736F"/>
    <w:rsid w:val="00B077F6"/>
    <w:rsid w:val="00B078C5"/>
    <w:rsid w:val="00B10879"/>
    <w:rsid w:val="00B12822"/>
    <w:rsid w:val="00B14BB3"/>
    <w:rsid w:val="00B14FBC"/>
    <w:rsid w:val="00B158A1"/>
    <w:rsid w:val="00B161BF"/>
    <w:rsid w:val="00B166A2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6CA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375FC"/>
    <w:rsid w:val="00B40242"/>
    <w:rsid w:val="00B402EC"/>
    <w:rsid w:val="00B40E30"/>
    <w:rsid w:val="00B4261B"/>
    <w:rsid w:val="00B426BC"/>
    <w:rsid w:val="00B429FB"/>
    <w:rsid w:val="00B42BF1"/>
    <w:rsid w:val="00B42E54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C5C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5F9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70D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369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96A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367E"/>
    <w:rsid w:val="00C34D3F"/>
    <w:rsid w:val="00C35813"/>
    <w:rsid w:val="00C35872"/>
    <w:rsid w:val="00C369BE"/>
    <w:rsid w:val="00C373E7"/>
    <w:rsid w:val="00C401E4"/>
    <w:rsid w:val="00C40C2E"/>
    <w:rsid w:val="00C4126F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D41"/>
    <w:rsid w:val="00C77E77"/>
    <w:rsid w:val="00C80068"/>
    <w:rsid w:val="00C80676"/>
    <w:rsid w:val="00C807D4"/>
    <w:rsid w:val="00C81289"/>
    <w:rsid w:val="00C81A8A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3D34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1D8"/>
    <w:rsid w:val="00CA530C"/>
    <w:rsid w:val="00CA55C0"/>
    <w:rsid w:val="00CA5C5D"/>
    <w:rsid w:val="00CA65A6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6CB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5E87"/>
    <w:rsid w:val="00D06281"/>
    <w:rsid w:val="00D0691F"/>
    <w:rsid w:val="00D06AE1"/>
    <w:rsid w:val="00D06D9C"/>
    <w:rsid w:val="00D074C5"/>
    <w:rsid w:val="00D1068F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CD1"/>
    <w:rsid w:val="00D25ED4"/>
    <w:rsid w:val="00D27E71"/>
    <w:rsid w:val="00D300F5"/>
    <w:rsid w:val="00D3022F"/>
    <w:rsid w:val="00D32237"/>
    <w:rsid w:val="00D32CC1"/>
    <w:rsid w:val="00D32F65"/>
    <w:rsid w:val="00D33781"/>
    <w:rsid w:val="00D343F8"/>
    <w:rsid w:val="00D356B4"/>
    <w:rsid w:val="00D362C7"/>
    <w:rsid w:val="00D3651C"/>
    <w:rsid w:val="00D36662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A54"/>
    <w:rsid w:val="00D43B38"/>
    <w:rsid w:val="00D43EEF"/>
    <w:rsid w:val="00D4504D"/>
    <w:rsid w:val="00D45E3A"/>
    <w:rsid w:val="00D46A10"/>
    <w:rsid w:val="00D46B7E"/>
    <w:rsid w:val="00D475B7"/>
    <w:rsid w:val="00D47C2E"/>
    <w:rsid w:val="00D51CE1"/>
    <w:rsid w:val="00D52170"/>
    <w:rsid w:val="00D52266"/>
    <w:rsid w:val="00D529BD"/>
    <w:rsid w:val="00D52EC8"/>
    <w:rsid w:val="00D52F01"/>
    <w:rsid w:val="00D535FF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48F2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1F7A"/>
    <w:rsid w:val="00D8287A"/>
    <w:rsid w:val="00D83F99"/>
    <w:rsid w:val="00D844F0"/>
    <w:rsid w:val="00D84C73"/>
    <w:rsid w:val="00D85253"/>
    <w:rsid w:val="00D85B97"/>
    <w:rsid w:val="00D860B5"/>
    <w:rsid w:val="00D8680A"/>
    <w:rsid w:val="00D86EBF"/>
    <w:rsid w:val="00D90178"/>
    <w:rsid w:val="00D904B4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D17"/>
    <w:rsid w:val="00DA1F81"/>
    <w:rsid w:val="00DA2F6A"/>
    <w:rsid w:val="00DA2F7F"/>
    <w:rsid w:val="00DA311E"/>
    <w:rsid w:val="00DA4A10"/>
    <w:rsid w:val="00DA6A22"/>
    <w:rsid w:val="00DA6E30"/>
    <w:rsid w:val="00DA75B7"/>
    <w:rsid w:val="00DA7AC2"/>
    <w:rsid w:val="00DB009A"/>
    <w:rsid w:val="00DB01B8"/>
    <w:rsid w:val="00DB0333"/>
    <w:rsid w:val="00DB0528"/>
    <w:rsid w:val="00DB0C7C"/>
    <w:rsid w:val="00DB17E2"/>
    <w:rsid w:val="00DB23EF"/>
    <w:rsid w:val="00DB418B"/>
    <w:rsid w:val="00DB46E1"/>
    <w:rsid w:val="00DB5D59"/>
    <w:rsid w:val="00DB6049"/>
    <w:rsid w:val="00DB6136"/>
    <w:rsid w:val="00DB61AB"/>
    <w:rsid w:val="00DB61B3"/>
    <w:rsid w:val="00DB629F"/>
    <w:rsid w:val="00DB663A"/>
    <w:rsid w:val="00DB6858"/>
    <w:rsid w:val="00DC08E5"/>
    <w:rsid w:val="00DC1152"/>
    <w:rsid w:val="00DC12AE"/>
    <w:rsid w:val="00DC16A9"/>
    <w:rsid w:val="00DC1DDD"/>
    <w:rsid w:val="00DC254C"/>
    <w:rsid w:val="00DC26A2"/>
    <w:rsid w:val="00DC2A3B"/>
    <w:rsid w:val="00DC36F0"/>
    <w:rsid w:val="00DC3A26"/>
    <w:rsid w:val="00DC6320"/>
    <w:rsid w:val="00DC6747"/>
    <w:rsid w:val="00DC74D2"/>
    <w:rsid w:val="00DD05F0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3AF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4E05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6959"/>
    <w:rsid w:val="00E675CE"/>
    <w:rsid w:val="00E70318"/>
    <w:rsid w:val="00E70A43"/>
    <w:rsid w:val="00E70E96"/>
    <w:rsid w:val="00E70FFD"/>
    <w:rsid w:val="00E71331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CDF"/>
    <w:rsid w:val="00EB6DFB"/>
    <w:rsid w:val="00EB6F06"/>
    <w:rsid w:val="00EB7B41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585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44AA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37A7"/>
    <w:rsid w:val="00EF4058"/>
    <w:rsid w:val="00EF40DE"/>
    <w:rsid w:val="00EF4703"/>
    <w:rsid w:val="00EF4E9C"/>
    <w:rsid w:val="00EF5CE4"/>
    <w:rsid w:val="00EF7732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57E7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0D4C"/>
    <w:rsid w:val="00F5168B"/>
    <w:rsid w:val="00F518E4"/>
    <w:rsid w:val="00F51C28"/>
    <w:rsid w:val="00F52036"/>
    <w:rsid w:val="00F524A6"/>
    <w:rsid w:val="00F5269B"/>
    <w:rsid w:val="00F52AFE"/>
    <w:rsid w:val="00F52DBF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2AB9"/>
    <w:rsid w:val="00F63361"/>
    <w:rsid w:val="00F63A05"/>
    <w:rsid w:val="00F63E1C"/>
    <w:rsid w:val="00F6424B"/>
    <w:rsid w:val="00F64CA4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1BEC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0B85"/>
    <w:rsid w:val="00FA0D76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315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5319"/>
    <w:rsid w:val="00FD6748"/>
    <w:rsid w:val="00FD7116"/>
    <w:rsid w:val="00FD7934"/>
    <w:rsid w:val="00FD7DD8"/>
    <w:rsid w:val="00FD7FAC"/>
    <w:rsid w:val="00FE07CD"/>
    <w:rsid w:val="00FE0B41"/>
    <w:rsid w:val="00FE2326"/>
    <w:rsid w:val="00FE2B57"/>
    <w:rsid w:val="00FE363D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0696"/>
    <w:rsid w:val="00FF1126"/>
    <w:rsid w:val="00FF1421"/>
    <w:rsid w:val="00FF1E1F"/>
    <w:rsid w:val="00FF231A"/>
    <w:rsid w:val="00FF264B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5F6C8ED-20A6-46FF-B7A6-CF1EC4D2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0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1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2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3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A88F3-A447-4095-8D1D-23E255AC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Links>
    <vt:vector size="30" baseType="variant"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_Toc224560451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_Toc224560450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_Toc224560449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_Toc224560448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_Toc224560447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2026-03-16T05:34:00Z</cp:lastPrinted>
  <dcterms:created xsi:type="dcterms:W3CDTF">2026-03-26T03:25:00Z</dcterms:created>
  <dcterms:modified xsi:type="dcterms:W3CDTF">2026-03-26T03:25:00Z</dcterms:modified>
</cp:coreProperties>
</file>