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166061" w:rsidRPr="008B4272" w:rsidRDefault="00166061" w:rsidP="00166061">
      <w:pPr>
        <w:pStyle w:val="14"/>
        <w:ind w:left="567" w:hanging="567"/>
        <w:rPr>
          <w:color w:val="000000"/>
        </w:rPr>
      </w:pPr>
      <w:bookmarkStart w:id="49" w:name="_Toc90019291"/>
      <w:bookmarkStart w:id="50" w:name="_Toc225270763"/>
      <w:r w:rsidRPr="008B4272">
        <w:rPr>
          <w:rFonts w:hint="eastAsia"/>
          <w:color w:val="000000"/>
          <w:lang w:eastAsia="zh-HK"/>
        </w:rPr>
        <w:t>三</w:t>
      </w:r>
      <w:r w:rsidRPr="008B4272">
        <w:rPr>
          <w:rFonts w:hint="eastAsia"/>
          <w:color w:val="000000"/>
        </w:rPr>
        <w:t>、</w:t>
      </w:r>
      <w:bookmarkStart w:id="51" w:name="_Toc496280630"/>
      <w:bookmarkEnd w:id="49"/>
      <w:r w:rsidR="00F766E2" w:rsidRPr="00F766E2">
        <w:rPr>
          <w:rFonts w:hint="eastAsia"/>
          <w:color w:val="000000"/>
        </w:rPr>
        <w:t>113年度保險收支雖為淨結餘，惟低於112年度，且85至113年度間保險支出平均成長率高於收入成長率，然補充保險費扣取上限金額已多年未調整，容待通盤考量衡平性及妥適性</w:t>
      </w:r>
      <w:bookmarkEnd w:id="50"/>
    </w:p>
    <w:p w:rsidR="00E70171" w:rsidRPr="00E70171" w:rsidRDefault="00D94300" w:rsidP="00E70171">
      <w:pPr>
        <w:ind w:left="566" w:firstLine="566"/>
        <w:rPr>
          <w:snapToGrid/>
        </w:rPr>
      </w:pPr>
      <w:r w:rsidRPr="00D94300">
        <w:rPr>
          <w:rFonts w:hAnsi="標楷體" w:hint="eastAsia"/>
          <w:snapToGrid/>
          <w:kern w:val="28"/>
          <w:szCs w:val="24"/>
        </w:rPr>
        <w:t>全民健康保險基金(下稱健保基金)113年度「保險收入－保費收入」預算數7,519億1,714萬9千元，決算數8,003億4,919萬3千元，達成率106.44%；另截至113年12月底止，保險收支淨結餘數約234億元。經查</w:t>
      </w:r>
      <w:r w:rsidR="00E70171" w:rsidRPr="00E70171">
        <w:rPr>
          <w:rFonts w:hint="eastAsia"/>
          <w:snapToGrid/>
        </w:rPr>
        <w:t>：</w:t>
      </w:r>
    </w:p>
    <w:p w:rsidR="00597189" w:rsidRPr="00594504" w:rsidRDefault="00597189" w:rsidP="00594504">
      <w:pPr>
        <w:pStyle w:val="a5"/>
        <w:ind w:left="849" w:hanging="283"/>
        <w:rPr>
          <w:b/>
        </w:rPr>
      </w:pPr>
      <w:r w:rsidRPr="00594504">
        <w:rPr>
          <w:rFonts w:hint="eastAsia"/>
          <w:b/>
        </w:rPr>
        <w:t>(一)</w:t>
      </w:r>
      <w:r w:rsidR="00D94300" w:rsidRPr="00D94300">
        <w:rPr>
          <w:rFonts w:hint="eastAsia"/>
          <w:b/>
        </w:rPr>
        <w:t>健保基金85至113年度保險支出平均成長率4.72%，高於保費收入成長率4.53%，收支結構長期失衡</w:t>
      </w:r>
    </w:p>
    <w:p w:rsidR="00597189" w:rsidRPr="00597189" w:rsidRDefault="00882987" w:rsidP="00597189">
      <w:pPr>
        <w:adjustRightInd w:val="0"/>
        <w:ind w:leftChars="300" w:left="850" w:firstLine="566"/>
      </w:pPr>
      <w:r w:rsidRPr="00882987">
        <w:rPr>
          <w:rFonts w:hint="eastAsia"/>
        </w:rPr>
        <w:t>據</w:t>
      </w:r>
      <w:r w:rsidR="00D94300" w:rsidRPr="00D94300">
        <w:rPr>
          <w:rFonts w:hint="eastAsia"/>
        </w:rPr>
        <w:t>健保基金113年度決算書總說明所載，截至113年12月底止，保險收支淨結餘數約234億元，累計安全準備餘額約1,622億元，約當保險給付支出月數2.4個月，惟113年底保險收支淨結餘234億元，較112年底淨結餘數339億元，減少105億元。另審計部113年度中央政府總決算附屬單位決算及綜計表審核報告指出，全民健保自84年3月開辦以來，受人口結構高齡化、慢性病醫療需求增加等影響，85至113年間健保保險支出年平均成長率4.72%，高於保費收入平均成長率4.53%，顯示健保財務結構存在長期失衡問題</w:t>
      </w:r>
      <w:r w:rsidR="00597189" w:rsidRPr="00597189">
        <w:rPr>
          <w:rFonts w:hint="eastAsia"/>
        </w:rPr>
        <w:t>。</w:t>
      </w:r>
    </w:p>
    <w:p w:rsidR="00597189" w:rsidRPr="00594504" w:rsidRDefault="00597189" w:rsidP="00594504">
      <w:pPr>
        <w:pStyle w:val="a5"/>
        <w:ind w:left="849" w:hanging="283"/>
        <w:rPr>
          <w:b/>
        </w:rPr>
      </w:pPr>
      <w:r w:rsidRPr="00594504">
        <w:rPr>
          <w:rFonts w:hint="eastAsia"/>
          <w:b/>
        </w:rPr>
        <w:t>(二)</w:t>
      </w:r>
      <w:r w:rsidR="00882987" w:rsidRPr="00882987">
        <w:rPr>
          <w:rFonts w:hint="eastAsia"/>
          <w:b/>
        </w:rPr>
        <w:t>保</w:t>
      </w:r>
      <w:r w:rsidR="005476C8" w:rsidRPr="005476C8">
        <w:rPr>
          <w:rFonts w:hint="eastAsia"/>
          <w:b/>
        </w:rPr>
        <w:t>費收入主要由一般保險費及補充保險費組成，惟補充保險費扣取上限金額自100年訂定後，迄113年底未予調整</w:t>
      </w:r>
    </w:p>
    <w:p w:rsidR="00597189" w:rsidRPr="00597189" w:rsidRDefault="00882987" w:rsidP="00594504">
      <w:pPr>
        <w:pStyle w:val="21"/>
        <w:ind w:left="850" w:firstLine="566"/>
      </w:pPr>
      <w:r>
        <w:rPr>
          <w:rFonts w:hint="eastAsia"/>
        </w:rPr>
        <w:t>健</w:t>
      </w:r>
      <w:r w:rsidR="005476C8" w:rsidRPr="005476C8">
        <w:rPr>
          <w:rFonts w:hint="eastAsia"/>
        </w:rPr>
        <w:t>保基金之保費收入主要由一般保險費及補充保險費組成，113年度一般保險費收入決算數6,294億594萬8千元，占健保保費收入決算數8,003億4,919萬3千元之78.64%，至補充保險費收入決算數715億3,358萬1千元，占健保保費收入</w:t>
      </w:r>
      <w:r w:rsidR="005476C8" w:rsidRPr="005476C8">
        <w:rPr>
          <w:rFonts w:hint="eastAsia"/>
        </w:rPr>
        <w:lastRenderedPageBreak/>
        <w:t>決算數之8.94%(詳表1)，該比率低於111及112年度</w:t>
      </w:r>
      <w:r w:rsidR="005476C8">
        <w:rPr>
          <w:rFonts w:hAnsi="標楷體" w:hint="eastAsia"/>
        </w:rPr>
        <w:t>。</w:t>
      </w:r>
    </w:p>
    <w:p w:rsidR="00882987" w:rsidRDefault="00882987" w:rsidP="001A32F4">
      <w:pPr>
        <w:snapToGrid w:val="0"/>
        <w:ind w:leftChars="0" w:left="0" w:firstLineChars="168" w:firstLine="476"/>
        <w:jc w:val="left"/>
        <w:rPr>
          <w:rFonts w:hAnsi="標楷體"/>
          <w:b/>
        </w:rPr>
      </w:pPr>
      <w:r w:rsidRPr="00161BCB">
        <w:rPr>
          <w:rFonts w:hAnsi="標楷體" w:hint="eastAsia"/>
          <w:b/>
        </w:rPr>
        <w:t xml:space="preserve">表1  </w:t>
      </w:r>
      <w:r w:rsidR="005476C8" w:rsidRPr="005476C8">
        <w:rPr>
          <w:rFonts w:hAnsi="標楷體" w:hint="eastAsia"/>
          <w:b/>
        </w:rPr>
        <w:t>110至113年度健保基金保險費收入決算數簡表</w:t>
      </w:r>
      <w:r w:rsidRPr="00161BCB">
        <w:rPr>
          <w:rFonts w:hAnsi="標楷體" w:hint="eastAsia"/>
          <w:b/>
        </w:rPr>
        <w:t xml:space="preserve"> </w:t>
      </w:r>
      <w:r w:rsidRPr="00161BCB">
        <w:rPr>
          <w:rFonts w:hAnsi="標楷體"/>
          <w:b/>
        </w:rPr>
        <w:t xml:space="preserve"> </w:t>
      </w:r>
    </w:p>
    <w:p w:rsidR="00882987" w:rsidRPr="00161BCB" w:rsidRDefault="00882987" w:rsidP="00882987">
      <w:pPr>
        <w:snapToGrid w:val="0"/>
        <w:spacing w:line="320" w:lineRule="exact"/>
        <w:ind w:leftChars="0" w:left="0" w:firstLineChars="2200" w:firstLine="5351"/>
        <w:jc w:val="right"/>
        <w:rPr>
          <w:rFonts w:ascii="Times New Roman"/>
          <w:sz w:val="24"/>
          <w:szCs w:val="24"/>
        </w:rPr>
      </w:pPr>
      <w:r w:rsidRPr="00161BCB">
        <w:rPr>
          <w:rFonts w:ascii="Times New Roman" w:hint="eastAsia"/>
          <w:sz w:val="24"/>
          <w:szCs w:val="24"/>
        </w:rPr>
        <w:t>單位：新臺幣千元</w:t>
      </w:r>
      <w:r w:rsidRPr="00161BCB">
        <w:rPr>
          <w:rFonts w:hAnsi="標楷體" w:hint="eastAsia"/>
          <w:sz w:val="24"/>
          <w:szCs w:val="24"/>
        </w:rPr>
        <w:t>；%</w:t>
      </w:r>
    </w:p>
    <w:tbl>
      <w:tblPr>
        <w:tblW w:w="8014" w:type="dxa"/>
        <w:tblInd w:w="54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77"/>
        <w:gridCol w:w="1496"/>
        <w:gridCol w:w="1440"/>
        <w:gridCol w:w="1441"/>
        <w:gridCol w:w="1460"/>
      </w:tblGrid>
      <w:tr w:rsidR="005476C8" w:rsidRPr="00CE4B0A" w:rsidTr="001A32F4">
        <w:trPr>
          <w:trHeight w:val="407"/>
          <w:tblHeader/>
        </w:trPr>
        <w:tc>
          <w:tcPr>
            <w:tcW w:w="2177" w:type="dxa"/>
            <w:shd w:val="clear" w:color="auto" w:fill="auto"/>
            <w:noWrap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項目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1</w:t>
            </w:r>
            <w:r w:rsidRPr="00CE4B0A">
              <w:rPr>
                <w:color w:val="000000"/>
                <w:sz w:val="24"/>
              </w:rPr>
              <w:t>10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11</w:t>
            </w:r>
            <w:r w:rsidRPr="00CE4B0A">
              <w:rPr>
                <w:color w:val="000000"/>
                <w:sz w:val="24"/>
              </w:rPr>
              <w:t>1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11</w:t>
            </w:r>
            <w:r w:rsidRPr="00CE4B0A">
              <w:rPr>
                <w:color w:val="000000"/>
                <w:sz w:val="24"/>
              </w:rPr>
              <w:t>2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11</w:t>
            </w:r>
            <w:r w:rsidRPr="00CE4B0A">
              <w:rPr>
                <w:color w:val="000000"/>
                <w:sz w:val="24"/>
              </w:rPr>
              <w:t>3</w:t>
            </w:r>
          </w:p>
        </w:tc>
      </w:tr>
      <w:tr w:rsidR="005476C8" w:rsidRPr="00CE4B0A" w:rsidTr="001A32F4">
        <w:trPr>
          <w:trHeight w:val="340"/>
        </w:trPr>
        <w:tc>
          <w:tcPr>
            <w:tcW w:w="2177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業務收入-保費收入(</w:t>
            </w:r>
            <w:r w:rsidRPr="00CE4B0A">
              <w:rPr>
                <w:color w:val="000000"/>
                <w:sz w:val="24"/>
              </w:rPr>
              <w:t>A</w:t>
            </w:r>
            <w:r w:rsidRPr="00CE4B0A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699,469,487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747,904,072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773,534,415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800,349,193</w:t>
            </w:r>
          </w:p>
        </w:tc>
      </w:tr>
      <w:tr w:rsidR="005476C8" w:rsidRPr="00CE4B0A" w:rsidTr="001A32F4">
        <w:trPr>
          <w:trHeight w:val="340"/>
        </w:trPr>
        <w:tc>
          <w:tcPr>
            <w:tcW w:w="2177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1.一般保險費(</w:t>
            </w:r>
            <w:r w:rsidRPr="00CE4B0A">
              <w:rPr>
                <w:color w:val="000000"/>
                <w:sz w:val="24"/>
              </w:rPr>
              <w:t>B</w:t>
            </w:r>
            <w:r w:rsidRPr="00CE4B0A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566,306,980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585,711,662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607,480,730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629,405,948</w:t>
            </w:r>
          </w:p>
        </w:tc>
      </w:tr>
      <w:tr w:rsidR="005476C8" w:rsidRPr="00CE4B0A" w:rsidTr="001A32F4">
        <w:trPr>
          <w:trHeight w:val="340"/>
        </w:trPr>
        <w:tc>
          <w:tcPr>
            <w:tcW w:w="2177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2.補充保險費(</w:t>
            </w:r>
            <w:r w:rsidRPr="00CE4B0A">
              <w:rPr>
                <w:color w:val="000000"/>
                <w:sz w:val="24"/>
              </w:rPr>
              <w:t>C</w:t>
            </w:r>
            <w:r w:rsidRPr="00CE4B0A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58,229,157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73,388,478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72,258,104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71,533,581</w:t>
            </w:r>
          </w:p>
        </w:tc>
      </w:tr>
      <w:tr w:rsidR="005476C8" w:rsidRPr="00CE4B0A" w:rsidTr="001A32F4">
        <w:trPr>
          <w:trHeight w:val="340"/>
        </w:trPr>
        <w:tc>
          <w:tcPr>
            <w:tcW w:w="2177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243" w:hangingChars="100" w:hanging="243"/>
              <w:jc w:val="left"/>
              <w:rPr>
                <w:rFonts w:hint="eastAsia"/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3.政府應負擔健保總經費不足36%部分</w:t>
            </w:r>
          </w:p>
        </w:tc>
        <w:tc>
          <w:tcPr>
            <w:tcW w:w="1496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74,488,068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88,282,180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93,265,229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98,820,114</w:t>
            </w:r>
          </w:p>
        </w:tc>
      </w:tr>
      <w:tr w:rsidR="005476C8" w:rsidRPr="00CE4B0A" w:rsidTr="001A32F4">
        <w:trPr>
          <w:trHeight w:val="340"/>
        </w:trPr>
        <w:tc>
          <w:tcPr>
            <w:tcW w:w="217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4.滯納金</w:t>
            </w:r>
          </w:p>
        </w:tc>
        <w:tc>
          <w:tcPr>
            <w:tcW w:w="149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445,282</w:t>
            </w:r>
          </w:p>
        </w:tc>
        <w:tc>
          <w:tcPr>
            <w:tcW w:w="144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521,752</w:t>
            </w:r>
          </w:p>
        </w:tc>
        <w:tc>
          <w:tcPr>
            <w:tcW w:w="1441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530,352</w:t>
            </w:r>
          </w:p>
        </w:tc>
        <w:tc>
          <w:tcPr>
            <w:tcW w:w="146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589,550</w:t>
            </w:r>
          </w:p>
        </w:tc>
      </w:tr>
      <w:tr w:rsidR="005476C8" w:rsidRPr="00CE4B0A" w:rsidTr="001A32F4">
        <w:trPr>
          <w:trHeight w:val="340"/>
        </w:trPr>
        <w:tc>
          <w:tcPr>
            <w:tcW w:w="217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一般保險費占保費收入比率(B</w:t>
            </w:r>
            <w:r w:rsidRPr="00CE4B0A">
              <w:rPr>
                <w:color w:val="000000"/>
                <w:sz w:val="24"/>
              </w:rPr>
              <w:t>/A</w:t>
            </w:r>
            <w:r w:rsidRPr="00CE4B0A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149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80.96</w:t>
            </w:r>
          </w:p>
        </w:tc>
        <w:tc>
          <w:tcPr>
            <w:tcW w:w="1440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78.31</w:t>
            </w:r>
          </w:p>
        </w:tc>
        <w:tc>
          <w:tcPr>
            <w:tcW w:w="144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78.53</w:t>
            </w:r>
          </w:p>
        </w:tc>
        <w:tc>
          <w:tcPr>
            <w:tcW w:w="1460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78.64</w:t>
            </w:r>
          </w:p>
        </w:tc>
      </w:tr>
      <w:tr w:rsidR="005476C8" w:rsidRPr="00CE4B0A" w:rsidTr="001A32F4">
        <w:trPr>
          <w:trHeight w:val="340"/>
        </w:trPr>
        <w:tc>
          <w:tcPr>
            <w:tcW w:w="2177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E4B0A">
              <w:rPr>
                <w:rFonts w:hint="eastAsia"/>
                <w:color w:val="000000"/>
                <w:sz w:val="24"/>
              </w:rPr>
              <w:t>補充保險費占保費收入比率(</w:t>
            </w:r>
            <w:r w:rsidRPr="00CE4B0A">
              <w:rPr>
                <w:color w:val="000000"/>
                <w:sz w:val="24"/>
              </w:rPr>
              <w:t>C/A)</w:t>
            </w:r>
          </w:p>
        </w:tc>
        <w:tc>
          <w:tcPr>
            <w:tcW w:w="149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8.32</w:t>
            </w:r>
          </w:p>
        </w:tc>
        <w:tc>
          <w:tcPr>
            <w:tcW w:w="144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9.81</w:t>
            </w:r>
          </w:p>
        </w:tc>
        <w:tc>
          <w:tcPr>
            <w:tcW w:w="144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9.34</w:t>
            </w:r>
          </w:p>
        </w:tc>
        <w:tc>
          <w:tcPr>
            <w:tcW w:w="146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476C8" w:rsidRPr="00CE4B0A" w:rsidRDefault="005476C8" w:rsidP="00CC58CB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</w:rPr>
            </w:pPr>
            <w:r w:rsidRPr="00CE4B0A">
              <w:rPr>
                <w:color w:val="000000"/>
                <w:sz w:val="24"/>
              </w:rPr>
              <w:t>8.94</w:t>
            </w:r>
          </w:p>
        </w:tc>
      </w:tr>
    </w:tbl>
    <w:p w:rsidR="00882987" w:rsidRPr="00161BCB" w:rsidRDefault="005476C8" w:rsidP="005476C8">
      <w:pPr>
        <w:spacing w:line="280" w:lineRule="exact"/>
        <w:ind w:leftChars="0" w:left="0" w:firstLineChars="0" w:firstLine="0"/>
        <w:jc w:val="left"/>
      </w:pPr>
      <w:r>
        <w:rPr>
          <w:rFonts w:hAnsi="標楷體" w:cs="標楷體" w:hint="eastAsia"/>
          <w:snapToGrid/>
          <w:sz w:val="24"/>
          <w:szCs w:val="24"/>
        </w:rPr>
        <w:t xml:space="preserve"> </w:t>
      </w:r>
      <w:r w:rsidR="001A32F4">
        <w:rPr>
          <w:rFonts w:hAnsi="標楷體" w:cs="標楷體" w:hint="eastAsia"/>
          <w:snapToGrid/>
          <w:sz w:val="24"/>
          <w:szCs w:val="24"/>
        </w:rPr>
        <w:t xml:space="preserve">   </w:t>
      </w:r>
      <w:r w:rsidR="00882987" w:rsidRPr="00161BCB">
        <w:rPr>
          <w:rFonts w:hAnsi="標楷體" w:cs="標楷體" w:hint="eastAsia"/>
          <w:snapToGrid/>
          <w:sz w:val="24"/>
          <w:szCs w:val="24"/>
        </w:rPr>
        <w:t>資料來源：健保基金提供。</w:t>
      </w:r>
    </w:p>
    <w:p w:rsidR="00882987" w:rsidRDefault="0077168C" w:rsidP="00882987">
      <w:pPr>
        <w:pStyle w:val="21"/>
        <w:ind w:left="850" w:firstLine="566"/>
      </w:pPr>
      <w:r>
        <w:rPr>
          <w:rFonts w:hint="eastAsia"/>
        </w:rPr>
        <w:t>健</w:t>
      </w:r>
      <w:r w:rsidRPr="0077168C">
        <w:rPr>
          <w:rFonts w:hint="eastAsia"/>
        </w:rPr>
        <w:t>保保費收入原偏重經常性薪資，100年1月修正全民健康保險法(下稱健保法)第31條，將原未列入保險費計費基礎之股利所得等6項非經常性薪資收入</w:t>
      </w:r>
      <w:r w:rsidRPr="0077168C">
        <w:rPr>
          <w:vertAlign w:val="superscript"/>
        </w:rPr>
        <w:footnoteReference w:id="1"/>
      </w:r>
      <w:r w:rsidRPr="0077168C">
        <w:rPr>
          <w:rFonts w:hint="eastAsia"/>
        </w:rPr>
        <w:t>以單次給付1千萬元為限，計收補充保險費，逾上限金額部分，免再扣取補充保險費，僅以現行費率2.11%計收補充保險費21萬1千元</w:t>
      </w:r>
      <w:r w:rsidR="00882987">
        <w:rPr>
          <w:rFonts w:hint="eastAsia"/>
        </w:rPr>
        <w:t>。</w:t>
      </w:r>
    </w:p>
    <w:p w:rsidR="00882987" w:rsidRPr="00161BCB" w:rsidRDefault="0077168C" w:rsidP="00882987">
      <w:pPr>
        <w:pStyle w:val="21"/>
        <w:ind w:left="850" w:firstLine="566"/>
        <w:rPr>
          <w:rFonts w:ascii="Times New Roman"/>
          <w:sz w:val="24"/>
          <w:szCs w:val="24"/>
        </w:rPr>
      </w:pPr>
      <w:r>
        <w:rPr>
          <w:rFonts w:hint="eastAsia"/>
        </w:rPr>
        <w:t>參考</w:t>
      </w:r>
      <w:r w:rsidRPr="00CE0566">
        <w:rPr>
          <w:rFonts w:hint="eastAsia"/>
        </w:rPr>
        <w:t>財政部11</w:t>
      </w:r>
      <w:r>
        <w:rPr>
          <w:rFonts w:hint="eastAsia"/>
        </w:rPr>
        <w:t>4</w:t>
      </w:r>
      <w:r w:rsidRPr="00CE0566">
        <w:rPr>
          <w:rFonts w:hint="eastAsia"/>
        </w:rPr>
        <w:t>年</w:t>
      </w:r>
      <w:r>
        <w:rPr>
          <w:rFonts w:hint="eastAsia"/>
        </w:rPr>
        <w:t>度</w:t>
      </w:r>
      <w:r w:rsidRPr="00CE0566">
        <w:rPr>
          <w:rFonts w:hint="eastAsia"/>
        </w:rPr>
        <w:t>公告11</w:t>
      </w:r>
      <w:r>
        <w:rPr>
          <w:rFonts w:hint="eastAsia"/>
        </w:rPr>
        <w:t>1</w:t>
      </w:r>
      <w:r w:rsidRPr="00CE0566">
        <w:rPr>
          <w:rFonts w:hint="eastAsia"/>
        </w:rPr>
        <w:t>年度綜合所得稅申報核定統計專冊，利息所得、股利所得申報金額1千萬元以上者各為</w:t>
      </w:r>
      <w:r>
        <w:rPr>
          <w:rFonts w:hint="eastAsia"/>
        </w:rPr>
        <w:t>9</w:t>
      </w:r>
      <w:r w:rsidRPr="00CE0566">
        <w:rPr>
          <w:rFonts w:hint="eastAsia"/>
        </w:rPr>
        <w:t>萬</w:t>
      </w:r>
      <w:r>
        <w:rPr>
          <w:rFonts w:hint="eastAsia"/>
        </w:rPr>
        <w:t>7</w:t>
      </w:r>
      <w:r>
        <w:t>,</w:t>
      </w:r>
      <w:r>
        <w:rPr>
          <w:rFonts w:hint="eastAsia"/>
        </w:rPr>
        <w:t>299</w:t>
      </w:r>
      <w:r w:rsidRPr="00CE0566">
        <w:rPr>
          <w:rFonts w:hint="eastAsia"/>
        </w:rPr>
        <w:t>件</w:t>
      </w:r>
      <w:r>
        <w:rPr>
          <w:rFonts w:hint="eastAsia"/>
        </w:rPr>
        <w:t>及2</w:t>
      </w:r>
      <w:r>
        <w:t>4</w:t>
      </w:r>
      <w:r w:rsidRPr="00CE0566">
        <w:rPr>
          <w:rFonts w:hint="eastAsia"/>
        </w:rPr>
        <w:t>萬</w:t>
      </w:r>
      <w:r>
        <w:rPr>
          <w:rFonts w:hint="eastAsia"/>
        </w:rPr>
        <w:t>4</w:t>
      </w:r>
      <w:r>
        <w:t>,372</w:t>
      </w:r>
      <w:r w:rsidRPr="00CE0566">
        <w:rPr>
          <w:rFonts w:hint="eastAsia"/>
        </w:rPr>
        <w:t>件，較1</w:t>
      </w:r>
      <w:r>
        <w:t>10</w:t>
      </w:r>
      <w:r w:rsidRPr="00CE0566">
        <w:rPr>
          <w:rFonts w:hint="eastAsia"/>
        </w:rPr>
        <w:t>年度</w:t>
      </w:r>
      <w:r>
        <w:rPr>
          <w:rFonts w:hint="eastAsia"/>
        </w:rPr>
        <w:t>之5</w:t>
      </w:r>
      <w:r w:rsidRPr="00CE0566">
        <w:rPr>
          <w:rFonts w:hint="eastAsia"/>
        </w:rPr>
        <w:t>萬</w:t>
      </w:r>
      <w:r>
        <w:rPr>
          <w:rFonts w:hint="eastAsia"/>
        </w:rPr>
        <w:t>2</w:t>
      </w:r>
      <w:r>
        <w:t>,</w:t>
      </w:r>
      <w:r>
        <w:rPr>
          <w:rFonts w:hint="eastAsia"/>
        </w:rPr>
        <w:t>220</w:t>
      </w:r>
      <w:r w:rsidRPr="00CE0566">
        <w:rPr>
          <w:rFonts w:hint="eastAsia"/>
        </w:rPr>
        <w:t>件</w:t>
      </w:r>
      <w:r>
        <w:rPr>
          <w:rFonts w:hint="eastAsia"/>
        </w:rPr>
        <w:t>及15</w:t>
      </w:r>
      <w:r w:rsidRPr="00CE0566">
        <w:rPr>
          <w:rFonts w:hint="eastAsia"/>
        </w:rPr>
        <w:t>萬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783</w:t>
      </w:r>
      <w:r w:rsidRPr="00CE0566">
        <w:rPr>
          <w:rFonts w:hint="eastAsia"/>
        </w:rPr>
        <w:t>件</w:t>
      </w:r>
      <w:r>
        <w:rPr>
          <w:rFonts w:hint="eastAsia"/>
        </w:rPr>
        <w:t>，</w:t>
      </w:r>
      <w:r w:rsidRPr="00CE0566">
        <w:rPr>
          <w:rFonts w:hint="eastAsia"/>
        </w:rPr>
        <w:t>各增加</w:t>
      </w:r>
      <w:r>
        <w:rPr>
          <w:rFonts w:hint="eastAsia"/>
        </w:rPr>
        <w:t>4萬5</w:t>
      </w:r>
      <w:r>
        <w:t>,</w:t>
      </w:r>
      <w:r>
        <w:rPr>
          <w:rFonts w:hint="eastAsia"/>
        </w:rPr>
        <w:t>079</w:t>
      </w:r>
      <w:r w:rsidRPr="00CE0566">
        <w:rPr>
          <w:rFonts w:hint="eastAsia"/>
        </w:rPr>
        <w:t>件</w:t>
      </w:r>
      <w:r>
        <w:rPr>
          <w:rFonts w:hint="eastAsia"/>
        </w:rPr>
        <w:t>(增幅86.33%)及9</w:t>
      </w:r>
      <w:r w:rsidRPr="00CE0566">
        <w:rPr>
          <w:rFonts w:hint="eastAsia"/>
        </w:rPr>
        <w:t>萬</w:t>
      </w:r>
      <w:r>
        <w:rPr>
          <w:rFonts w:hint="eastAsia"/>
        </w:rPr>
        <w:t>2</w:t>
      </w:r>
      <w:r>
        <w:t>,589</w:t>
      </w:r>
      <w:r w:rsidRPr="00CE0566">
        <w:rPr>
          <w:rFonts w:hint="eastAsia"/>
        </w:rPr>
        <w:t>件</w:t>
      </w:r>
      <w:r>
        <w:rPr>
          <w:rFonts w:hint="eastAsia"/>
        </w:rPr>
        <w:t>(增幅61%)</w:t>
      </w:r>
      <w:r w:rsidRPr="00CE0566">
        <w:rPr>
          <w:rFonts w:hint="eastAsia"/>
        </w:rPr>
        <w:t>。然補充保險費扣取上限自100年訂定後迄11</w:t>
      </w:r>
      <w:r>
        <w:rPr>
          <w:rFonts w:hint="eastAsia"/>
        </w:rPr>
        <w:t>3</w:t>
      </w:r>
      <w:r w:rsidRPr="00CE0566">
        <w:rPr>
          <w:rFonts w:hint="eastAsia"/>
        </w:rPr>
        <w:lastRenderedPageBreak/>
        <w:t>年</w:t>
      </w:r>
      <w:r>
        <w:rPr>
          <w:rFonts w:hint="eastAsia"/>
        </w:rPr>
        <w:t>底</w:t>
      </w:r>
      <w:r w:rsidRPr="00CE0566">
        <w:rPr>
          <w:rFonts w:hint="eastAsia"/>
        </w:rPr>
        <w:t>未調整，</w:t>
      </w:r>
      <w:r>
        <w:rPr>
          <w:rFonts w:hint="eastAsia"/>
        </w:rPr>
        <w:t>近年</w:t>
      </w:r>
      <w:r w:rsidRPr="00CE0566">
        <w:rPr>
          <w:rFonts w:hint="eastAsia"/>
        </w:rPr>
        <w:t>非經常性薪資收入逾前開法定上限金額(1,000萬元)者</w:t>
      </w:r>
      <w:r>
        <w:rPr>
          <w:rFonts w:hint="eastAsia"/>
        </w:rPr>
        <w:t>明顯</w:t>
      </w:r>
      <w:r w:rsidRPr="00CE0566">
        <w:rPr>
          <w:rFonts w:hint="eastAsia"/>
        </w:rPr>
        <w:t>增加，</w:t>
      </w:r>
      <w:r>
        <w:rPr>
          <w:rFonts w:hint="eastAsia"/>
        </w:rPr>
        <w:t>亟待衡平考量健保費負擔之公平性</w:t>
      </w:r>
      <w:r w:rsidR="00882987">
        <w:rPr>
          <w:rFonts w:hint="eastAsia"/>
        </w:rPr>
        <w:t>。</w:t>
      </w:r>
    </w:p>
    <w:p w:rsidR="00166061" w:rsidRPr="00D35E73" w:rsidRDefault="00597189" w:rsidP="00E70171">
      <w:pPr>
        <w:ind w:left="566" w:firstLine="566"/>
      </w:pPr>
      <w:r w:rsidRPr="00597189">
        <w:rPr>
          <w:rFonts w:hint="eastAsia"/>
        </w:rPr>
        <w:t>綜上，</w:t>
      </w:r>
      <w:r w:rsidR="0077168C" w:rsidRPr="0077168C">
        <w:rPr>
          <w:rFonts w:hint="eastAsia"/>
        </w:rPr>
        <w:t>健保基金於85至113年度間，保險支出平均成長率高於保費收入成長率，迄113年底止保險收支雖為淨結餘，惟健保補充保費收取上限金額自100年訂定後已多年未調整，允宜通盤考量健保費負擔之衡平性及妥適性</w:t>
      </w:r>
      <w:r w:rsidRPr="00597189">
        <w:rPr>
          <w:rFonts w:hint="eastAsia"/>
        </w:rPr>
        <w:t>。</w:t>
      </w:r>
    </w:p>
    <w:bookmarkEnd w:id="5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RPr="00D35E73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A0824" w:rsidRPr="002A0824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77168C" w:rsidRPr="00541440" w:rsidRDefault="0077168C" w:rsidP="0077168C">
      <w:pPr>
        <w:pStyle w:val="142"/>
        <w:ind w:leftChars="-15" w:left="126" w:hangingChars="69" w:hanging="168"/>
        <w:jc w:val="both"/>
        <w:rPr>
          <w:rFonts w:hint="eastAsia"/>
        </w:rPr>
      </w:pPr>
      <w:r>
        <w:rPr>
          <w:rStyle w:val="affb"/>
        </w:rPr>
        <w:footnoteRef/>
      </w:r>
      <w:r>
        <w:rPr>
          <w:rFonts w:hint="eastAsia"/>
        </w:rPr>
        <w:t xml:space="preserve"> 全民健康保險法第31條第1項規定</w:t>
      </w:r>
      <w:r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「</w:t>
      </w:r>
      <w:r w:rsidRPr="00905534">
        <w:rPr>
          <w:rFonts w:hAnsi="標楷體" w:hint="eastAsia"/>
        </w:rPr>
        <w:t>第一類至第四類及第六類保險對象有下列各類所得，應依規定之補充保險費率計收補充保險費，由扣費義務人於給付時扣取，並於給付日之次月底前向保險人繳納。但單次給付金額逾新臺幣一千萬元之部分及未達一定金額者，免予扣取：一、所屬投保單位給付全年累計逾當月投保金額四倍部分之獎金。二、非所屬投保單位給付之薪資所得。但第二類被保險人之薪資所得，不在此限。三、執行業務收入。但依第</w:t>
      </w:r>
      <w:r>
        <w:rPr>
          <w:rFonts w:hAnsi="標楷體" w:hint="eastAsia"/>
        </w:rPr>
        <w:t>20</w:t>
      </w:r>
      <w:r w:rsidRPr="00905534">
        <w:rPr>
          <w:rFonts w:hAnsi="標楷體" w:hint="eastAsia"/>
        </w:rPr>
        <w:t>條規定以執行業務所得為投保金額者之執行業務收入，不在此限。四、股利所得。但已列入投保金額計算保險費部分，不在此限。五、利息所得。六、租金收入。</w:t>
      </w:r>
      <w:r>
        <w:rPr>
          <w:rFonts w:hAnsi="標楷體"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0824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B5AB002-EF84-4D88-87C8-025A70287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A7302-B619-4F37-A133-3794AA7B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3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