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166061" w:rsidRPr="00691DC4" w:rsidRDefault="00166061" w:rsidP="00166061">
      <w:pPr>
        <w:pStyle w:val="14"/>
        <w:ind w:left="567" w:hanging="567"/>
        <w:rPr>
          <w:rFonts w:hAnsi="標楷體"/>
        </w:rPr>
      </w:pPr>
      <w:bookmarkStart w:id="49" w:name="_Toc90019292"/>
      <w:bookmarkStart w:id="50" w:name="_Toc225270764"/>
      <w:r>
        <w:rPr>
          <w:rFonts w:hint="eastAsia"/>
          <w:lang w:eastAsia="zh-HK"/>
        </w:rPr>
        <w:t>四、</w:t>
      </w:r>
      <w:bookmarkStart w:id="51" w:name="_Toc54251447"/>
      <w:bookmarkEnd w:id="49"/>
      <w:r w:rsidR="0077168C" w:rsidRPr="0077168C">
        <w:rPr>
          <w:rFonts w:hAnsi="標楷體" w:hint="eastAsia"/>
        </w:rPr>
        <w:t>建置電子轉診平臺，期促進雙向轉診及提升轉診效率，惟部分醫療院所仍以紙本作業及轉診資訊未臻完整等，影響資訊透明及照護連續性，亟待檢討改善</w:t>
      </w:r>
      <w:bookmarkEnd w:id="50"/>
    </w:p>
    <w:p w:rsidR="000F32EC" w:rsidRDefault="000F32EC" w:rsidP="00E70171">
      <w:pPr>
        <w:ind w:left="566" w:firstLine="566"/>
        <w:rPr>
          <w:rFonts w:hAnsi="標楷體"/>
          <w:snapToGrid/>
        </w:rPr>
      </w:pPr>
      <w:r w:rsidRPr="000F32EC">
        <w:rPr>
          <w:rFonts w:hint="eastAsia"/>
          <w:snapToGrid/>
        </w:rPr>
        <w:t>健</w:t>
      </w:r>
      <w:r w:rsidR="0077168C" w:rsidRPr="0077168C">
        <w:rPr>
          <w:rFonts w:hint="eastAsia"/>
          <w:snapToGrid/>
        </w:rPr>
        <w:t>保基金113年度「保險成本－保險給付」預算數8,107億2,233萬3千元，執行結果，審定數8,105億2,733萬3千元，預算執行率99.98%</w:t>
      </w:r>
      <w:r>
        <w:rPr>
          <w:rFonts w:hAnsi="標楷體" w:hint="eastAsia"/>
          <w:snapToGrid/>
        </w:rPr>
        <w:t>。</w:t>
      </w:r>
    </w:p>
    <w:p w:rsidR="000F32EC" w:rsidRPr="000F32EC" w:rsidRDefault="00E0606C" w:rsidP="000F32EC">
      <w:pPr>
        <w:ind w:left="566" w:firstLine="566"/>
        <w:rPr>
          <w:snapToGrid/>
        </w:rPr>
      </w:pPr>
      <w:r>
        <w:rPr>
          <w:rFonts w:hint="eastAsia"/>
          <w:snapToGrid/>
        </w:rPr>
        <w:t>中央健康保險署(以下簡稱</w:t>
      </w:r>
      <w:r w:rsidR="0077168C">
        <w:rPr>
          <w:rFonts w:hint="eastAsia"/>
          <w:snapToGrid/>
        </w:rPr>
        <w:t>健保署</w:t>
      </w:r>
      <w:r>
        <w:rPr>
          <w:rFonts w:hint="eastAsia"/>
          <w:snapToGrid/>
        </w:rPr>
        <w:t>)</w:t>
      </w:r>
      <w:r w:rsidR="0077168C">
        <w:rPr>
          <w:rFonts w:hint="eastAsia"/>
          <w:snapToGrid/>
        </w:rPr>
        <w:t>考量以往採</w:t>
      </w:r>
      <w:r w:rsidR="0077168C" w:rsidRPr="00643B24">
        <w:rPr>
          <w:rFonts w:hint="eastAsia"/>
          <w:snapToGrid/>
        </w:rPr>
        <w:t>紙本轉診</w:t>
      </w:r>
      <w:r w:rsidR="0077168C">
        <w:rPr>
          <w:rFonts w:hint="eastAsia"/>
          <w:snapToGrid/>
        </w:rPr>
        <w:t>方式，須由病人將紙本轉診單傳真及電話聯繫，或</w:t>
      </w:r>
      <w:r w:rsidR="0077168C" w:rsidRPr="00643B24">
        <w:rPr>
          <w:rFonts w:hint="eastAsia"/>
          <w:snapToGrid/>
        </w:rPr>
        <w:t>親赴醫療院所臨櫃掛號，作業較繁複不便，</w:t>
      </w:r>
      <w:r w:rsidR="0077168C">
        <w:rPr>
          <w:rFonts w:hint="eastAsia"/>
          <w:snapToGrid/>
        </w:rPr>
        <w:t>爰於</w:t>
      </w:r>
      <w:r w:rsidR="0077168C" w:rsidRPr="00643B24">
        <w:rPr>
          <w:rFonts w:hint="eastAsia"/>
          <w:snapToGrid/>
        </w:rPr>
        <w:t>106年</w:t>
      </w:r>
      <w:r w:rsidR="0077168C">
        <w:rPr>
          <w:rFonts w:hint="eastAsia"/>
          <w:snapToGrid/>
        </w:rPr>
        <w:t>3月</w:t>
      </w:r>
      <w:r w:rsidR="0077168C" w:rsidRPr="00643B24">
        <w:rPr>
          <w:rFonts w:hint="eastAsia"/>
          <w:snapToGrid/>
        </w:rPr>
        <w:t>建置電子轉診平臺，</w:t>
      </w:r>
      <w:r w:rsidR="0077168C">
        <w:rPr>
          <w:rFonts w:hint="eastAsia"/>
          <w:snapToGrid/>
        </w:rPr>
        <w:t>109至113年度該平台營運經費計1</w:t>
      </w:r>
      <w:r w:rsidR="0077168C">
        <w:rPr>
          <w:snapToGrid/>
        </w:rPr>
        <w:t>,</w:t>
      </w:r>
      <w:r w:rsidR="0077168C">
        <w:rPr>
          <w:rFonts w:hint="eastAsia"/>
          <w:snapToGrid/>
        </w:rPr>
        <w:t>616萬餘元，</w:t>
      </w:r>
      <w:r w:rsidR="0077168C" w:rsidRPr="00643B24">
        <w:rPr>
          <w:rFonts w:hint="eastAsia"/>
          <w:snapToGrid/>
        </w:rPr>
        <w:t>提供醫療院所開立電子轉診單，傳輸病歷摘要、轉診目的</w:t>
      </w:r>
      <w:r w:rsidR="0077168C">
        <w:rPr>
          <w:rFonts w:hint="eastAsia"/>
          <w:snapToGrid/>
        </w:rPr>
        <w:t>等資訊予轉入端院所，</w:t>
      </w:r>
      <w:r w:rsidR="0077168C" w:rsidRPr="00643B24">
        <w:rPr>
          <w:rFonts w:hint="eastAsia"/>
          <w:snapToGrid/>
        </w:rPr>
        <w:t>以提升轉診效率</w:t>
      </w:r>
      <w:r w:rsidR="0077168C">
        <w:rPr>
          <w:rFonts w:hint="eastAsia"/>
          <w:snapToGrid/>
        </w:rPr>
        <w:t>，並</w:t>
      </w:r>
      <w:r w:rsidR="0077168C" w:rsidRPr="00643B24">
        <w:rPr>
          <w:rFonts w:hint="eastAsia"/>
          <w:snapToGrid/>
        </w:rPr>
        <w:t>於平臺回復病人就醫後</w:t>
      </w:r>
      <w:r w:rsidR="0077168C">
        <w:rPr>
          <w:rFonts w:hint="eastAsia"/>
          <w:snapToGrid/>
        </w:rPr>
        <w:t>之</w:t>
      </w:r>
      <w:r w:rsidR="0077168C" w:rsidRPr="00643B24">
        <w:rPr>
          <w:rFonts w:hint="eastAsia"/>
          <w:snapToGrid/>
        </w:rPr>
        <w:t>處理情形予轉出端院所，待病人病情穩定，即可轉回轉出端院所接受持續照護</w:t>
      </w:r>
      <w:r w:rsidR="000F32EC" w:rsidRPr="000F32EC">
        <w:rPr>
          <w:rFonts w:hint="eastAsia"/>
          <w:snapToGrid/>
        </w:rPr>
        <w:t>。</w:t>
      </w:r>
    </w:p>
    <w:p w:rsidR="00E70171" w:rsidRPr="008F1259" w:rsidRDefault="008138D3" w:rsidP="000F32EC">
      <w:pPr>
        <w:ind w:left="566" w:firstLine="566"/>
      </w:pPr>
      <w:r>
        <w:rPr>
          <w:rFonts w:hint="eastAsia"/>
          <w:snapToGrid/>
        </w:rPr>
        <w:t>依健保署資料，</w:t>
      </w:r>
      <w:r w:rsidRPr="00AA7C9E">
        <w:rPr>
          <w:rFonts w:hint="eastAsia"/>
          <w:snapToGrid/>
        </w:rPr>
        <w:t>113年度醫療院所使用電子轉診平臺開立電子轉診單計163萬</w:t>
      </w:r>
      <w:r>
        <w:rPr>
          <w:rFonts w:hint="eastAsia"/>
          <w:snapToGrid/>
        </w:rPr>
        <w:t>1</w:t>
      </w:r>
      <w:r>
        <w:rPr>
          <w:snapToGrid/>
        </w:rPr>
        <w:t>,</w:t>
      </w:r>
      <w:r>
        <w:rPr>
          <w:rFonts w:hint="eastAsia"/>
          <w:snapToGrid/>
        </w:rPr>
        <w:t>977</w:t>
      </w:r>
      <w:r w:rsidRPr="00AA7C9E">
        <w:rPr>
          <w:rFonts w:hint="eastAsia"/>
          <w:snapToGrid/>
        </w:rPr>
        <w:t>件（</w:t>
      </w:r>
      <w:r>
        <w:rPr>
          <w:rFonts w:hint="eastAsia"/>
          <w:snapToGrid/>
        </w:rPr>
        <w:t>詳表1</w:t>
      </w:r>
      <w:r w:rsidRPr="00AA7C9E">
        <w:rPr>
          <w:rFonts w:hint="eastAsia"/>
          <w:snapToGrid/>
        </w:rPr>
        <w:t>），</w:t>
      </w:r>
      <w:r>
        <w:rPr>
          <w:rFonts w:hint="eastAsia"/>
          <w:snapToGrid/>
        </w:rPr>
        <w:t>惟</w:t>
      </w:r>
      <w:r w:rsidRPr="00AA7C9E">
        <w:rPr>
          <w:rFonts w:hint="eastAsia"/>
          <w:snapToGrid/>
        </w:rPr>
        <w:t>健保署未強制醫療院所使用電子轉診平臺，部分醫療院所</w:t>
      </w:r>
      <w:r>
        <w:rPr>
          <w:rFonts w:hint="eastAsia"/>
          <w:snapToGrid/>
        </w:rPr>
        <w:t>因未登錄轉診資料，或</w:t>
      </w:r>
      <w:r w:rsidRPr="00AA7C9E">
        <w:rPr>
          <w:rFonts w:hint="eastAsia"/>
          <w:snapToGrid/>
        </w:rPr>
        <w:t>採紙本進行轉診作業等，未將病人轉診資料完整登錄於電子轉診平臺，其中轉入端院所未填寫聯繫結果者約23.68</w:t>
      </w:r>
      <w:r>
        <w:rPr>
          <w:rFonts w:hint="eastAsia"/>
          <w:snapToGrid/>
        </w:rPr>
        <w:t>%</w:t>
      </w:r>
      <w:r w:rsidRPr="00AA7C9E">
        <w:rPr>
          <w:rFonts w:hint="eastAsia"/>
          <w:snapToGrid/>
        </w:rPr>
        <w:t>，較109年度20.1</w:t>
      </w:r>
      <w:r>
        <w:rPr>
          <w:rFonts w:hint="eastAsia"/>
          <w:snapToGrid/>
        </w:rPr>
        <w:t>%增加3.58個百分點</w:t>
      </w:r>
      <w:r>
        <w:rPr>
          <w:rFonts w:hAnsi="標楷體" w:hint="eastAsia"/>
          <w:snapToGrid/>
        </w:rPr>
        <w:t>。109至113年度</w:t>
      </w:r>
      <w:r w:rsidRPr="00AA7C9E">
        <w:rPr>
          <w:rFonts w:hint="eastAsia"/>
          <w:snapToGrid/>
        </w:rPr>
        <w:t>轉入端院所未登錄聯繫結果</w:t>
      </w:r>
      <w:r>
        <w:rPr>
          <w:rFonts w:hint="eastAsia"/>
          <w:snapToGrid/>
        </w:rPr>
        <w:t>比率逐年提高</w:t>
      </w:r>
      <w:r w:rsidRPr="00AA7C9E">
        <w:rPr>
          <w:rFonts w:hint="eastAsia"/>
          <w:snapToGrid/>
        </w:rPr>
        <w:t>，</w:t>
      </w:r>
      <w:r>
        <w:rPr>
          <w:rFonts w:hint="eastAsia"/>
          <w:snapToGrid/>
        </w:rPr>
        <w:t>不僅</w:t>
      </w:r>
      <w:r w:rsidRPr="00AA7C9E">
        <w:rPr>
          <w:rFonts w:hint="eastAsia"/>
          <w:snapToGrid/>
        </w:rPr>
        <w:t>影響轉診案件之追蹤管理，</w:t>
      </w:r>
      <w:r>
        <w:rPr>
          <w:rFonts w:hint="eastAsia"/>
          <w:snapToGrid/>
        </w:rPr>
        <w:t>且</w:t>
      </w:r>
      <w:r w:rsidRPr="00AA7C9E">
        <w:rPr>
          <w:rFonts w:hint="eastAsia"/>
          <w:snapToGrid/>
        </w:rPr>
        <w:t>轉出院所</w:t>
      </w:r>
      <w:r>
        <w:rPr>
          <w:rFonts w:hint="eastAsia"/>
          <w:snapToGrid/>
        </w:rPr>
        <w:t>亦</w:t>
      </w:r>
      <w:r w:rsidRPr="00AA7C9E">
        <w:rPr>
          <w:rFonts w:hint="eastAsia"/>
          <w:snapToGrid/>
        </w:rPr>
        <w:t>無法自電子轉診平臺即時追蹤轉診個案後續照護，</w:t>
      </w:r>
      <w:r>
        <w:rPr>
          <w:rFonts w:hint="eastAsia"/>
          <w:snapToGrid/>
        </w:rPr>
        <w:t>不利</w:t>
      </w:r>
      <w:r w:rsidRPr="00AA7C9E">
        <w:rPr>
          <w:rFonts w:hint="eastAsia"/>
          <w:snapToGrid/>
        </w:rPr>
        <w:t>資訊透明與照護服務連續性</w:t>
      </w:r>
      <w:r w:rsidR="000F32EC" w:rsidRPr="000F32EC">
        <w:rPr>
          <w:rFonts w:hint="eastAsia"/>
          <w:snapToGrid/>
        </w:rPr>
        <w:t>。</w:t>
      </w:r>
      <w:r w:rsidR="00E70171">
        <w:rPr>
          <w:snapToGrid/>
        </w:rPr>
        <w:t xml:space="preserve"> </w:t>
      </w:r>
    </w:p>
    <w:p w:rsidR="008138D3" w:rsidRDefault="00004C10" w:rsidP="008138D3">
      <w:pPr>
        <w:spacing w:beforeLines="50" w:before="250" w:line="360" w:lineRule="exact"/>
        <w:ind w:leftChars="0" w:left="1162" w:hangingChars="410" w:hanging="1162"/>
        <w:jc w:val="left"/>
        <w:rPr>
          <w:color w:val="000000"/>
          <w:sz w:val="24"/>
          <w:lang w:val="x-none"/>
        </w:rPr>
      </w:pPr>
      <w:r>
        <w:rPr>
          <w:rFonts w:hint="eastAsia"/>
          <w:b/>
          <w:color w:val="000000"/>
        </w:rPr>
        <w:t xml:space="preserve">   </w:t>
      </w:r>
      <w:r w:rsidR="000F32EC" w:rsidRPr="00031ADE">
        <w:rPr>
          <w:rFonts w:hint="eastAsia"/>
          <w:b/>
          <w:color w:val="000000"/>
        </w:rPr>
        <w:t xml:space="preserve">表1  </w:t>
      </w:r>
      <w:r w:rsidR="008138D3" w:rsidRPr="008138D3">
        <w:rPr>
          <w:rFonts w:hint="eastAsia"/>
          <w:b/>
          <w:color w:val="000000"/>
        </w:rPr>
        <w:t>109至113年度轉入端醫療院所於電子轉診平臺填寫病人聯繫情形表</w:t>
      </w:r>
      <w:r w:rsidR="000F32EC" w:rsidRPr="00031ADE">
        <w:rPr>
          <w:rFonts w:hint="eastAsia"/>
          <w:b/>
          <w:color w:val="000000"/>
        </w:rPr>
        <w:t xml:space="preserve">                         </w:t>
      </w:r>
      <w:r w:rsidR="008138D3">
        <w:rPr>
          <w:rFonts w:hint="eastAsia"/>
          <w:b/>
          <w:color w:val="000000"/>
        </w:rPr>
        <w:t xml:space="preserve">        </w:t>
      </w:r>
      <w:r w:rsidR="000F32EC" w:rsidRPr="00031ADE">
        <w:rPr>
          <w:rFonts w:hint="eastAsia"/>
          <w:b/>
          <w:color w:val="000000"/>
        </w:rPr>
        <w:t xml:space="preserve"> </w:t>
      </w:r>
      <w:r w:rsidR="000F32EC" w:rsidRPr="00031ADE">
        <w:rPr>
          <w:rFonts w:hint="eastAsia"/>
          <w:snapToGrid/>
          <w:color w:val="000000"/>
          <w:sz w:val="24"/>
          <w:lang w:val="x-none" w:eastAsia="x-none"/>
        </w:rPr>
        <w:t>單位：</w:t>
      </w:r>
      <w:r w:rsidR="008138D3" w:rsidRPr="008138D3">
        <w:rPr>
          <w:rFonts w:hint="eastAsia"/>
          <w:snapToGrid/>
          <w:color w:val="000000"/>
          <w:sz w:val="24"/>
          <w:lang w:val="x-none" w:eastAsia="x-none"/>
        </w:rPr>
        <w:t>件；%</w:t>
      </w:r>
      <w:r w:rsidR="000F32EC" w:rsidRPr="00031ADE">
        <w:rPr>
          <w:rFonts w:hint="eastAsia"/>
          <w:color w:val="000000"/>
          <w:sz w:val="24"/>
          <w:lang w:val="x-none"/>
        </w:rPr>
        <w:t xml:space="preserve"> </w:t>
      </w:r>
    </w:p>
    <w:tbl>
      <w:tblPr>
        <w:tblW w:w="8012" w:type="dxa"/>
        <w:tblInd w:w="5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2"/>
        <w:gridCol w:w="1414"/>
        <w:gridCol w:w="1414"/>
        <w:gridCol w:w="1414"/>
        <w:gridCol w:w="1414"/>
        <w:gridCol w:w="1414"/>
      </w:tblGrid>
      <w:tr w:rsidR="008138D3" w:rsidRPr="00AA7C9E" w:rsidTr="008138D3">
        <w:trPr>
          <w:trHeight w:val="407"/>
          <w:tblHeader/>
        </w:trPr>
        <w:tc>
          <w:tcPr>
            <w:tcW w:w="942" w:type="dxa"/>
            <w:vMerge w:val="restart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年度</w:t>
            </w:r>
          </w:p>
        </w:tc>
        <w:tc>
          <w:tcPr>
            <w:tcW w:w="1414" w:type="dxa"/>
            <w:vMerge w:val="restart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0738D5">
              <w:rPr>
                <w:rFonts w:hint="eastAsia"/>
                <w:b/>
                <w:sz w:val="24"/>
              </w:rPr>
              <w:t>接收轉診數</w:t>
            </w:r>
          </w:p>
        </w:tc>
        <w:tc>
          <w:tcPr>
            <w:tcW w:w="2828" w:type="dxa"/>
            <w:gridSpan w:val="2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未填寫</w:t>
            </w:r>
          </w:p>
        </w:tc>
        <w:tc>
          <w:tcPr>
            <w:tcW w:w="2828" w:type="dxa"/>
            <w:gridSpan w:val="2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已填寫</w:t>
            </w:r>
          </w:p>
        </w:tc>
      </w:tr>
      <w:tr w:rsidR="008138D3" w:rsidRPr="00AA7C9E" w:rsidTr="008138D3">
        <w:trPr>
          <w:trHeight w:val="375"/>
          <w:tblHeader/>
        </w:trPr>
        <w:tc>
          <w:tcPr>
            <w:tcW w:w="942" w:type="dxa"/>
            <w:vMerge/>
            <w:shd w:val="clear" w:color="auto" w:fill="auto"/>
            <w:noWrap/>
            <w:vAlign w:val="center"/>
          </w:tcPr>
          <w:p w:rsidR="008138D3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14" w:type="dxa"/>
            <w:vMerge/>
            <w:shd w:val="clear" w:color="auto" w:fill="auto"/>
            <w:noWrap/>
            <w:vAlign w:val="center"/>
          </w:tcPr>
          <w:p w:rsidR="008138D3" w:rsidRPr="000738D5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件數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比率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件數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比率</w:t>
            </w:r>
          </w:p>
        </w:tc>
      </w:tr>
      <w:tr w:rsidR="008138D3" w:rsidRPr="00AA7C9E" w:rsidTr="008138D3">
        <w:trPr>
          <w:trHeight w:val="340"/>
        </w:trPr>
        <w:tc>
          <w:tcPr>
            <w:tcW w:w="942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A7C9E"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437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669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289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01</w:t>
            </w:r>
            <w:r w:rsidRPr="00AA7C9E">
              <w:rPr>
                <w:rFonts w:hint="eastAsia"/>
                <w:sz w:val="24"/>
              </w:rPr>
              <w:t>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20.10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148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652</w:t>
            </w:r>
          </w:p>
        </w:tc>
        <w:tc>
          <w:tcPr>
            <w:tcW w:w="1414" w:type="dxa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79.90</w:t>
            </w:r>
          </w:p>
        </w:tc>
      </w:tr>
      <w:tr w:rsidR="008138D3" w:rsidRPr="00AA7C9E" w:rsidTr="008138D3">
        <w:trPr>
          <w:trHeight w:val="340"/>
        </w:trPr>
        <w:tc>
          <w:tcPr>
            <w:tcW w:w="942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A7C9E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409</w:t>
            </w:r>
            <w:r w:rsidRPr="00AA7C9E">
              <w:rPr>
                <w:rFonts w:hint="eastAsia"/>
                <w:sz w:val="24"/>
              </w:rPr>
              <w:t>,1</w:t>
            </w:r>
            <w:r>
              <w:rPr>
                <w:rFonts w:hint="eastAsia"/>
                <w:sz w:val="24"/>
              </w:rPr>
              <w:t>5</w:t>
            </w:r>
            <w:r w:rsidRPr="00AA7C9E">
              <w:rPr>
                <w:rFonts w:hint="eastAsia"/>
                <w:sz w:val="24"/>
              </w:rPr>
              <w:t>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297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419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21.11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111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739</w:t>
            </w:r>
          </w:p>
        </w:tc>
        <w:tc>
          <w:tcPr>
            <w:tcW w:w="1414" w:type="dxa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78.89</w:t>
            </w:r>
          </w:p>
        </w:tc>
      </w:tr>
      <w:tr w:rsidR="008138D3" w:rsidRPr="00AA7C9E" w:rsidTr="008138D3">
        <w:trPr>
          <w:trHeight w:val="340"/>
        </w:trPr>
        <w:tc>
          <w:tcPr>
            <w:tcW w:w="942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A7C9E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428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006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AA7C9E">
              <w:rPr>
                <w:rFonts w:hint="eastAsia"/>
                <w:sz w:val="24"/>
              </w:rPr>
              <w:t>3</w:t>
            </w:r>
            <w:r>
              <w:rPr>
                <w:rFonts w:hint="eastAsia"/>
                <w:sz w:val="24"/>
              </w:rPr>
              <w:t>13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221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21.93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,11</w:t>
            </w:r>
            <w:r>
              <w:rPr>
                <w:rFonts w:hint="eastAsia"/>
                <w:sz w:val="24"/>
              </w:rPr>
              <w:t>4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785</w:t>
            </w:r>
          </w:p>
        </w:tc>
        <w:tc>
          <w:tcPr>
            <w:tcW w:w="1414" w:type="dxa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78.07</w:t>
            </w:r>
          </w:p>
        </w:tc>
      </w:tr>
      <w:tr w:rsidR="008138D3" w:rsidRPr="00AA7C9E" w:rsidTr="008138D3">
        <w:trPr>
          <w:trHeight w:val="340"/>
        </w:trPr>
        <w:tc>
          <w:tcPr>
            <w:tcW w:w="942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A7C9E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502</w:t>
            </w:r>
            <w:r w:rsidRPr="00AA7C9E">
              <w:rPr>
                <w:sz w:val="24"/>
              </w:rPr>
              <w:t>,</w:t>
            </w:r>
            <w:r>
              <w:rPr>
                <w:sz w:val="24"/>
              </w:rPr>
              <w:t>203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331</w:t>
            </w:r>
            <w:r w:rsidRPr="00AA7C9E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212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22.05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170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991</w:t>
            </w:r>
          </w:p>
        </w:tc>
        <w:tc>
          <w:tcPr>
            <w:tcW w:w="1414" w:type="dxa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77.95</w:t>
            </w:r>
          </w:p>
        </w:tc>
      </w:tr>
      <w:tr w:rsidR="008138D3" w:rsidRPr="00AA7C9E" w:rsidTr="008138D3">
        <w:trPr>
          <w:trHeight w:val="340"/>
        </w:trPr>
        <w:tc>
          <w:tcPr>
            <w:tcW w:w="942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AA7C9E">
              <w:rPr>
                <w:rFonts w:hint="eastAsia"/>
                <w:sz w:val="24"/>
              </w:rPr>
              <w:t>11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63</w:t>
            </w:r>
            <w:r w:rsidRPr="00AA7C9E">
              <w:rPr>
                <w:rFonts w:hint="eastAsia"/>
                <w:sz w:val="24"/>
              </w:rPr>
              <w:t>1</w:t>
            </w:r>
            <w:r w:rsidRPr="00AA7C9E">
              <w:rPr>
                <w:sz w:val="24"/>
              </w:rPr>
              <w:t>,</w:t>
            </w:r>
            <w:r>
              <w:rPr>
                <w:sz w:val="24"/>
              </w:rPr>
              <w:t>977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386</w:t>
            </w:r>
            <w:r w:rsidRPr="00AA7C9E"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402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23.68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245</w:t>
            </w:r>
            <w:r w:rsidRPr="00AA7C9E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575</w:t>
            </w:r>
          </w:p>
        </w:tc>
        <w:tc>
          <w:tcPr>
            <w:tcW w:w="1414" w:type="dxa"/>
            <w:shd w:val="clear" w:color="auto" w:fill="auto"/>
            <w:noWrap/>
            <w:vAlign w:val="center"/>
          </w:tcPr>
          <w:p w:rsidR="008138D3" w:rsidRPr="00AA7C9E" w:rsidRDefault="008138D3" w:rsidP="00CC58C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76.32</w:t>
            </w:r>
          </w:p>
        </w:tc>
      </w:tr>
    </w:tbl>
    <w:p w:rsidR="000F32EC" w:rsidRPr="00031ADE" w:rsidRDefault="00004C10" w:rsidP="008138D3">
      <w:pPr>
        <w:spacing w:line="280" w:lineRule="exact"/>
        <w:ind w:leftChars="-20" w:left="1556" w:hangingChars="663" w:hanging="1613"/>
        <w:jc w:val="left"/>
        <w:rPr>
          <w:color w:val="000000"/>
          <w:sz w:val="24"/>
          <w:lang w:val="x-none"/>
        </w:rPr>
      </w:pPr>
      <w:r>
        <w:rPr>
          <w:rFonts w:hint="eastAsia"/>
          <w:color w:val="000000"/>
          <w:sz w:val="24"/>
          <w:lang w:val="x-none"/>
        </w:rPr>
        <w:t xml:space="preserve">   </w:t>
      </w:r>
      <w:r w:rsidR="008138D3">
        <w:rPr>
          <w:rFonts w:hint="eastAsia"/>
          <w:color w:val="000000"/>
          <w:sz w:val="24"/>
          <w:lang w:val="x-none"/>
        </w:rPr>
        <w:t xml:space="preserve"> </w:t>
      </w:r>
      <w:r w:rsidR="000F32EC" w:rsidRPr="00031ADE">
        <w:rPr>
          <w:rFonts w:hint="eastAsia"/>
          <w:color w:val="000000"/>
          <w:sz w:val="24"/>
          <w:lang w:val="x-none"/>
        </w:rPr>
        <w:t>資料來源</w:t>
      </w:r>
      <w:r w:rsidR="000F32EC" w:rsidRPr="00031ADE">
        <w:rPr>
          <w:rFonts w:hint="eastAsia"/>
          <w:color w:val="000000"/>
          <w:sz w:val="24"/>
          <w:szCs w:val="24"/>
          <w:lang w:val="x-none" w:eastAsia="zh-HK"/>
        </w:rPr>
        <w:t>：</w:t>
      </w:r>
      <w:r w:rsidR="008138D3" w:rsidRPr="008138D3">
        <w:rPr>
          <w:rFonts w:hint="eastAsia"/>
          <w:color w:val="000000"/>
          <w:sz w:val="24"/>
          <w:szCs w:val="24"/>
          <w:lang w:val="x-none" w:eastAsia="zh-HK"/>
        </w:rPr>
        <w:t>審計部抽查</w:t>
      </w:r>
      <w:r w:rsidR="00E0606C">
        <w:rPr>
          <w:rFonts w:hint="eastAsia"/>
          <w:color w:val="000000"/>
          <w:sz w:val="24"/>
          <w:szCs w:val="24"/>
          <w:lang w:val="x-none" w:eastAsia="zh-HK"/>
        </w:rPr>
        <w:t>衛福部</w:t>
      </w:r>
      <w:r w:rsidR="008138D3" w:rsidRPr="008138D3">
        <w:rPr>
          <w:rFonts w:hint="eastAsia"/>
          <w:color w:val="000000"/>
          <w:sz w:val="24"/>
          <w:szCs w:val="24"/>
          <w:lang w:val="x-none" w:eastAsia="zh-HK"/>
        </w:rPr>
        <w:t>健保署、</w:t>
      </w:r>
      <w:r w:rsidR="0085435F">
        <w:rPr>
          <w:rFonts w:hint="eastAsia"/>
          <w:color w:val="000000"/>
          <w:sz w:val="24"/>
          <w:szCs w:val="24"/>
          <w:lang w:val="x-none"/>
        </w:rPr>
        <w:t>健保</w:t>
      </w:r>
      <w:r w:rsidR="008138D3" w:rsidRPr="008138D3">
        <w:rPr>
          <w:rFonts w:hint="eastAsia"/>
          <w:color w:val="000000"/>
          <w:sz w:val="24"/>
          <w:szCs w:val="24"/>
          <w:lang w:val="x-none" w:eastAsia="zh-HK"/>
        </w:rPr>
        <w:t>基金及衛生福利特別收入基金所屬</w:t>
      </w:r>
      <w:r w:rsidR="0085435F">
        <w:rPr>
          <w:rFonts w:hint="eastAsia"/>
          <w:color w:val="000000"/>
          <w:sz w:val="24"/>
          <w:szCs w:val="24"/>
          <w:lang w:val="x-none"/>
        </w:rPr>
        <w:t>健保</w:t>
      </w:r>
      <w:r w:rsidR="008138D3" w:rsidRPr="008138D3">
        <w:rPr>
          <w:rFonts w:hint="eastAsia"/>
          <w:color w:val="000000"/>
          <w:sz w:val="24"/>
          <w:szCs w:val="24"/>
          <w:lang w:val="x-none" w:eastAsia="zh-HK"/>
        </w:rPr>
        <w:t>紓困基金113年度財務收支及決算審核通知</w:t>
      </w:r>
      <w:r w:rsidR="000F32EC" w:rsidRPr="00031ADE">
        <w:rPr>
          <w:rFonts w:hint="eastAsia"/>
          <w:color w:val="000000"/>
          <w:sz w:val="24"/>
          <w:szCs w:val="24"/>
          <w:lang w:val="x-none" w:eastAsia="x-none"/>
        </w:rPr>
        <w:t>。</w:t>
      </w:r>
      <w:r w:rsidR="000F32EC" w:rsidRPr="00031ADE">
        <w:rPr>
          <w:rFonts w:ascii="Times New Roman" w:hAnsi="標楷體"/>
          <w:snapToGrid/>
          <w:color w:val="000000"/>
          <w:spacing w:val="-14"/>
          <w:kern w:val="0"/>
          <w:sz w:val="24"/>
          <w:szCs w:val="24"/>
          <w:lang w:val="x-none" w:eastAsia="x-none"/>
        </w:rPr>
        <w:t xml:space="preserve">  </w:t>
      </w:r>
      <w:r w:rsidR="000F32EC" w:rsidRPr="00031ADE">
        <w:rPr>
          <w:rFonts w:hint="eastAsia"/>
          <w:color w:val="000000"/>
          <w:sz w:val="24"/>
          <w:lang w:val="x-none" w:eastAsia="x-none"/>
        </w:rPr>
        <w:t xml:space="preserve"> </w:t>
      </w:r>
    </w:p>
    <w:p w:rsidR="007604A1" w:rsidRPr="006B755D" w:rsidRDefault="008138D3" w:rsidP="006B755D">
      <w:pPr>
        <w:ind w:left="566" w:firstLine="566"/>
        <w:rPr>
          <w:snapToGrid/>
        </w:rPr>
      </w:pPr>
      <w:r>
        <w:rPr>
          <w:rFonts w:hint="eastAsia"/>
          <w:snapToGrid/>
        </w:rPr>
        <w:t>此外，</w:t>
      </w:r>
      <w:r w:rsidRPr="00F73654">
        <w:rPr>
          <w:rFonts w:hint="eastAsia"/>
          <w:snapToGrid/>
        </w:rPr>
        <w:t>113年度</w:t>
      </w:r>
      <w:r>
        <w:rPr>
          <w:rFonts w:hint="eastAsia"/>
          <w:snapToGrid/>
        </w:rPr>
        <w:t>轉入端院所於電子轉診平台填寫聯繫結果計</w:t>
      </w:r>
      <w:r w:rsidRPr="00F73654">
        <w:rPr>
          <w:rFonts w:hint="eastAsia"/>
          <w:snapToGrid/>
        </w:rPr>
        <w:t>124萬</w:t>
      </w:r>
      <w:r>
        <w:rPr>
          <w:rFonts w:hint="eastAsia"/>
          <w:snapToGrid/>
        </w:rPr>
        <w:t>5</w:t>
      </w:r>
      <w:r w:rsidRPr="00F73654">
        <w:rPr>
          <w:rFonts w:hint="eastAsia"/>
          <w:snapToGrid/>
        </w:rPr>
        <w:t>,</w:t>
      </w:r>
      <w:r>
        <w:rPr>
          <w:rFonts w:hint="eastAsia"/>
          <w:snapToGrid/>
        </w:rPr>
        <w:t>575</w:t>
      </w:r>
      <w:r w:rsidRPr="00F73654">
        <w:rPr>
          <w:rFonts w:hint="eastAsia"/>
          <w:snapToGrid/>
        </w:rPr>
        <w:t>件，</w:t>
      </w:r>
      <w:r>
        <w:rPr>
          <w:rFonts w:hint="eastAsia"/>
          <w:snapToGrid/>
        </w:rPr>
        <w:t>件數雖係109年度以來最高，然</w:t>
      </w:r>
      <w:r w:rsidRPr="00F73654">
        <w:rPr>
          <w:rFonts w:hint="eastAsia"/>
          <w:snapToGrid/>
        </w:rPr>
        <w:t>逾30日處理完成者</w:t>
      </w:r>
      <w:r>
        <w:rPr>
          <w:rFonts w:hint="eastAsia"/>
          <w:snapToGrid/>
        </w:rPr>
        <w:t>計</w:t>
      </w:r>
      <w:r w:rsidRPr="00F73654">
        <w:rPr>
          <w:rFonts w:hint="eastAsia"/>
          <w:snapToGrid/>
        </w:rPr>
        <w:t>2</w:t>
      </w:r>
      <w:r>
        <w:rPr>
          <w:rFonts w:hint="eastAsia"/>
          <w:snapToGrid/>
        </w:rPr>
        <w:t>5</w:t>
      </w:r>
      <w:r w:rsidRPr="00F73654">
        <w:rPr>
          <w:rFonts w:hint="eastAsia"/>
          <w:snapToGrid/>
        </w:rPr>
        <w:t>萬</w:t>
      </w:r>
      <w:r>
        <w:rPr>
          <w:rFonts w:hint="eastAsia"/>
          <w:snapToGrid/>
        </w:rPr>
        <w:t>5</w:t>
      </w:r>
      <w:r w:rsidRPr="00F73654">
        <w:rPr>
          <w:rFonts w:hint="eastAsia"/>
          <w:snapToGrid/>
        </w:rPr>
        <w:t>,</w:t>
      </w:r>
      <w:r>
        <w:rPr>
          <w:rFonts w:hint="eastAsia"/>
          <w:snapToGrid/>
        </w:rPr>
        <w:t>225</w:t>
      </w:r>
      <w:r w:rsidRPr="00F73654">
        <w:rPr>
          <w:rFonts w:hint="eastAsia"/>
          <w:snapToGrid/>
        </w:rPr>
        <w:t>件</w:t>
      </w:r>
      <w:r>
        <w:rPr>
          <w:rFonts w:hint="eastAsia"/>
          <w:snapToGrid/>
        </w:rPr>
        <w:t>(占比</w:t>
      </w:r>
      <w:r w:rsidRPr="00F73654">
        <w:rPr>
          <w:rFonts w:hint="eastAsia"/>
          <w:snapToGrid/>
        </w:rPr>
        <w:t>20.49</w:t>
      </w:r>
      <w:r>
        <w:rPr>
          <w:rFonts w:hint="eastAsia"/>
          <w:snapToGrid/>
        </w:rPr>
        <w:t>%)</w:t>
      </w:r>
      <w:r w:rsidRPr="00F73654">
        <w:rPr>
          <w:rFonts w:hint="eastAsia"/>
          <w:snapToGrid/>
        </w:rPr>
        <w:t>，</w:t>
      </w:r>
      <w:r>
        <w:rPr>
          <w:rFonts w:hint="eastAsia"/>
          <w:snapToGrid/>
        </w:rPr>
        <w:t>且</w:t>
      </w:r>
      <w:r w:rsidRPr="00F73654">
        <w:rPr>
          <w:rFonts w:hint="eastAsia"/>
          <w:snapToGrid/>
        </w:rPr>
        <w:t>逾轉診單有效期限（90日）</w:t>
      </w:r>
      <w:r>
        <w:rPr>
          <w:rFonts w:hint="eastAsia"/>
          <w:snapToGrid/>
        </w:rPr>
        <w:t>始</w:t>
      </w:r>
      <w:r w:rsidRPr="00F73654">
        <w:rPr>
          <w:rFonts w:hint="eastAsia"/>
          <w:snapToGrid/>
        </w:rPr>
        <w:t>處理完成者約5.59</w:t>
      </w:r>
      <w:r>
        <w:rPr>
          <w:rFonts w:hint="eastAsia"/>
          <w:snapToGrid/>
        </w:rPr>
        <w:t>%</w:t>
      </w:r>
      <w:r w:rsidRPr="00F73654">
        <w:rPr>
          <w:rFonts w:hint="eastAsia"/>
          <w:snapToGrid/>
        </w:rPr>
        <w:t>，處理效能</w:t>
      </w:r>
      <w:r>
        <w:rPr>
          <w:rFonts w:hint="eastAsia"/>
          <w:snapToGrid/>
        </w:rPr>
        <w:t>有</w:t>
      </w:r>
      <w:r w:rsidRPr="00F73654">
        <w:rPr>
          <w:rFonts w:hint="eastAsia"/>
          <w:snapToGrid/>
        </w:rPr>
        <w:t>待改善</w:t>
      </w:r>
      <w:r>
        <w:rPr>
          <w:rFonts w:hint="eastAsia"/>
          <w:snapToGrid/>
        </w:rPr>
        <w:t>。據健保署說明，</w:t>
      </w:r>
      <w:r w:rsidRPr="00F73654">
        <w:rPr>
          <w:rFonts w:hint="eastAsia"/>
          <w:snapToGrid/>
        </w:rPr>
        <w:t>將取消紙本轉診獎勵，並持續向醫療院所宣導使用電子轉診平臺及完整登錄病人處置情形</w:t>
      </w:r>
      <w:r>
        <w:rPr>
          <w:rFonts w:hint="eastAsia"/>
          <w:snapToGrid/>
        </w:rPr>
        <w:t>、</w:t>
      </w:r>
      <w:r w:rsidRPr="00F73654">
        <w:rPr>
          <w:rFonts w:hint="eastAsia"/>
          <w:snapToGrid/>
        </w:rPr>
        <w:t>鼓勵醫療院所增設聯繫病人方式，如</w:t>
      </w:r>
      <w:r w:rsidRPr="003F15DD">
        <w:rPr>
          <w:rFonts w:hAnsi="標楷體" w:hint="eastAsia"/>
          <w:snapToGrid/>
        </w:rPr>
        <w:t>：</w:t>
      </w:r>
      <w:r w:rsidRPr="00F73654">
        <w:rPr>
          <w:rFonts w:hint="eastAsia"/>
          <w:snapToGrid/>
        </w:rPr>
        <w:t>以簡訊通知病人安排掛號，</w:t>
      </w:r>
      <w:r>
        <w:rPr>
          <w:rFonts w:hint="eastAsia"/>
          <w:snapToGrid/>
        </w:rPr>
        <w:t>俾</w:t>
      </w:r>
      <w:r w:rsidRPr="00F73654">
        <w:rPr>
          <w:rFonts w:hint="eastAsia"/>
          <w:snapToGrid/>
        </w:rPr>
        <w:t>即時傳遞訊息及提升轉診效率</w:t>
      </w:r>
      <w:r w:rsidR="000F32EC">
        <w:rPr>
          <w:rFonts w:hint="eastAsia"/>
          <w:snapToGrid/>
        </w:rPr>
        <w:t>。</w:t>
      </w:r>
    </w:p>
    <w:p w:rsidR="00166061" w:rsidRDefault="007604A1" w:rsidP="009A0E6C">
      <w:pPr>
        <w:ind w:left="566" w:firstLine="566"/>
      </w:pPr>
      <w:r w:rsidRPr="007604A1">
        <w:rPr>
          <w:rFonts w:hAnsi="標楷體" w:hint="eastAsia"/>
        </w:rPr>
        <w:t>綜上，</w:t>
      </w:r>
      <w:r w:rsidR="008138D3" w:rsidRPr="008138D3">
        <w:rPr>
          <w:rFonts w:hAnsi="標楷體" w:hint="eastAsia"/>
        </w:rPr>
        <w:t>健保署雖建置電子轉診平台，惟部分醫療院所仍以紙本作業，且109至113年度轉入端院所於電子轉診平台填寫聯繫結果比率逐年減少，亟待檢討改善，俾提升轉診效率</w:t>
      </w:r>
      <w:r w:rsidRPr="007604A1">
        <w:rPr>
          <w:rFonts w:hint="eastAsia"/>
        </w:rPr>
        <w:t>。</w:t>
      </w:r>
    </w:p>
    <w:bookmarkEnd w:id="5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52481" w:rsidRPr="00C52481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2481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AC280AA-F453-4036-A411-246C6DD4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FD754-DE2E-4F22-A8D4-35B03982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