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E17235" w:rsidRPr="00D40DD5" w:rsidRDefault="00E17235" w:rsidP="00E17235">
      <w:pPr>
        <w:pStyle w:val="14"/>
        <w:ind w:left="567" w:hanging="567"/>
      </w:pPr>
      <w:bookmarkStart w:id="48" w:name="_Toc224307348"/>
      <w:bookmarkStart w:id="49" w:name="_Toc22527077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八、</w:t>
      </w:r>
      <w:r w:rsidRPr="00CC13BC">
        <w:rPr>
          <w:rFonts w:hint="eastAsia"/>
        </w:rPr>
        <w:t>菸害防制及衛生保健基金持續</w:t>
      </w:r>
      <w:r>
        <w:rPr>
          <w:rFonts w:hint="eastAsia"/>
        </w:rPr>
        <w:t>辦理癌症及衛生保健</w:t>
      </w:r>
      <w:r w:rsidRPr="00CC13BC">
        <w:rPr>
          <w:rFonts w:hint="eastAsia"/>
        </w:rPr>
        <w:t>工作，惟</w:t>
      </w:r>
      <w:r>
        <w:rPr>
          <w:rFonts w:hint="eastAsia"/>
        </w:rPr>
        <w:t>部分癌症篩檢陽性個案追蹤率未達年度目標平均值，且近年學齡前兒童視力異常比</w:t>
      </w:r>
      <w:r w:rsidRPr="00CC13BC">
        <w:rPr>
          <w:rFonts w:hint="eastAsia"/>
        </w:rPr>
        <w:t>率</w:t>
      </w:r>
      <w:r>
        <w:rPr>
          <w:rFonts w:hint="eastAsia"/>
        </w:rPr>
        <w:t>有</w:t>
      </w:r>
      <w:r w:rsidRPr="00CC13BC">
        <w:rPr>
          <w:rFonts w:hint="eastAsia"/>
        </w:rPr>
        <w:t>升高</w:t>
      </w:r>
      <w:r>
        <w:rPr>
          <w:rFonts w:hint="eastAsia"/>
        </w:rPr>
        <w:t>趨勢</w:t>
      </w:r>
      <w:r w:rsidRPr="00CC13BC">
        <w:rPr>
          <w:rFonts w:hint="eastAsia"/>
        </w:rPr>
        <w:t>，宜</w:t>
      </w:r>
      <w:r>
        <w:rPr>
          <w:rFonts w:hint="eastAsia"/>
        </w:rPr>
        <w:t>加強推動相關防治及預防工作</w:t>
      </w:r>
      <w:bookmarkEnd w:id="48"/>
      <w:bookmarkEnd w:id="49"/>
    </w:p>
    <w:p w:rsidR="00E17235" w:rsidRDefault="00E17235" w:rsidP="00E17235">
      <w:pPr>
        <w:ind w:left="566" w:firstLine="566"/>
        <w:rPr>
          <w:rFonts w:hAnsi="標楷體"/>
        </w:rPr>
      </w:pPr>
      <w:r w:rsidRPr="00783D19">
        <w:rPr>
          <w:rFonts w:hint="eastAsia"/>
        </w:rPr>
        <w:t>菸害防制及衛生保健基金11</w:t>
      </w:r>
      <w:r>
        <w:rPr>
          <w:rFonts w:hint="eastAsia"/>
        </w:rPr>
        <w:t>3</w:t>
      </w:r>
      <w:r w:rsidRPr="00783D19">
        <w:rPr>
          <w:rFonts w:hint="eastAsia"/>
        </w:rPr>
        <w:t>年度</w:t>
      </w:r>
      <w:r>
        <w:rPr>
          <w:rFonts w:hint="eastAsia"/>
        </w:rPr>
        <w:t>辦理</w:t>
      </w:r>
      <w:r w:rsidRPr="00783D19">
        <w:rPr>
          <w:rFonts w:hint="eastAsia"/>
        </w:rPr>
        <w:t>「菸害防制及衛生保健計畫」</w:t>
      </w:r>
      <w:r>
        <w:rPr>
          <w:rFonts w:hint="eastAsia"/>
        </w:rPr>
        <w:t>，其中</w:t>
      </w:r>
      <w:r>
        <w:rPr>
          <w:rFonts w:hAnsi="標楷體" w:hint="eastAsia"/>
        </w:rPr>
        <w:t>「</w:t>
      </w:r>
      <w:r>
        <w:rPr>
          <w:rFonts w:hint="eastAsia"/>
        </w:rPr>
        <w:t>癌症</w:t>
      </w:r>
      <w:r w:rsidRPr="00783D19">
        <w:rPr>
          <w:rFonts w:hint="eastAsia"/>
        </w:rPr>
        <w:t>防</w:t>
      </w:r>
      <w:r>
        <w:rPr>
          <w:rFonts w:hint="eastAsia"/>
        </w:rPr>
        <w:t>治</w:t>
      </w:r>
      <w:r w:rsidRPr="00783D19">
        <w:rPr>
          <w:rFonts w:hint="eastAsia"/>
        </w:rPr>
        <w:t>工作</w:t>
      </w:r>
      <w:r>
        <w:rPr>
          <w:rFonts w:hint="eastAsia"/>
        </w:rPr>
        <w:t>計畫</w:t>
      </w:r>
      <w:r>
        <w:rPr>
          <w:rFonts w:hAnsi="標楷體" w:hint="eastAsia"/>
        </w:rPr>
        <w:t>」</w:t>
      </w:r>
      <w:r w:rsidRPr="00783D19">
        <w:rPr>
          <w:rFonts w:hint="eastAsia"/>
        </w:rPr>
        <w:t>預算數</w:t>
      </w:r>
      <w:r>
        <w:rPr>
          <w:rFonts w:hint="eastAsia"/>
        </w:rPr>
        <w:t>41</w:t>
      </w:r>
      <w:r w:rsidRPr="00783D19">
        <w:rPr>
          <w:rFonts w:hint="eastAsia"/>
        </w:rPr>
        <w:t>億</w:t>
      </w:r>
      <w:r>
        <w:rPr>
          <w:rFonts w:hint="eastAsia"/>
        </w:rPr>
        <w:t>7</w:t>
      </w:r>
      <w:r>
        <w:t>,</w:t>
      </w:r>
      <w:r>
        <w:rPr>
          <w:rFonts w:hint="eastAsia"/>
        </w:rPr>
        <w:t>104</w:t>
      </w:r>
      <w:r w:rsidRPr="00783D19">
        <w:rPr>
          <w:rFonts w:hint="eastAsia"/>
        </w:rPr>
        <w:t>萬</w:t>
      </w:r>
      <w:r>
        <w:t>2</w:t>
      </w:r>
      <w:r w:rsidRPr="00783D19">
        <w:rPr>
          <w:rFonts w:hint="eastAsia"/>
        </w:rPr>
        <w:t>千元，決算數</w:t>
      </w:r>
      <w:r>
        <w:rPr>
          <w:rFonts w:hint="eastAsia"/>
        </w:rPr>
        <w:t>40</w:t>
      </w:r>
      <w:r w:rsidRPr="00783D19">
        <w:rPr>
          <w:rFonts w:hint="eastAsia"/>
        </w:rPr>
        <w:t>億</w:t>
      </w:r>
      <w:r>
        <w:rPr>
          <w:rFonts w:hint="eastAsia"/>
        </w:rPr>
        <w:t>4</w:t>
      </w:r>
      <w:r w:rsidRPr="00783D19">
        <w:rPr>
          <w:rFonts w:hint="eastAsia"/>
        </w:rPr>
        <w:t>,</w:t>
      </w:r>
      <w:r>
        <w:rPr>
          <w:rFonts w:hint="eastAsia"/>
        </w:rPr>
        <w:t>175</w:t>
      </w:r>
      <w:r w:rsidRPr="00783D19">
        <w:rPr>
          <w:rFonts w:hint="eastAsia"/>
        </w:rPr>
        <w:t>萬</w:t>
      </w:r>
      <w:r>
        <w:rPr>
          <w:rFonts w:hint="eastAsia"/>
        </w:rPr>
        <w:t>2</w:t>
      </w:r>
      <w:r w:rsidRPr="00783D19">
        <w:rPr>
          <w:rFonts w:hint="eastAsia"/>
        </w:rPr>
        <w:t>千元，執行率</w:t>
      </w:r>
      <w:r>
        <w:rPr>
          <w:rFonts w:hint="eastAsia"/>
        </w:rPr>
        <w:t>96</w:t>
      </w:r>
      <w:r w:rsidRPr="00783D19">
        <w:rPr>
          <w:rFonts w:hint="eastAsia"/>
        </w:rPr>
        <w:t>.</w:t>
      </w:r>
      <w:r>
        <w:rPr>
          <w:rFonts w:hint="eastAsia"/>
        </w:rPr>
        <w:t>9</w:t>
      </w:r>
      <w:r w:rsidRPr="00783D19">
        <w:rPr>
          <w:rFonts w:hint="eastAsia"/>
        </w:rPr>
        <w:t>%</w:t>
      </w:r>
      <w:r>
        <w:rPr>
          <w:rFonts w:hint="eastAsia"/>
        </w:rPr>
        <w:t>；另</w:t>
      </w:r>
      <w:r>
        <w:rPr>
          <w:rFonts w:hAnsi="標楷體" w:hint="eastAsia"/>
        </w:rPr>
        <w:t>「</w:t>
      </w:r>
      <w:r>
        <w:rPr>
          <w:rFonts w:hint="eastAsia"/>
        </w:rPr>
        <w:t>衛生保健</w:t>
      </w:r>
      <w:r w:rsidRPr="00783D19">
        <w:rPr>
          <w:rFonts w:hint="eastAsia"/>
        </w:rPr>
        <w:t>工作</w:t>
      </w:r>
      <w:r>
        <w:rPr>
          <w:rFonts w:hint="eastAsia"/>
        </w:rPr>
        <w:t>計畫</w:t>
      </w:r>
      <w:r w:rsidRPr="00783D19">
        <w:rPr>
          <w:rFonts w:hint="eastAsia"/>
        </w:rPr>
        <w:t>」預算數2</w:t>
      </w:r>
      <w:r>
        <w:rPr>
          <w:rFonts w:hint="eastAsia"/>
        </w:rPr>
        <w:t>8</w:t>
      </w:r>
      <w:r w:rsidRPr="00783D19">
        <w:rPr>
          <w:rFonts w:hint="eastAsia"/>
        </w:rPr>
        <w:t>億</w:t>
      </w:r>
      <w:r>
        <w:rPr>
          <w:rFonts w:hint="eastAsia"/>
        </w:rPr>
        <w:t>3</w:t>
      </w:r>
      <w:r>
        <w:t>,</w:t>
      </w:r>
      <w:r>
        <w:rPr>
          <w:rFonts w:hint="eastAsia"/>
        </w:rPr>
        <w:t>84</w:t>
      </w:r>
      <w:r>
        <w:t>4</w:t>
      </w:r>
      <w:r w:rsidRPr="00783D19">
        <w:rPr>
          <w:rFonts w:hint="eastAsia"/>
        </w:rPr>
        <w:t>萬元，決算數</w:t>
      </w:r>
      <w:r>
        <w:rPr>
          <w:rFonts w:hint="eastAsia"/>
        </w:rPr>
        <w:t>26</w:t>
      </w:r>
      <w:r w:rsidRPr="00783D19">
        <w:rPr>
          <w:rFonts w:hint="eastAsia"/>
        </w:rPr>
        <w:t>億</w:t>
      </w:r>
      <w:r>
        <w:rPr>
          <w:rFonts w:hint="eastAsia"/>
        </w:rPr>
        <w:t>3</w:t>
      </w:r>
      <w:r w:rsidRPr="00783D19">
        <w:rPr>
          <w:rFonts w:hint="eastAsia"/>
        </w:rPr>
        <w:t>,</w:t>
      </w:r>
      <w:r>
        <w:rPr>
          <w:rFonts w:hint="eastAsia"/>
        </w:rPr>
        <w:t>45</w:t>
      </w:r>
      <w:r>
        <w:t>7</w:t>
      </w:r>
      <w:r w:rsidRPr="00783D19">
        <w:rPr>
          <w:rFonts w:hint="eastAsia"/>
        </w:rPr>
        <w:t>萬</w:t>
      </w:r>
      <w:r>
        <w:rPr>
          <w:rFonts w:hint="eastAsia"/>
        </w:rPr>
        <w:t>9</w:t>
      </w:r>
      <w:r w:rsidRPr="00783D19">
        <w:rPr>
          <w:rFonts w:hint="eastAsia"/>
        </w:rPr>
        <w:t>千元，執行率</w:t>
      </w:r>
      <w:r>
        <w:rPr>
          <w:rFonts w:hint="eastAsia"/>
        </w:rPr>
        <w:t>92</w:t>
      </w:r>
      <w:r w:rsidRPr="00783D19">
        <w:rPr>
          <w:rFonts w:hint="eastAsia"/>
        </w:rPr>
        <w:t>.</w:t>
      </w:r>
      <w:r>
        <w:rPr>
          <w:rFonts w:hint="eastAsia"/>
        </w:rPr>
        <w:t>82</w:t>
      </w:r>
      <w:r w:rsidRPr="00783D19">
        <w:rPr>
          <w:rFonts w:hint="eastAsia"/>
        </w:rPr>
        <w:t>%。經查</w:t>
      </w:r>
      <w:r>
        <w:rPr>
          <w:rFonts w:hAnsi="標楷體" w:hint="eastAsia"/>
        </w:rPr>
        <w:t>：</w:t>
      </w:r>
    </w:p>
    <w:p w:rsidR="00E17235" w:rsidRPr="004E428E" w:rsidRDefault="00E17235" w:rsidP="00E17235">
      <w:pPr>
        <w:pStyle w:val="a5"/>
        <w:ind w:left="849" w:hanging="283"/>
        <w:rPr>
          <w:rFonts w:hint="eastAsia"/>
          <w:b/>
        </w:rPr>
      </w:pPr>
      <w:r w:rsidRPr="004E428E">
        <w:rPr>
          <w:rFonts w:hint="eastAsia"/>
          <w:b/>
        </w:rPr>
        <w:t>(一)</w:t>
      </w:r>
      <w:r>
        <w:rPr>
          <w:rFonts w:hint="eastAsia"/>
          <w:b/>
        </w:rPr>
        <w:t>近年來大腸</w:t>
      </w:r>
      <w:r w:rsidRPr="005D52CF">
        <w:rPr>
          <w:rFonts w:hint="eastAsia"/>
          <w:b/>
        </w:rPr>
        <w:t>癌</w:t>
      </w:r>
      <w:r>
        <w:rPr>
          <w:rFonts w:hint="eastAsia"/>
          <w:b/>
        </w:rPr>
        <w:t>及口腔癌</w:t>
      </w:r>
      <w:r w:rsidRPr="005D52CF">
        <w:rPr>
          <w:rFonts w:hint="eastAsia"/>
          <w:b/>
        </w:rPr>
        <w:t>篩檢陽性</w:t>
      </w:r>
      <w:r>
        <w:rPr>
          <w:rFonts w:hint="eastAsia"/>
          <w:b/>
        </w:rPr>
        <w:t>個案</w:t>
      </w:r>
      <w:r w:rsidRPr="005D52CF">
        <w:rPr>
          <w:rFonts w:hint="eastAsia"/>
          <w:b/>
        </w:rPr>
        <w:t>追蹤率</w:t>
      </w:r>
      <w:r>
        <w:rPr>
          <w:rFonts w:hint="eastAsia"/>
          <w:b/>
        </w:rPr>
        <w:t>尚有</w:t>
      </w:r>
      <w:r w:rsidRPr="005D52CF">
        <w:rPr>
          <w:rFonts w:hint="eastAsia"/>
          <w:b/>
        </w:rPr>
        <w:t>未達年度目標</w:t>
      </w:r>
      <w:r>
        <w:rPr>
          <w:rFonts w:hint="eastAsia"/>
          <w:b/>
        </w:rPr>
        <w:t>平均</w:t>
      </w:r>
      <w:r w:rsidRPr="005D52CF">
        <w:rPr>
          <w:rFonts w:hint="eastAsia"/>
          <w:b/>
        </w:rPr>
        <w:t>值</w:t>
      </w:r>
      <w:r>
        <w:rPr>
          <w:rFonts w:hint="eastAsia"/>
          <w:b/>
        </w:rPr>
        <w:t>之情形，且113年度口腔癌陽性個案追蹤率大幅降低，允宜積極研謀改善</w:t>
      </w:r>
    </w:p>
    <w:p w:rsidR="00E17235" w:rsidRDefault="00E17235" w:rsidP="00E17235">
      <w:pPr>
        <w:pStyle w:val="21"/>
        <w:ind w:left="850" w:firstLine="566"/>
      </w:pPr>
      <w:r>
        <w:rPr>
          <w:rFonts w:hint="eastAsia"/>
        </w:rPr>
        <w:t>依菸害防制法第4條暨菸品健康福利捐分配及運作辦法相關規定，菸品健康福利捐分配於菸害防制及衛生保健，並辦理癌症防治等相關工作。為強化癌症預防及早期發現，菸害防制及衛生保健基金持續推動重要癌症篩檢，期以發展癌症精準預防健康服務，降低癌症病人死亡率</w:t>
      </w:r>
      <w:r w:rsidRPr="00852D01">
        <w:rPr>
          <w:rFonts w:hint="eastAsia"/>
        </w:rPr>
        <w:t>；</w:t>
      </w:r>
      <w:r>
        <w:rPr>
          <w:rFonts w:hint="eastAsia"/>
        </w:rPr>
        <w:t>其中</w:t>
      </w:r>
      <w:r w:rsidRPr="00852D01">
        <w:rPr>
          <w:rFonts w:hint="eastAsia"/>
        </w:rPr>
        <w:t>癌症篩檢陽性個案尚須進一步完成診斷與治療，方能提升篩檢效益，</w:t>
      </w:r>
      <w:r>
        <w:rPr>
          <w:rFonts w:hint="eastAsia"/>
        </w:rPr>
        <w:t>109至</w:t>
      </w:r>
      <w:r w:rsidRPr="00852D01">
        <w:rPr>
          <w:rFonts w:hint="eastAsia"/>
        </w:rPr>
        <w:t>11</w:t>
      </w:r>
      <w:r>
        <w:rPr>
          <w:rFonts w:hint="eastAsia"/>
        </w:rPr>
        <w:t>3年度將子宮頸癌、</w:t>
      </w:r>
      <w:r w:rsidRPr="00852D01">
        <w:rPr>
          <w:rFonts w:hint="eastAsia"/>
        </w:rPr>
        <w:t>乳癌</w:t>
      </w:r>
      <w:r>
        <w:rPr>
          <w:rFonts w:hint="eastAsia"/>
        </w:rPr>
        <w:t>、大腸癌及口腔癌等4項篩檢</w:t>
      </w:r>
      <w:r w:rsidRPr="00852D01">
        <w:rPr>
          <w:rFonts w:hint="eastAsia"/>
        </w:rPr>
        <w:t>陽性個案追蹤率</w:t>
      </w:r>
      <w:r>
        <w:rPr>
          <w:rFonts w:hint="eastAsia"/>
        </w:rPr>
        <w:t>之年度目標平均值設定為85%。</w:t>
      </w:r>
    </w:p>
    <w:p w:rsidR="001E0C47" w:rsidRDefault="00E17235" w:rsidP="00225EC3">
      <w:pPr>
        <w:pStyle w:val="21"/>
        <w:ind w:left="850" w:firstLine="566"/>
        <w:rPr>
          <w:b/>
          <w:bCs/>
        </w:rPr>
      </w:pPr>
      <w:r>
        <w:rPr>
          <w:rFonts w:hint="eastAsia"/>
        </w:rPr>
        <w:t>經檢視國民健康署提供之上述4項癌症篩檢陽性個案追蹤率統計資料顯示，109至113年度大腸癌及口腔癌陽性個案追蹤率均未達82%，尚低於年度目標平均值85%；其中113年度口腔癌僅77.4%，較112年度大幅下降逾4個百分點，該年度子宮頸癌陽性個案追蹤率為92.8%，亦較112年度下降1.7個百分點</w:t>
      </w:r>
      <w:r w:rsidRPr="00852D01">
        <w:rPr>
          <w:rFonts w:hint="eastAsia"/>
        </w:rPr>
        <w:t>(詳</w:t>
      </w:r>
      <w:r w:rsidRPr="00852D01">
        <w:rPr>
          <w:rFonts w:hint="eastAsia"/>
        </w:rPr>
        <w:lastRenderedPageBreak/>
        <w:t>表</w:t>
      </w:r>
      <w:r>
        <w:rPr>
          <w:rFonts w:hint="eastAsia"/>
        </w:rPr>
        <w:t>1</w:t>
      </w:r>
      <w:r w:rsidRPr="00852D01">
        <w:rPr>
          <w:rFonts w:hint="eastAsia"/>
        </w:rPr>
        <w:t>)</w:t>
      </w:r>
      <w:r>
        <w:rPr>
          <w:rFonts w:hint="eastAsia"/>
        </w:rPr>
        <w:t>。允宜深入瞭解大腸癌及口腔癌篩檢陽性個案追蹤率持續偏低及113年度口腔癌追蹤率大幅降低原因，</w:t>
      </w:r>
      <w:r w:rsidRPr="00852D01">
        <w:rPr>
          <w:rFonts w:hint="eastAsia"/>
        </w:rPr>
        <w:t>研謀改善。</w:t>
      </w:r>
    </w:p>
    <w:p w:rsidR="0074071E" w:rsidRDefault="001E0C47" w:rsidP="00E17235">
      <w:pPr>
        <w:pStyle w:val="200"/>
        <w:ind w:leftChars="-19" w:hangingChars="19" w:hanging="54"/>
        <w:rPr>
          <w:b/>
          <w:bCs/>
          <w:sz w:val="28"/>
        </w:rPr>
      </w:pPr>
      <w:r>
        <w:rPr>
          <w:rFonts w:hint="eastAsia"/>
          <w:b/>
          <w:bCs/>
          <w:sz w:val="28"/>
        </w:rPr>
        <w:t xml:space="preserve">    </w:t>
      </w:r>
    </w:p>
    <w:p w:rsidR="00E17235" w:rsidRPr="00421DAF" w:rsidRDefault="0074071E" w:rsidP="00E17235">
      <w:pPr>
        <w:pStyle w:val="200"/>
        <w:ind w:leftChars="-19" w:hangingChars="19" w:hanging="54"/>
        <w:rPr>
          <w:szCs w:val="24"/>
        </w:rPr>
      </w:pPr>
      <w:r>
        <w:rPr>
          <w:rFonts w:hint="eastAsia"/>
          <w:b/>
          <w:bCs/>
          <w:sz w:val="28"/>
        </w:rPr>
        <w:t xml:space="preserve">    </w:t>
      </w:r>
      <w:r w:rsidR="00E17235" w:rsidRPr="00DC0746">
        <w:rPr>
          <w:rFonts w:hint="eastAsia"/>
          <w:b/>
          <w:bCs/>
          <w:sz w:val="28"/>
        </w:rPr>
        <w:t xml:space="preserve">表1  </w:t>
      </w:r>
      <w:r w:rsidR="00E17235" w:rsidRPr="00DC0746">
        <w:rPr>
          <w:rFonts w:hAnsi="標楷體" w:hint="eastAsia"/>
          <w:b/>
          <w:bCs/>
          <w:sz w:val="28"/>
        </w:rPr>
        <w:t>10</w:t>
      </w:r>
      <w:r w:rsidR="00E17235">
        <w:rPr>
          <w:rFonts w:hAnsi="標楷體" w:hint="eastAsia"/>
          <w:b/>
          <w:bCs/>
          <w:sz w:val="28"/>
        </w:rPr>
        <w:t>9</w:t>
      </w:r>
      <w:r w:rsidR="00E17235" w:rsidRPr="00DC0746">
        <w:rPr>
          <w:rFonts w:hAnsi="標楷體" w:hint="eastAsia"/>
          <w:b/>
          <w:bCs/>
          <w:sz w:val="28"/>
        </w:rPr>
        <w:t>至11</w:t>
      </w:r>
      <w:r w:rsidR="00E17235">
        <w:rPr>
          <w:rFonts w:hAnsi="標楷體" w:hint="eastAsia"/>
          <w:b/>
          <w:bCs/>
          <w:sz w:val="28"/>
        </w:rPr>
        <w:t>3</w:t>
      </w:r>
      <w:r w:rsidR="00E17235" w:rsidRPr="00DC0746">
        <w:rPr>
          <w:rFonts w:hAnsi="標楷體" w:hint="eastAsia"/>
          <w:b/>
          <w:bCs/>
          <w:sz w:val="28"/>
        </w:rPr>
        <w:t>年度4項</w:t>
      </w:r>
      <w:r w:rsidR="00E17235" w:rsidRPr="00DC0746">
        <w:rPr>
          <w:rFonts w:hint="eastAsia"/>
          <w:b/>
          <w:bCs/>
          <w:sz w:val="28"/>
        </w:rPr>
        <w:t>癌症篩檢陽性個案追蹤率情形表</w:t>
      </w:r>
      <w:r w:rsidR="00E17235">
        <w:rPr>
          <w:rFonts w:hint="eastAsia"/>
          <w:szCs w:val="24"/>
        </w:rPr>
        <w:t xml:space="preserve"> </w:t>
      </w:r>
      <w:r w:rsidR="00E17235" w:rsidRPr="00421DAF">
        <w:rPr>
          <w:rFonts w:hint="eastAsia"/>
          <w:szCs w:val="24"/>
        </w:rPr>
        <w:t>單位：%</w:t>
      </w:r>
    </w:p>
    <w:tbl>
      <w:tblPr>
        <w:tblW w:w="7973" w:type="dxa"/>
        <w:tblInd w:w="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2"/>
        <w:gridCol w:w="1650"/>
        <w:gridCol w:w="1752"/>
        <w:gridCol w:w="1548"/>
        <w:gridCol w:w="1651"/>
      </w:tblGrid>
      <w:tr w:rsidR="00E17235" w:rsidRPr="00421DAF" w:rsidTr="001E0C47">
        <w:trPr>
          <w:trHeight w:val="754"/>
          <w:tblHeader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2" w:space="0" w:color="auto"/>
            </w:tcBorders>
            <w:vAlign w:val="center"/>
            <w:hideMark/>
          </w:tcPr>
          <w:p w:rsidR="00E17235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癌篩項目</w:t>
            </w:r>
          </w:p>
          <w:p w:rsidR="00E17235" w:rsidRDefault="00E17235" w:rsidP="00B4366B">
            <w:pPr>
              <w:pStyle w:val="142"/>
            </w:pPr>
          </w:p>
          <w:p w:rsidR="00E17235" w:rsidRPr="00421DAF" w:rsidRDefault="00E17235" w:rsidP="00B4366B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6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乳癌篩檢陽性個案追蹤率</w:t>
            </w:r>
          </w:p>
        </w:tc>
        <w:tc>
          <w:tcPr>
            <w:tcW w:w="17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子宮頸癌篩檢陽性個案追蹤率</w:t>
            </w:r>
          </w:p>
        </w:tc>
        <w:tc>
          <w:tcPr>
            <w:tcW w:w="15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大腸癌篩檢陽性個案追蹤率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口腔癌篩檢陽性個案追蹤率</w:t>
            </w:r>
          </w:p>
        </w:tc>
      </w:tr>
      <w:tr w:rsidR="00E17235" w:rsidRPr="00421DAF" w:rsidTr="001E0C47">
        <w:trPr>
          <w:trHeight w:val="340"/>
        </w:trPr>
        <w:tc>
          <w:tcPr>
            <w:tcW w:w="13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109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92.</w:t>
            </w:r>
            <w:r w:rsidRPr="00421DAF">
              <w:t>9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9</w:t>
            </w:r>
            <w:r>
              <w:rPr>
                <w:rFonts w:hint="eastAsia"/>
              </w:rPr>
              <w:t>2</w:t>
            </w:r>
            <w:r w:rsidRPr="00421DAF">
              <w:rPr>
                <w:rFonts w:hint="eastAsia"/>
              </w:rPr>
              <w:t>.</w:t>
            </w:r>
            <w:r>
              <w:rPr>
                <w:rFonts w:hint="eastAsia"/>
              </w:rPr>
              <w:t>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76.</w:t>
            </w:r>
            <w:r w:rsidRPr="00421DAF">
              <w:t>9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8</w:t>
            </w:r>
            <w:r w:rsidRPr="00421DAF">
              <w:t>1.</w:t>
            </w:r>
            <w:r>
              <w:rPr>
                <w:rFonts w:hint="eastAsia"/>
              </w:rPr>
              <w:t>1</w:t>
            </w:r>
          </w:p>
        </w:tc>
      </w:tr>
      <w:tr w:rsidR="00E17235" w:rsidRPr="00421DAF" w:rsidTr="001E0C47">
        <w:trPr>
          <w:trHeight w:val="340"/>
        </w:trPr>
        <w:tc>
          <w:tcPr>
            <w:tcW w:w="13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235" w:rsidRPr="00421DAF" w:rsidRDefault="00E17235" w:rsidP="00B4366B">
            <w:pPr>
              <w:pStyle w:val="142"/>
              <w:jc w:val="center"/>
            </w:pPr>
            <w:r w:rsidRPr="00421DAF">
              <w:rPr>
                <w:rFonts w:hint="eastAsia"/>
              </w:rPr>
              <w:t>110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t>9</w:t>
            </w:r>
            <w:r>
              <w:rPr>
                <w:rFonts w:hint="eastAsia"/>
              </w:rPr>
              <w:t>0</w:t>
            </w:r>
            <w:r w:rsidRPr="00421DAF">
              <w:t>.2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t>8</w:t>
            </w:r>
            <w:r>
              <w:rPr>
                <w:rFonts w:hint="eastAsia"/>
              </w:rPr>
              <w:t>9</w:t>
            </w:r>
            <w:r w:rsidRPr="00421DAF">
              <w:t>.</w:t>
            </w:r>
            <w:r>
              <w:rPr>
                <w:rFonts w:hint="eastAsia"/>
              </w:rPr>
              <w:t>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t>70.</w:t>
            </w:r>
            <w:r>
              <w:rPr>
                <w:rFonts w:hint="eastAsia"/>
              </w:rPr>
              <w:t>6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t>77.</w:t>
            </w:r>
            <w:r>
              <w:rPr>
                <w:rFonts w:hint="eastAsia"/>
              </w:rPr>
              <w:t>2</w:t>
            </w:r>
          </w:p>
        </w:tc>
      </w:tr>
      <w:tr w:rsidR="00E17235" w:rsidRPr="00421DAF" w:rsidTr="001E0C47">
        <w:trPr>
          <w:trHeight w:val="340"/>
        </w:trPr>
        <w:tc>
          <w:tcPr>
            <w:tcW w:w="13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235" w:rsidRPr="00421DAF" w:rsidRDefault="00E17235" w:rsidP="00B4366B">
            <w:pPr>
              <w:pStyle w:val="142"/>
              <w:jc w:val="center"/>
              <w:rPr>
                <w:rFonts w:hint="eastAsia"/>
              </w:rPr>
            </w:pPr>
            <w:r w:rsidRPr="00421DAF">
              <w:rPr>
                <w:rFonts w:hint="eastAsia"/>
              </w:rPr>
              <w:t>111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90.</w:t>
            </w:r>
            <w:r w:rsidRPr="00421DAF">
              <w:t>6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>
              <w:rPr>
                <w:rFonts w:hint="eastAsia"/>
              </w:rPr>
              <w:t>90</w:t>
            </w:r>
            <w:r w:rsidRPr="00421DAF">
              <w:rPr>
                <w:rFonts w:hint="eastAsia"/>
              </w:rP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rPr>
                <w:rFonts w:hint="eastAsia"/>
              </w:rPr>
              <w:t>72.9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 w:rsidRPr="00421DAF">
              <w:t>80.3</w:t>
            </w:r>
          </w:p>
        </w:tc>
      </w:tr>
      <w:tr w:rsidR="00E17235" w:rsidRPr="00421DAF" w:rsidTr="001E0C47">
        <w:trPr>
          <w:trHeight w:val="340"/>
        </w:trPr>
        <w:tc>
          <w:tcPr>
            <w:tcW w:w="13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235" w:rsidRPr="00421DAF" w:rsidRDefault="00E17235" w:rsidP="00B4366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92.6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79.6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17235" w:rsidRPr="00421DAF" w:rsidRDefault="00E17235" w:rsidP="00B4366B">
            <w:pPr>
              <w:pStyle w:val="142"/>
              <w:jc w:val="right"/>
            </w:pPr>
            <w:r>
              <w:rPr>
                <w:rFonts w:hint="eastAsia"/>
              </w:rPr>
              <w:t>81.5</w:t>
            </w:r>
          </w:p>
        </w:tc>
      </w:tr>
      <w:tr w:rsidR="00E17235" w:rsidRPr="00421DAF" w:rsidTr="001E0C47">
        <w:trPr>
          <w:trHeight w:val="340"/>
        </w:trPr>
        <w:tc>
          <w:tcPr>
            <w:tcW w:w="137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235" w:rsidRDefault="00E17235" w:rsidP="00B4366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E17235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93.6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E17235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92.8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E17235" w:rsidRDefault="00E17235" w:rsidP="00B4366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80.5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17235" w:rsidRPr="00781DA7" w:rsidRDefault="00E17235" w:rsidP="00B4366B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781DA7">
              <w:rPr>
                <w:rFonts w:hint="eastAsia"/>
                <w:b/>
                <w:bCs/>
              </w:rPr>
              <w:t>77.4</w:t>
            </w:r>
          </w:p>
        </w:tc>
      </w:tr>
    </w:tbl>
    <w:p w:rsidR="00E17235" w:rsidRPr="006673F6" w:rsidRDefault="001E0C47" w:rsidP="00E17235">
      <w:pPr>
        <w:pStyle w:val="142"/>
        <w:ind w:leftChars="-24" w:left="1036" w:hangingChars="454" w:hanging="1104"/>
        <w:rPr>
          <w:rFonts w:hint="eastAsia"/>
        </w:rPr>
      </w:pPr>
      <w:r>
        <w:rPr>
          <w:rFonts w:hint="eastAsia"/>
        </w:rPr>
        <w:t xml:space="preserve">    </w:t>
      </w:r>
      <w:r w:rsidR="00DF2077">
        <w:rPr>
          <w:rFonts w:hint="eastAsia"/>
        </w:rPr>
        <w:t xml:space="preserve"> </w:t>
      </w:r>
      <w:r w:rsidR="00E17235" w:rsidRPr="00421DAF">
        <w:rPr>
          <w:rFonts w:hint="eastAsia"/>
        </w:rPr>
        <w:t>資料來源:</w:t>
      </w:r>
      <w:r w:rsidR="00E17235">
        <w:rPr>
          <w:rFonts w:hint="eastAsia"/>
        </w:rPr>
        <w:t>整理自國民健康署提供資料。</w:t>
      </w:r>
    </w:p>
    <w:p w:rsidR="00E17235" w:rsidRPr="004E428E" w:rsidRDefault="00E17235" w:rsidP="00DF2077">
      <w:pPr>
        <w:pStyle w:val="a5"/>
        <w:ind w:leftChars="183" w:left="753" w:hangingChars="83" w:hanging="235"/>
        <w:rPr>
          <w:rFonts w:hint="eastAsia"/>
          <w:b/>
        </w:rPr>
      </w:pPr>
      <w:r w:rsidRPr="004E428E">
        <w:rPr>
          <w:rFonts w:hint="eastAsia"/>
          <w:b/>
        </w:rPr>
        <w:t>(二)</w:t>
      </w:r>
      <w:r>
        <w:rPr>
          <w:rFonts w:hint="eastAsia"/>
          <w:b/>
        </w:rPr>
        <w:t>近</w:t>
      </w:r>
      <w:r w:rsidRPr="004E428E">
        <w:rPr>
          <w:rFonts w:hint="eastAsia"/>
          <w:b/>
        </w:rPr>
        <w:t>年</w:t>
      </w:r>
      <w:r>
        <w:rPr>
          <w:rFonts w:hint="eastAsia"/>
          <w:b/>
        </w:rPr>
        <w:t>學齡前兒童視力異常比率有增加趨勢，相關推動策略尚有精進空間</w:t>
      </w:r>
      <w:r w:rsidRPr="004E428E">
        <w:rPr>
          <w:rFonts w:hint="eastAsia"/>
          <w:b/>
        </w:rPr>
        <w:t>，允宜</w:t>
      </w:r>
      <w:r>
        <w:rPr>
          <w:rFonts w:hint="eastAsia"/>
          <w:b/>
        </w:rPr>
        <w:t>積極強化學齡前兒童視力</w:t>
      </w:r>
      <w:r w:rsidRPr="004E428E">
        <w:rPr>
          <w:rFonts w:hint="eastAsia"/>
          <w:b/>
        </w:rPr>
        <w:t>防</w:t>
      </w:r>
      <w:r>
        <w:rPr>
          <w:rFonts w:hint="eastAsia"/>
          <w:b/>
        </w:rPr>
        <w:t>治工作，俾維護其視力健康</w:t>
      </w:r>
    </w:p>
    <w:p w:rsidR="00E17235" w:rsidRDefault="00E17235" w:rsidP="00E17235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另</w:t>
      </w:r>
      <w:r>
        <w:rPr>
          <w:rFonts w:hAnsi="標楷體" w:hint="eastAsia"/>
        </w:rPr>
        <w:t>「</w:t>
      </w:r>
      <w:r>
        <w:rPr>
          <w:rFonts w:hint="eastAsia"/>
        </w:rPr>
        <w:t>菸害防制及衛生保健計畫</w:t>
      </w:r>
      <w:r>
        <w:rPr>
          <w:rFonts w:hAnsi="標楷體" w:hint="eastAsia"/>
        </w:rPr>
        <w:t>」</w:t>
      </w:r>
      <w:r>
        <w:rPr>
          <w:rFonts w:hint="eastAsia"/>
        </w:rPr>
        <w:t>之</w:t>
      </w:r>
      <w:r>
        <w:rPr>
          <w:rFonts w:hAnsi="標楷體" w:hint="eastAsia"/>
        </w:rPr>
        <w:t>「衛生保健工作計畫」係辦理補助地方衛生保健工作、提升婦女健康及母子保健服務、推動兒童及青少年健康促進、推動中老年健康促進、健康友善支持環境、加強衛生教育與宣導、推動營養與健康飲食等工作，其中兒童及青少年健康促進係辦理兒童視力及聽力保健、兒童及青少年健康知能促進及口腔保健等工作。</w:t>
      </w:r>
    </w:p>
    <w:p w:rsidR="00E17235" w:rsidRDefault="00E17235" w:rsidP="00E17235">
      <w:pPr>
        <w:pStyle w:val="21"/>
        <w:ind w:left="850" w:firstLine="566"/>
      </w:pPr>
      <w:r>
        <w:rPr>
          <w:rFonts w:hint="eastAsia"/>
        </w:rPr>
        <w:t>按我國兒童權利公約兒少統計專區</w:t>
      </w:r>
      <w:r w:rsidRPr="00F87EDE">
        <w:rPr>
          <w:rFonts w:hint="eastAsia"/>
        </w:rPr>
        <w:t>網站</w:t>
      </w:r>
      <w:r>
        <w:rPr>
          <w:rStyle w:val="affb"/>
        </w:rPr>
        <w:footnoteReference w:id="1"/>
      </w:r>
      <w:r w:rsidRPr="00F87EDE">
        <w:rPr>
          <w:rFonts w:hint="eastAsia"/>
        </w:rPr>
        <w:t>公布之</w:t>
      </w:r>
      <w:r w:rsidRPr="00CA6972">
        <w:t>學齡前兒童視力、斜弱視篩檢成果</w:t>
      </w:r>
      <w:r>
        <w:rPr>
          <w:rFonts w:hint="eastAsia"/>
        </w:rPr>
        <w:t>資料</w:t>
      </w:r>
      <w:r w:rsidRPr="00F87EDE">
        <w:rPr>
          <w:rFonts w:hint="eastAsia"/>
        </w:rPr>
        <w:t>顯示，</w:t>
      </w:r>
      <w:r>
        <w:rPr>
          <w:rFonts w:hint="eastAsia"/>
        </w:rPr>
        <w:t>近年滿4歲及5歲學齡前兒童視力異常之比率有增加趨勢。110年度視力初篩異常率為</w:t>
      </w:r>
      <w:r w:rsidRPr="00F87EDE">
        <w:t>1</w:t>
      </w:r>
      <w:r>
        <w:t>7</w:t>
      </w:r>
      <w:r w:rsidRPr="00F87EDE">
        <w:t>.</w:t>
      </w:r>
      <w:r>
        <w:t>1</w:t>
      </w:r>
      <w:r w:rsidRPr="00F87EDE">
        <w:rPr>
          <w:rFonts w:hint="eastAsia"/>
        </w:rPr>
        <w:t>%，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年度上升為18.7%</w:t>
      </w:r>
      <w:r w:rsidRPr="00F87EDE">
        <w:rPr>
          <w:rFonts w:hint="eastAsia"/>
        </w:rPr>
        <w:t>(詳表2）</w:t>
      </w:r>
      <w:r w:rsidRPr="00DD1EE8">
        <w:rPr>
          <w:rFonts w:hint="eastAsia"/>
        </w:rPr>
        <w:t>。如</w:t>
      </w:r>
      <w:r>
        <w:rPr>
          <w:rFonts w:hint="eastAsia"/>
        </w:rPr>
        <w:t>以初檢未通過而複檢仍為異常比率觀之</w:t>
      </w:r>
      <w:r w:rsidRPr="00DD1EE8">
        <w:rPr>
          <w:rFonts w:hint="eastAsia"/>
        </w:rPr>
        <w:t>，</w:t>
      </w:r>
      <w:r>
        <w:rPr>
          <w:rFonts w:hint="eastAsia"/>
        </w:rPr>
        <w:t>亦同呈概增趨勢，110年度複檢異常確診率為74.6%，112及113年度已上升為76.9%及76.5%</w:t>
      </w:r>
      <w:r w:rsidRPr="00DD1EE8">
        <w:rPr>
          <w:rFonts w:hint="eastAsia"/>
        </w:rPr>
        <w:t>。</w:t>
      </w:r>
      <w:r>
        <w:rPr>
          <w:rFonts w:hint="eastAsia"/>
        </w:rPr>
        <w:t>然查菸害</w:t>
      </w:r>
      <w:r>
        <w:rPr>
          <w:rFonts w:hint="eastAsia"/>
        </w:rPr>
        <w:lastRenderedPageBreak/>
        <w:t>防制及衛生保健基金113年度兒童視力保健辦理情形</w:t>
      </w:r>
      <w:r>
        <w:rPr>
          <w:rStyle w:val="affb"/>
        </w:rPr>
        <w:footnoteReference w:id="2"/>
      </w:r>
      <w:r>
        <w:rPr>
          <w:rFonts w:hint="eastAsia"/>
        </w:rPr>
        <w:t>，僅辦理1場記者會，邀請教育部國民及學前教育署及幼兒園共同參與，另發布1篇新聞稿，提醒家長及照顧者視力保健的重要性。</w:t>
      </w:r>
    </w:p>
    <w:p w:rsidR="00E17235" w:rsidRDefault="00E17235" w:rsidP="00E17235">
      <w:pPr>
        <w:pStyle w:val="21"/>
        <w:ind w:left="850" w:firstLine="566"/>
      </w:pPr>
      <w:r>
        <w:rPr>
          <w:rFonts w:hint="eastAsia"/>
        </w:rPr>
        <w:t>鑑於</w:t>
      </w:r>
      <w:r w:rsidRPr="009933E4">
        <w:t>學齡前</w:t>
      </w:r>
      <w:r>
        <w:rPr>
          <w:rFonts w:hint="eastAsia"/>
        </w:rPr>
        <w:t>兒童視力篩檢</w:t>
      </w:r>
      <w:r w:rsidRPr="009933E4">
        <w:t>為近視防治關鍵時期，學齡前兒童一旦發生近視，如</w:t>
      </w:r>
      <w:r>
        <w:rPr>
          <w:rFonts w:hint="eastAsia"/>
        </w:rPr>
        <w:t>無</w:t>
      </w:r>
      <w:r w:rsidRPr="009933E4">
        <w:t>任何介入，每年將有近100度</w:t>
      </w:r>
      <w:r>
        <w:rPr>
          <w:rFonts w:hint="eastAsia"/>
        </w:rPr>
        <w:t>之</w:t>
      </w:r>
      <w:r w:rsidRPr="009933E4">
        <w:t>度數增加，大幅增加高度近視，以及未來發生白內障、青光眼、黃斑部病變，甚至視網膜剝離以及失明風險</w:t>
      </w:r>
      <w:r>
        <w:rPr>
          <w:rStyle w:val="affb"/>
        </w:rPr>
        <w:footnoteReference w:id="3"/>
      </w:r>
      <w:r w:rsidRPr="00F87EDE">
        <w:rPr>
          <w:rFonts w:hint="eastAsia"/>
        </w:rPr>
        <w:t>，</w:t>
      </w:r>
      <w:r>
        <w:rPr>
          <w:rFonts w:hint="eastAsia"/>
        </w:rPr>
        <w:t>允宜</w:t>
      </w:r>
      <w:r w:rsidRPr="00F87EDE">
        <w:rPr>
          <w:rFonts w:hint="eastAsia"/>
        </w:rPr>
        <w:t>賡續檢討強化</w:t>
      </w:r>
      <w:r>
        <w:rPr>
          <w:rFonts w:hint="eastAsia"/>
        </w:rPr>
        <w:t>學齡前兒童視力保健</w:t>
      </w:r>
      <w:r w:rsidRPr="00F87EDE">
        <w:rPr>
          <w:rFonts w:hint="eastAsia"/>
        </w:rPr>
        <w:t>策略及作為</w:t>
      </w:r>
      <w:r>
        <w:rPr>
          <w:rFonts w:hint="eastAsia"/>
        </w:rPr>
        <w:t>，俾維護其視力健康</w:t>
      </w:r>
      <w:r w:rsidRPr="00F87EDE">
        <w:rPr>
          <w:rFonts w:hint="eastAsia"/>
        </w:rPr>
        <w:t>。</w:t>
      </w:r>
    </w:p>
    <w:p w:rsidR="00E17235" w:rsidRPr="00C87F7C" w:rsidRDefault="00DF2077" w:rsidP="00E17235">
      <w:pPr>
        <w:pStyle w:val="200"/>
        <w:ind w:firstLineChars="100" w:firstLine="283"/>
        <w:rPr>
          <w:rFonts w:hint="eastAsia"/>
        </w:rPr>
      </w:pPr>
      <w:r>
        <w:rPr>
          <w:rFonts w:hint="eastAsia"/>
          <w:b/>
          <w:bCs/>
          <w:sz w:val="28"/>
        </w:rPr>
        <w:t xml:space="preserve"> </w:t>
      </w:r>
      <w:r w:rsidR="00E17235" w:rsidRPr="005813E1">
        <w:rPr>
          <w:b/>
          <w:bCs/>
          <w:sz w:val="28"/>
        </w:rPr>
        <w:t>表</w:t>
      </w:r>
      <w:r w:rsidR="00E17235" w:rsidRPr="005813E1">
        <w:rPr>
          <w:rFonts w:hint="eastAsia"/>
          <w:b/>
          <w:bCs/>
          <w:sz w:val="28"/>
        </w:rPr>
        <w:t xml:space="preserve">2  </w:t>
      </w:r>
      <w:r w:rsidR="00E17235">
        <w:rPr>
          <w:rFonts w:hint="eastAsia"/>
          <w:b/>
          <w:bCs/>
          <w:sz w:val="28"/>
        </w:rPr>
        <w:t>近</w:t>
      </w:r>
      <w:r w:rsidR="00E17235" w:rsidRPr="000300F5">
        <w:rPr>
          <w:rFonts w:hint="eastAsia"/>
          <w:b/>
          <w:bCs/>
          <w:sz w:val="28"/>
        </w:rPr>
        <w:t>年學齡前兒童視力、斜弱視篩檢</w:t>
      </w:r>
      <w:r w:rsidR="00E17235">
        <w:rPr>
          <w:rFonts w:hint="eastAsia"/>
          <w:b/>
          <w:bCs/>
          <w:sz w:val="28"/>
        </w:rPr>
        <w:t>情形</w:t>
      </w:r>
      <w:r w:rsidR="00E17235" w:rsidRPr="000300F5">
        <w:rPr>
          <w:rFonts w:hint="eastAsia"/>
          <w:b/>
          <w:bCs/>
          <w:sz w:val="28"/>
        </w:rPr>
        <w:t>表</w:t>
      </w:r>
      <w:r w:rsidR="00E17235">
        <w:rPr>
          <w:rFonts w:hint="eastAsia"/>
          <w:b/>
          <w:bCs/>
          <w:sz w:val="28"/>
        </w:rPr>
        <w:t xml:space="preserve">       </w:t>
      </w:r>
      <w:r w:rsidR="00E17235" w:rsidRPr="00C87F7C">
        <w:rPr>
          <w:rFonts w:hint="eastAsia"/>
        </w:rPr>
        <w:t>單位:</w:t>
      </w:r>
      <w:r w:rsidR="00E17235">
        <w:rPr>
          <w:rFonts w:hint="eastAsia"/>
        </w:rPr>
        <w:t>人；</w:t>
      </w:r>
      <w:r w:rsidR="00E17235" w:rsidRPr="00C87F7C">
        <w:rPr>
          <w:rFonts w:hint="eastAsia"/>
        </w:rPr>
        <w:t>%</w:t>
      </w:r>
    </w:p>
    <w:tbl>
      <w:tblPr>
        <w:tblW w:w="8057" w:type="dxa"/>
        <w:tblInd w:w="4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79"/>
        <w:gridCol w:w="1594"/>
        <w:gridCol w:w="1595"/>
        <w:gridCol w:w="1594"/>
        <w:gridCol w:w="1595"/>
      </w:tblGrid>
      <w:tr w:rsidR="00E17235" w:rsidRPr="00052E53" w:rsidTr="00DF2077">
        <w:trPr>
          <w:trHeight w:hRule="exact" w:val="629"/>
          <w:tblHeader/>
        </w:trPr>
        <w:tc>
          <w:tcPr>
            <w:tcW w:w="1679" w:type="dxa"/>
            <w:tcBorders>
              <w:top w:val="single" w:sz="12" w:space="0" w:color="000000"/>
              <w:bottom w:val="single" w:sz="6" w:space="0" w:color="000000"/>
              <w:tl2br w:val="single" w:sz="2" w:space="0" w:color="000000"/>
            </w:tcBorders>
            <w:vAlign w:val="center"/>
            <w:hideMark/>
          </w:tcPr>
          <w:p w:rsidR="00E17235" w:rsidRPr="00052E53" w:rsidRDefault="00E17235" w:rsidP="00B4366B">
            <w:pPr>
              <w:pStyle w:val="142"/>
              <w:jc w:val="right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年度</w:t>
            </w:r>
          </w:p>
          <w:p w:rsidR="00E17235" w:rsidRPr="00052E53" w:rsidRDefault="00E17235" w:rsidP="00B4366B">
            <w:pPr>
              <w:pStyle w:val="142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項目</w:t>
            </w:r>
          </w:p>
        </w:tc>
        <w:tc>
          <w:tcPr>
            <w:tcW w:w="1594" w:type="dxa"/>
            <w:shd w:val="clear" w:color="auto" w:fill="auto"/>
            <w:noWrap/>
            <w:vAlign w:val="center"/>
            <w:hideMark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110</w:t>
            </w:r>
          </w:p>
        </w:tc>
        <w:tc>
          <w:tcPr>
            <w:tcW w:w="1595" w:type="dxa"/>
            <w:shd w:val="clear" w:color="auto" w:fill="auto"/>
            <w:noWrap/>
            <w:vAlign w:val="center"/>
            <w:hideMark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111</w:t>
            </w:r>
          </w:p>
        </w:tc>
        <w:tc>
          <w:tcPr>
            <w:tcW w:w="1594" w:type="dxa"/>
            <w:shd w:val="clear" w:color="auto" w:fill="auto"/>
            <w:noWrap/>
            <w:vAlign w:val="center"/>
            <w:hideMark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112</w:t>
            </w:r>
          </w:p>
        </w:tc>
        <w:tc>
          <w:tcPr>
            <w:tcW w:w="1595" w:type="dxa"/>
            <w:shd w:val="clear" w:color="auto" w:fill="auto"/>
            <w:noWrap/>
            <w:vAlign w:val="center"/>
            <w:hideMark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113</w:t>
            </w:r>
          </w:p>
        </w:tc>
      </w:tr>
      <w:tr w:rsidR="00E17235" w:rsidRPr="00052E53" w:rsidTr="00DF2077">
        <w:trPr>
          <w:trHeight w:hRule="exact" w:val="410"/>
        </w:trPr>
        <w:tc>
          <w:tcPr>
            <w:tcW w:w="1679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幼童數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375</w:t>
            </w:r>
            <w:r w:rsidRPr="00052E53">
              <w:rPr>
                <w:snapToGrid/>
              </w:rPr>
              <w:t>,</w:t>
            </w:r>
            <w:r w:rsidRPr="00052E53">
              <w:rPr>
                <w:rFonts w:hint="eastAsia"/>
                <w:snapToGrid/>
              </w:rPr>
              <w:t>123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66,051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54,258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34,197</w:t>
            </w:r>
          </w:p>
        </w:tc>
      </w:tr>
      <w:tr w:rsidR="00E17235" w:rsidRPr="00052E53" w:rsidTr="00DF2077">
        <w:trPr>
          <w:trHeight w:hRule="exact" w:val="430"/>
        </w:trPr>
        <w:tc>
          <w:tcPr>
            <w:tcW w:w="1679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center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篩檢數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340</w:t>
            </w:r>
            <w:r w:rsidRPr="00052E53">
              <w:rPr>
                <w:snapToGrid/>
              </w:rPr>
              <w:t>,</w:t>
            </w:r>
            <w:r w:rsidRPr="00052E53">
              <w:rPr>
                <w:rFonts w:hint="eastAsia"/>
                <w:snapToGrid/>
              </w:rPr>
              <w:t>594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58,157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71,466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50,258</w:t>
            </w:r>
          </w:p>
        </w:tc>
      </w:tr>
      <w:tr w:rsidR="00E17235" w:rsidRPr="00052E53" w:rsidTr="00DF2077">
        <w:trPr>
          <w:trHeight w:hRule="exact" w:val="423"/>
        </w:trPr>
        <w:tc>
          <w:tcPr>
            <w:tcW w:w="1679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center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篩檢率(%)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9</w:t>
            </w:r>
            <w:r w:rsidRPr="00052E53">
              <w:rPr>
                <w:snapToGrid/>
              </w:rPr>
              <w:t>0.8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>
              <w:rPr>
                <w:snapToGrid/>
              </w:rPr>
              <w:t>7.8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00.0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00.0</w:t>
            </w:r>
          </w:p>
        </w:tc>
      </w:tr>
      <w:tr w:rsidR="00E17235" w:rsidRPr="00052E53" w:rsidTr="00DF2077">
        <w:trPr>
          <w:trHeight w:hRule="exact" w:val="423"/>
        </w:trPr>
        <w:tc>
          <w:tcPr>
            <w:tcW w:w="1679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center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初篩異常率(%)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1</w:t>
            </w:r>
            <w:r w:rsidRPr="00052E53">
              <w:rPr>
                <w:snapToGrid/>
              </w:rPr>
              <w:t>7.1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7.3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8.7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8.7</w:t>
            </w:r>
          </w:p>
        </w:tc>
      </w:tr>
      <w:tr w:rsidR="00E17235" w:rsidRPr="00052E53" w:rsidTr="00DF2077">
        <w:trPr>
          <w:trHeight w:hRule="exact" w:val="576"/>
        </w:trPr>
        <w:tc>
          <w:tcPr>
            <w:tcW w:w="1679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center"/>
              <w:rPr>
                <w:snapToGrid/>
              </w:rPr>
            </w:pPr>
            <w:r w:rsidRPr="00052E53">
              <w:rPr>
                <w:rFonts w:hint="eastAsia"/>
                <w:snapToGrid/>
              </w:rPr>
              <w:t>疑似異常個案</w:t>
            </w:r>
          </w:p>
          <w:p w:rsidR="00E17235" w:rsidRPr="00052E53" w:rsidRDefault="00E17235" w:rsidP="00B4366B">
            <w:pPr>
              <w:pStyle w:val="142"/>
              <w:jc w:val="center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完成確診率(%)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9</w:t>
            </w:r>
            <w:r w:rsidRPr="00052E53">
              <w:rPr>
                <w:snapToGrid/>
              </w:rPr>
              <w:t>5.9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>
              <w:rPr>
                <w:snapToGrid/>
              </w:rPr>
              <w:t>5.4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>
              <w:rPr>
                <w:snapToGrid/>
              </w:rPr>
              <w:t>7.5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>
              <w:rPr>
                <w:snapToGrid/>
              </w:rPr>
              <w:t>6.7</w:t>
            </w:r>
          </w:p>
        </w:tc>
      </w:tr>
      <w:tr w:rsidR="00E17235" w:rsidRPr="00052E53" w:rsidTr="00DF2077">
        <w:trPr>
          <w:trHeight w:hRule="exact" w:val="598"/>
        </w:trPr>
        <w:tc>
          <w:tcPr>
            <w:tcW w:w="1679" w:type="dxa"/>
            <w:shd w:val="clear" w:color="auto" w:fill="auto"/>
            <w:vAlign w:val="center"/>
          </w:tcPr>
          <w:p w:rsidR="00E17235" w:rsidRPr="00052E53" w:rsidRDefault="00E17235" w:rsidP="00DF2077">
            <w:pPr>
              <w:pStyle w:val="142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異常確診率</w:t>
            </w:r>
            <w:r w:rsidR="00DF2077">
              <w:rPr>
                <w:rFonts w:hint="eastAsia"/>
                <w:snapToGrid/>
              </w:rPr>
              <w:t>(</w:t>
            </w:r>
            <w:r w:rsidRPr="00052E53">
              <w:rPr>
                <w:rFonts w:hint="eastAsia"/>
                <w:snapToGrid/>
              </w:rPr>
              <w:t>%)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 w:rsidRPr="00052E53">
              <w:rPr>
                <w:rFonts w:hint="eastAsia"/>
                <w:snapToGrid/>
              </w:rPr>
              <w:t>7</w:t>
            </w:r>
            <w:r w:rsidRPr="00052E53">
              <w:rPr>
                <w:snapToGrid/>
              </w:rPr>
              <w:t>4.6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5.8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6.9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17235" w:rsidRPr="00052E53" w:rsidRDefault="00E17235" w:rsidP="00B4366B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6.5</w:t>
            </w:r>
          </w:p>
        </w:tc>
      </w:tr>
    </w:tbl>
    <w:p w:rsidR="00E17235" w:rsidRDefault="00DF2077" w:rsidP="00E17235">
      <w:pPr>
        <w:pStyle w:val="142"/>
        <w:ind w:leftChars="94" w:left="1470" w:rightChars="2" w:right="6" w:hangingChars="495" w:hanging="1204"/>
        <w:jc w:val="both"/>
      </w:pPr>
      <w:r>
        <w:rPr>
          <w:rFonts w:hint="eastAsia"/>
        </w:rPr>
        <w:t xml:space="preserve"> </w:t>
      </w:r>
      <w:r w:rsidR="00E17235">
        <w:rPr>
          <w:rFonts w:hint="eastAsia"/>
        </w:rPr>
        <w:t>說    明：1.學齡前兒童指滿4歲及5歲之學齡前兒童。</w:t>
      </w:r>
    </w:p>
    <w:p w:rsidR="00E17235" w:rsidRDefault="00DF2077" w:rsidP="00DF2077">
      <w:pPr>
        <w:pStyle w:val="142"/>
        <w:ind w:leftChars="510" w:left="1821" w:rightChars="2" w:right="6" w:hangingChars="155" w:hanging="377"/>
        <w:jc w:val="both"/>
      </w:pPr>
      <w:r>
        <w:rPr>
          <w:rFonts w:hint="eastAsia"/>
        </w:rPr>
        <w:t xml:space="preserve"> </w:t>
      </w:r>
      <w:r w:rsidR="00E17235">
        <w:rPr>
          <w:rFonts w:hint="eastAsia"/>
        </w:rPr>
        <w:t>2.</w:t>
      </w:r>
      <w:r w:rsidR="00E17235" w:rsidRPr="000300F5">
        <w:rPr>
          <w:rFonts w:hint="eastAsia"/>
        </w:rPr>
        <w:t>篩檢率</w:t>
      </w:r>
      <w:r w:rsidR="00E17235" w:rsidRPr="000300F5">
        <w:t>=(</w:t>
      </w:r>
      <w:r w:rsidR="00E17235" w:rsidRPr="000300F5">
        <w:rPr>
          <w:rFonts w:hint="eastAsia"/>
        </w:rPr>
        <w:t>滿</w:t>
      </w:r>
      <w:r w:rsidR="00E17235" w:rsidRPr="000300F5">
        <w:t>4</w:t>
      </w:r>
      <w:r w:rsidR="00E17235" w:rsidRPr="000300F5">
        <w:rPr>
          <w:rFonts w:hint="eastAsia"/>
        </w:rPr>
        <w:t>歲及</w:t>
      </w:r>
      <w:r w:rsidR="00E17235" w:rsidRPr="000300F5">
        <w:t>5</w:t>
      </w:r>
      <w:r w:rsidR="00E17235" w:rsidRPr="000300F5">
        <w:rPr>
          <w:rFonts w:hint="eastAsia"/>
        </w:rPr>
        <w:t>歲兒童視力篩檢人數</w:t>
      </w:r>
      <w:r w:rsidR="00E17235" w:rsidRPr="000300F5">
        <w:t>/</w:t>
      </w:r>
      <w:r w:rsidR="00E17235" w:rsidRPr="000300F5">
        <w:rPr>
          <w:rFonts w:hint="eastAsia"/>
        </w:rPr>
        <w:t>滿</w:t>
      </w:r>
      <w:r w:rsidR="00E17235" w:rsidRPr="000300F5">
        <w:t>4</w:t>
      </w:r>
      <w:r w:rsidR="00E17235" w:rsidRPr="000300F5">
        <w:rPr>
          <w:rFonts w:hint="eastAsia"/>
        </w:rPr>
        <w:t>歲及</w:t>
      </w:r>
      <w:r w:rsidR="00E17235" w:rsidRPr="000300F5">
        <w:t>5</w:t>
      </w:r>
      <w:r w:rsidR="00E17235" w:rsidRPr="000300F5">
        <w:rPr>
          <w:rFonts w:hint="eastAsia"/>
        </w:rPr>
        <w:t>歲兒童現住人口數</w:t>
      </w:r>
      <w:r w:rsidR="00E17235" w:rsidRPr="000300F5">
        <w:t>)*100%</w:t>
      </w:r>
      <w:r w:rsidR="00E17235">
        <w:rPr>
          <w:rFonts w:hint="eastAsia"/>
        </w:rPr>
        <w:t>。</w:t>
      </w:r>
    </w:p>
    <w:p w:rsidR="00E17235" w:rsidRDefault="00DF2077" w:rsidP="00E17235">
      <w:pPr>
        <w:pStyle w:val="142"/>
        <w:ind w:leftChars="520" w:left="1738" w:rightChars="2" w:right="6" w:hangingChars="109" w:hanging="265"/>
        <w:jc w:val="both"/>
      </w:pPr>
      <w:r>
        <w:rPr>
          <w:rFonts w:hint="eastAsia"/>
        </w:rPr>
        <w:t xml:space="preserve"> </w:t>
      </w:r>
      <w:r w:rsidR="00E17235">
        <w:rPr>
          <w:rFonts w:hint="eastAsia"/>
        </w:rPr>
        <w:t>3.</w:t>
      </w:r>
      <w:r w:rsidR="00E17235" w:rsidRPr="000300F5">
        <w:rPr>
          <w:rFonts w:hint="eastAsia"/>
        </w:rPr>
        <w:t>初篩異常率＝(篩檢未通過人數/篩檢數)*100%</w:t>
      </w:r>
      <w:r w:rsidR="00E17235">
        <w:rPr>
          <w:rFonts w:hint="eastAsia"/>
        </w:rPr>
        <w:t>。</w:t>
      </w:r>
    </w:p>
    <w:p w:rsidR="00E17235" w:rsidRDefault="00DF2077" w:rsidP="00DF2077">
      <w:pPr>
        <w:pStyle w:val="142"/>
        <w:ind w:leftChars="519" w:left="1806" w:rightChars="2" w:right="6" w:hangingChars="138" w:hanging="336"/>
        <w:jc w:val="both"/>
      </w:pPr>
      <w:r>
        <w:rPr>
          <w:rFonts w:hint="eastAsia"/>
        </w:rPr>
        <w:t xml:space="preserve"> </w:t>
      </w:r>
      <w:r w:rsidR="00E17235">
        <w:rPr>
          <w:rFonts w:hint="eastAsia"/>
        </w:rPr>
        <w:t>4.</w:t>
      </w:r>
      <w:r w:rsidR="00E17235" w:rsidRPr="000300F5">
        <w:rPr>
          <w:rFonts w:hint="eastAsia"/>
        </w:rPr>
        <w:t>疑似異常個案完成確診率＝[(複檢正常人數+複檢異常人數)/篩檢未通過人數]*100%</w:t>
      </w:r>
      <w:r w:rsidR="00E17235">
        <w:rPr>
          <w:rFonts w:hint="eastAsia"/>
        </w:rPr>
        <w:t>。</w:t>
      </w:r>
    </w:p>
    <w:p w:rsidR="00E17235" w:rsidRDefault="00DF2077" w:rsidP="00E17235">
      <w:pPr>
        <w:pStyle w:val="142"/>
        <w:ind w:leftChars="520" w:left="1738" w:rightChars="2" w:right="6" w:hangingChars="109" w:hanging="265"/>
        <w:jc w:val="both"/>
        <w:rPr>
          <w:rFonts w:hint="eastAsia"/>
        </w:rPr>
      </w:pPr>
      <w:r>
        <w:rPr>
          <w:rFonts w:hint="eastAsia"/>
        </w:rPr>
        <w:t xml:space="preserve"> </w:t>
      </w:r>
      <w:r w:rsidR="00E17235">
        <w:rPr>
          <w:rFonts w:hint="eastAsia"/>
        </w:rPr>
        <w:t>5.</w:t>
      </w:r>
      <w:r w:rsidR="00E17235" w:rsidRPr="000300F5">
        <w:rPr>
          <w:rFonts w:hint="eastAsia"/>
        </w:rPr>
        <w:t>異常確診率＝(複檢異常人數/篩檢未通過個案)*100%</w:t>
      </w:r>
    </w:p>
    <w:p w:rsidR="00E17235" w:rsidRDefault="0018126E" w:rsidP="00E17235">
      <w:pPr>
        <w:pStyle w:val="142"/>
        <w:ind w:leftChars="94" w:left="1470" w:rightChars="71" w:right="201" w:hangingChars="495" w:hanging="1204"/>
        <w:rPr>
          <w:szCs w:val="24"/>
        </w:rPr>
      </w:pPr>
      <w:r>
        <w:rPr>
          <w:rFonts w:hint="eastAsia"/>
          <w:szCs w:val="24"/>
        </w:rPr>
        <w:t xml:space="preserve"> </w:t>
      </w:r>
      <w:r w:rsidR="00E17235" w:rsidRPr="00C87F7C">
        <w:rPr>
          <w:rFonts w:hint="eastAsia"/>
          <w:szCs w:val="24"/>
        </w:rPr>
        <w:t>資料來源：</w:t>
      </w:r>
      <w:r w:rsidR="00E17235">
        <w:rPr>
          <w:rFonts w:hint="eastAsia"/>
          <w:szCs w:val="24"/>
        </w:rPr>
        <w:t>兒童權利公約兒少統計專區。</w:t>
      </w:r>
    </w:p>
    <w:p w:rsidR="00E17235" w:rsidRPr="00C87F7C" w:rsidRDefault="00E17235" w:rsidP="00E17235">
      <w:pPr>
        <w:pStyle w:val="142"/>
        <w:ind w:leftChars="514" w:left="1468" w:rightChars="-7" w:right="-20" w:hangingChars="5" w:hanging="12"/>
        <w:rPr>
          <w:szCs w:val="24"/>
        </w:rPr>
      </w:pPr>
      <w:r>
        <w:rPr>
          <w:rFonts w:hint="eastAsia"/>
          <w:szCs w:val="24"/>
        </w:rPr>
        <w:t>(網址：</w:t>
      </w:r>
      <w:r w:rsidRPr="000300F5">
        <w:rPr>
          <w:szCs w:val="24"/>
        </w:rPr>
        <w:t>https://crc.sfaa.gov.tw/Statistics/Detail/137</w:t>
      </w:r>
      <w:r>
        <w:rPr>
          <w:rFonts w:hint="eastAsia"/>
          <w:szCs w:val="24"/>
        </w:rPr>
        <w:t>)</w:t>
      </w:r>
      <w:r w:rsidRPr="000300F5">
        <w:rPr>
          <w:szCs w:val="24"/>
        </w:rPr>
        <w:t>，</w:t>
      </w:r>
      <w:r w:rsidRPr="000300F5">
        <w:rPr>
          <w:rFonts w:hint="eastAsia"/>
          <w:szCs w:val="24"/>
        </w:rPr>
        <w:t>最後查閱日：115</w:t>
      </w:r>
      <w:r>
        <w:rPr>
          <w:rFonts w:hint="eastAsia"/>
          <w:szCs w:val="24"/>
        </w:rPr>
        <w:t>年</w:t>
      </w:r>
      <w:r>
        <w:rPr>
          <w:szCs w:val="24"/>
        </w:rPr>
        <w:t>2</w:t>
      </w:r>
      <w:r>
        <w:rPr>
          <w:rFonts w:hint="eastAsia"/>
          <w:szCs w:val="24"/>
        </w:rPr>
        <w:t>月2</w:t>
      </w:r>
      <w:r>
        <w:rPr>
          <w:szCs w:val="24"/>
        </w:rPr>
        <w:t>5</w:t>
      </w:r>
      <w:r>
        <w:rPr>
          <w:rFonts w:hint="eastAsia"/>
          <w:szCs w:val="24"/>
        </w:rPr>
        <w:t>日</w:t>
      </w:r>
      <w:r w:rsidRPr="00C87F7C">
        <w:rPr>
          <w:rFonts w:hint="eastAsia"/>
          <w:szCs w:val="24"/>
        </w:rPr>
        <w:t>。</w:t>
      </w:r>
    </w:p>
    <w:p w:rsidR="002A35E6" w:rsidRPr="002A35E6" w:rsidRDefault="00E17235" w:rsidP="00A61290">
      <w:pPr>
        <w:ind w:left="566" w:firstLine="566"/>
        <w:rPr>
          <w:rFonts w:hAnsi="標楷體"/>
          <w:sz w:val="24"/>
        </w:rPr>
      </w:pPr>
      <w:r w:rsidRPr="00735698">
        <w:rPr>
          <w:rFonts w:hint="eastAsia"/>
        </w:rPr>
        <w:t>綜上，</w:t>
      </w:r>
      <w:r w:rsidRPr="001E0F58">
        <w:rPr>
          <w:rFonts w:hint="eastAsia"/>
        </w:rPr>
        <w:t>菸害防制及衛生保健基金近年持續推動癌症防治及</w:t>
      </w:r>
      <w:r>
        <w:rPr>
          <w:rFonts w:hint="eastAsia"/>
        </w:rPr>
        <w:t>兒童、青少年健康促進</w:t>
      </w:r>
      <w:r w:rsidRPr="001E0F58">
        <w:rPr>
          <w:rFonts w:hint="eastAsia"/>
        </w:rPr>
        <w:t>工作，惟</w:t>
      </w:r>
      <w:r>
        <w:rPr>
          <w:rFonts w:hint="eastAsia"/>
        </w:rPr>
        <w:t>大腸癌及口腔</w:t>
      </w:r>
      <w:r w:rsidRPr="001E0F58">
        <w:rPr>
          <w:rFonts w:hint="eastAsia"/>
        </w:rPr>
        <w:t>癌篩檢陽性個案追蹤率</w:t>
      </w:r>
      <w:r>
        <w:rPr>
          <w:rFonts w:hint="eastAsia"/>
        </w:rPr>
        <w:t>均</w:t>
      </w:r>
      <w:r w:rsidRPr="001E0F58">
        <w:rPr>
          <w:rFonts w:hint="eastAsia"/>
        </w:rPr>
        <w:t>未達年度目標</w:t>
      </w:r>
      <w:r>
        <w:rPr>
          <w:rFonts w:hint="eastAsia"/>
        </w:rPr>
        <w:t>平均</w:t>
      </w:r>
      <w:r w:rsidRPr="001E0F58">
        <w:rPr>
          <w:rFonts w:hint="eastAsia"/>
        </w:rPr>
        <w:t>值</w:t>
      </w:r>
      <w:r>
        <w:rPr>
          <w:rFonts w:hint="eastAsia"/>
        </w:rPr>
        <w:t>，另近年學齡前兒童視力異常比率有</w:t>
      </w:r>
      <w:r w:rsidRPr="00735698">
        <w:t>增</w:t>
      </w:r>
      <w:r w:rsidRPr="00735698">
        <w:lastRenderedPageBreak/>
        <w:t>加</w:t>
      </w:r>
      <w:r>
        <w:rPr>
          <w:rFonts w:hint="eastAsia"/>
        </w:rPr>
        <w:t>趨勢</w:t>
      </w:r>
      <w:r w:rsidRPr="00735698">
        <w:rPr>
          <w:rFonts w:hint="eastAsia"/>
        </w:rPr>
        <w:t>，</w:t>
      </w:r>
      <w:r>
        <w:rPr>
          <w:rFonts w:hint="eastAsia"/>
        </w:rPr>
        <w:t>相關視力防治推動策略尚有精進空間；</w:t>
      </w:r>
      <w:r w:rsidRPr="0087659C">
        <w:rPr>
          <w:rFonts w:hint="eastAsia"/>
        </w:rPr>
        <w:t>允宜深入瞭解</w:t>
      </w:r>
      <w:r>
        <w:rPr>
          <w:rFonts w:hint="eastAsia"/>
        </w:rPr>
        <w:t>上述</w:t>
      </w:r>
      <w:r w:rsidRPr="0087659C">
        <w:rPr>
          <w:rFonts w:hint="eastAsia"/>
        </w:rPr>
        <w:t>癌症篩檢陽性個案追蹤率偏低原因研謀改善</w:t>
      </w:r>
      <w:r>
        <w:rPr>
          <w:rFonts w:hint="eastAsia"/>
        </w:rPr>
        <w:t>，並</w:t>
      </w:r>
      <w:r w:rsidRPr="00836A3D">
        <w:rPr>
          <w:rFonts w:hint="eastAsia"/>
        </w:rPr>
        <w:t>賡續檢討強化學齡前兒童視力保健策略及作為，俾維護其視力健康</w:t>
      </w:r>
      <w:r w:rsidRPr="00735698">
        <w:rPr>
          <w:rFonts w:hint="eastAsia"/>
        </w:rPr>
        <w:t>。</w:t>
      </w:r>
      <w:bookmarkStart w:id="50" w:name="_GoBack"/>
      <w:bookmarkEnd w:id="50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61290" w:rsidRPr="00A61290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E17235" w:rsidRPr="00CA6972" w:rsidRDefault="00E17235" w:rsidP="00E17235">
      <w:pPr>
        <w:pStyle w:val="142"/>
        <w:ind w:left="139" w:hangingChars="57" w:hanging="139"/>
        <w:jc w:val="both"/>
        <w:rPr>
          <w:rFonts w:hint="eastAsia"/>
          <w:lang w:val="x-none"/>
        </w:rPr>
      </w:pPr>
      <w:r>
        <w:rPr>
          <w:rStyle w:val="affb"/>
        </w:rPr>
        <w:footnoteRef/>
      </w:r>
      <w:r>
        <w:rPr>
          <w:rFonts w:hint="eastAsia"/>
        </w:rPr>
        <w:t>網址：</w:t>
      </w:r>
      <w:r w:rsidRPr="006E0F5D">
        <w:t>https://crc.sfaa.gov.tw/Statistics，最後查閱日：</w:t>
      </w:r>
      <w:r w:rsidRPr="006E0F5D">
        <w:rPr>
          <w:rFonts w:hint="eastAsia"/>
        </w:rPr>
        <w:t>115</w:t>
      </w:r>
      <w:r>
        <w:rPr>
          <w:rFonts w:hint="eastAsia"/>
        </w:rPr>
        <w:t>年3月9日。</w:t>
      </w:r>
    </w:p>
  </w:footnote>
  <w:footnote w:id="2">
    <w:p w:rsidR="00E17235" w:rsidRDefault="00E17235" w:rsidP="00E17235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fb"/>
        </w:rPr>
        <w:footnoteRef/>
      </w:r>
      <w:r w:rsidRPr="007C0F74">
        <w:rPr>
          <w:rFonts w:hint="eastAsia"/>
        </w:rPr>
        <w:t>菸害防制及衛生保健基金113年度</w:t>
      </w:r>
      <w:r>
        <w:rPr>
          <w:rFonts w:hint="eastAsia"/>
        </w:rPr>
        <w:t>決算書第4頁。</w:t>
      </w:r>
    </w:p>
  </w:footnote>
  <w:footnote w:id="3">
    <w:p w:rsidR="00E17235" w:rsidRDefault="00E17235" w:rsidP="00E17235">
      <w:pPr>
        <w:pStyle w:val="142"/>
        <w:ind w:left="139" w:hangingChars="57" w:hanging="139"/>
      </w:pPr>
      <w:r>
        <w:rPr>
          <w:rStyle w:val="affb"/>
        </w:rPr>
        <w:footnoteRef/>
      </w:r>
      <w:r>
        <w:rPr>
          <w:rFonts w:hint="eastAsia"/>
        </w:rPr>
        <w:t>114年10月1日國民健康署新聞稿：</w:t>
      </w:r>
      <w:r w:rsidRPr="009933E4">
        <w:t>學齡前兒童視力篩檢 近視防治向下扎根</w:t>
      </w:r>
    </w:p>
    <w:p w:rsidR="00E17235" w:rsidRPr="009933E4" w:rsidRDefault="00E17235" w:rsidP="00E17235">
      <w:pPr>
        <w:pStyle w:val="142"/>
        <w:ind w:left="139" w:hangingChars="57" w:hanging="139"/>
        <w:rPr>
          <w:rFonts w:hint="eastAsia"/>
        </w:rPr>
      </w:pPr>
      <w:r>
        <w:rPr>
          <w:rFonts w:hint="eastAsia"/>
        </w:rPr>
        <w:t>(網址：</w:t>
      </w:r>
      <w:r w:rsidRPr="009933E4">
        <w:t>https://www.hpa.gov.tw/Pages/Detail.aspx?nodeid=4878&amp;pid=19417</w:t>
      </w:r>
      <w:r>
        <w:rPr>
          <w:rFonts w:hint="eastAsia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1290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1C6DA04-BCCF-4150-BFFB-B40FB5FD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B59F2-AF7B-46E6-A8EF-19AEB5F5F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4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