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FC4716" w:rsidRPr="00087056" w:rsidRDefault="00FC4716" w:rsidP="00FC4716">
      <w:pPr>
        <w:pStyle w:val="14"/>
        <w:ind w:left="567" w:hanging="567"/>
      </w:pPr>
      <w:bookmarkStart w:id="49" w:name="_Toc524945231"/>
      <w:bookmarkStart w:id="50" w:name="_Toc525456766"/>
      <w:bookmarkStart w:id="51" w:name="_Toc525660536"/>
      <w:bookmarkStart w:id="52" w:name="_Toc90022183"/>
      <w:bookmarkStart w:id="53" w:name="_Toc22527077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087056">
        <w:rPr>
          <w:rFonts w:hint="eastAsia"/>
        </w:rPr>
        <w:t>一</w:t>
      </w:r>
      <w:r w:rsidRPr="00364AB8">
        <w:rPr>
          <w:rFonts w:hAnsi="標楷體" w:hint="eastAsia"/>
        </w:rPr>
        <w:t>０</w:t>
      </w:r>
      <w:r>
        <w:rPr>
          <w:rFonts w:hAnsi="標楷體" w:hint="eastAsia"/>
        </w:rPr>
        <w:t>、</w:t>
      </w:r>
      <w:bookmarkEnd w:id="49"/>
      <w:bookmarkEnd w:id="50"/>
      <w:bookmarkEnd w:id="51"/>
      <w:bookmarkEnd w:id="52"/>
      <w:r w:rsidR="00E17235" w:rsidRPr="00E17235">
        <w:rPr>
          <w:rFonts w:hint="eastAsia"/>
        </w:rPr>
        <w:t>111至113年度所屬社福機構收容率雖均逾八成，惟部分收容對象收容率略有下滑，致服務收入未達標，允宜適時檢討收容政策並妥善規劃機構空間運用</w:t>
      </w:r>
      <w:bookmarkEnd w:id="53"/>
    </w:p>
    <w:p w:rsidR="00E17235" w:rsidRPr="00E17235" w:rsidRDefault="00E17235" w:rsidP="00E17235">
      <w:pPr>
        <w:ind w:left="566" w:firstLine="566"/>
        <w:rPr>
          <w:rFonts w:hAnsi="標楷體"/>
          <w:snapToGrid/>
          <w:kern w:val="0"/>
        </w:rPr>
      </w:pPr>
      <w:r w:rsidRPr="00E17235">
        <w:rPr>
          <w:rFonts w:hAnsi="標楷體" w:hint="eastAsia"/>
          <w:snapToGrid/>
          <w:kern w:val="0"/>
        </w:rPr>
        <w:t>社會福利基金(下稱社福基金)113年度基金來源之「勞務收入－服務收入」編列6億626萬元，決算數5億3</w:t>
      </w:r>
      <w:r w:rsidRPr="00E17235">
        <w:rPr>
          <w:rFonts w:hAnsi="標楷體"/>
          <w:snapToGrid/>
          <w:kern w:val="0"/>
        </w:rPr>
        <w:t>,</w:t>
      </w:r>
      <w:r w:rsidRPr="00E17235">
        <w:rPr>
          <w:rFonts w:hAnsi="標楷體" w:hint="eastAsia"/>
          <w:snapToGrid/>
          <w:kern w:val="0"/>
        </w:rPr>
        <w:t>416萬元，預算達成率88.11%。近年所屬社福機構部分收容對象之收容率呈下滑情形，致服務收入連年未達預期，謹敘明如次</w:t>
      </w:r>
      <w:r w:rsidRPr="00E17235">
        <w:rPr>
          <w:rFonts w:ascii="新細明體" w:eastAsia="新細明體" w:hAnsi="新細明體" w:hint="eastAsia"/>
          <w:snapToGrid/>
          <w:kern w:val="0"/>
        </w:rPr>
        <w:t>：</w:t>
      </w:r>
    </w:p>
    <w:p w:rsidR="00E17235" w:rsidRPr="00016348" w:rsidRDefault="00E17235" w:rsidP="00016348">
      <w:pPr>
        <w:pStyle w:val="a5"/>
        <w:ind w:left="849" w:hanging="283"/>
        <w:rPr>
          <w:b/>
          <w:snapToGrid/>
        </w:rPr>
      </w:pPr>
      <w:r w:rsidRPr="00016348">
        <w:rPr>
          <w:rFonts w:hint="eastAsia"/>
          <w:b/>
          <w:snapToGrid/>
        </w:rPr>
        <w:t>(一)111至113年度所屬社福機構整體收容率雖均逾八成，惟兒少教養</w:t>
      </w:r>
      <w:r w:rsidRPr="00016348">
        <w:rPr>
          <w:rFonts w:hAnsi="標楷體" w:hint="eastAsia"/>
          <w:b/>
          <w:snapToGrid/>
        </w:rPr>
        <w:t>、</w:t>
      </w:r>
      <w:r w:rsidRPr="00016348">
        <w:rPr>
          <w:rFonts w:hint="eastAsia"/>
          <w:b/>
          <w:snapToGrid/>
        </w:rPr>
        <w:t xml:space="preserve">身心障礙類別收容率呈下滑情形                                      </w:t>
      </w:r>
    </w:p>
    <w:p w:rsidR="00E17235" w:rsidRPr="00E17235" w:rsidRDefault="00E17235" w:rsidP="00016348">
      <w:pPr>
        <w:pStyle w:val="21"/>
        <w:ind w:left="850" w:firstLine="566"/>
        <w:rPr>
          <w:rFonts w:hint="eastAsia"/>
          <w:snapToGrid/>
        </w:rPr>
      </w:pPr>
      <w:r w:rsidRPr="00E17235">
        <w:rPr>
          <w:rFonts w:hint="eastAsia"/>
          <w:snapToGrid/>
        </w:rPr>
        <w:t>依社福基金提供資料(詳表1)，該基金所屬社福機構111至113年度預計可收容人數合計數自3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486人減至3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298人，實際收容人數合計數則自2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837人降至2</w:t>
      </w:r>
      <w:r w:rsidRPr="00E17235">
        <w:rPr>
          <w:snapToGrid/>
        </w:rPr>
        <w:t>,746</w:t>
      </w:r>
      <w:r w:rsidRPr="00E17235">
        <w:rPr>
          <w:rFonts w:hint="eastAsia"/>
          <w:snapToGrid/>
        </w:rPr>
        <w:t>人，收容率均逾八成，介於81.38%至84.47%間。進一步觀察同期間各類對象收容情形，其中兒少(含教養)類別之收容率自111年度之74.77%減為113年度之64.43%，同期間身心障礙類別之收容率則自96.91%減為92.37%，呈下滑情形。</w:t>
      </w:r>
    </w:p>
    <w:p w:rsidR="00E17235" w:rsidRPr="00E17235" w:rsidRDefault="00E17235" w:rsidP="00E17235">
      <w:pPr>
        <w:ind w:leftChars="217" w:left="7277" w:hangingChars="2350" w:hanging="6662"/>
        <w:rPr>
          <w:snapToGrid/>
          <w:sz w:val="24"/>
        </w:rPr>
      </w:pPr>
      <w:r w:rsidRPr="00E17235">
        <w:rPr>
          <w:rFonts w:hint="eastAsia"/>
          <w:b/>
          <w:snapToGrid/>
        </w:rPr>
        <w:t xml:space="preserve">表1社福基金111至113年度各類別收容對象收容率統計表                                     </w:t>
      </w:r>
      <w:r w:rsidRPr="00E17235">
        <w:rPr>
          <w:rFonts w:hint="eastAsia"/>
          <w:snapToGrid/>
          <w:sz w:val="24"/>
        </w:rPr>
        <w:t>單位：人；%</w:t>
      </w:r>
    </w:p>
    <w:tbl>
      <w:tblPr>
        <w:tblW w:w="0" w:type="auto"/>
        <w:tblInd w:w="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780"/>
        <w:gridCol w:w="775"/>
        <w:gridCol w:w="775"/>
        <w:gridCol w:w="791"/>
        <w:gridCol w:w="775"/>
        <w:gridCol w:w="775"/>
        <w:gridCol w:w="780"/>
        <w:gridCol w:w="775"/>
        <w:gridCol w:w="840"/>
      </w:tblGrid>
      <w:tr w:rsidR="00E17235" w:rsidRPr="00E17235" w:rsidTr="00B4366B">
        <w:trPr>
          <w:tblHeader/>
        </w:trPr>
        <w:tc>
          <w:tcPr>
            <w:tcW w:w="961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 xml:space="preserve"> 年度</w:t>
            </w: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 xml:space="preserve"> 項目 </w:t>
            </w: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類別</w:t>
            </w:r>
          </w:p>
        </w:tc>
        <w:tc>
          <w:tcPr>
            <w:tcW w:w="231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111年度</w:t>
            </w:r>
          </w:p>
        </w:tc>
        <w:tc>
          <w:tcPr>
            <w:tcW w:w="2297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112年度</w:t>
            </w:r>
          </w:p>
        </w:tc>
        <w:tc>
          <w:tcPr>
            <w:tcW w:w="2400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113年度</w:t>
            </w:r>
          </w:p>
        </w:tc>
      </w:tr>
      <w:tr w:rsidR="00E17235" w:rsidRPr="00E17235" w:rsidTr="00B4366B">
        <w:trPr>
          <w:tblHeader/>
        </w:trPr>
        <w:tc>
          <w:tcPr>
            <w:tcW w:w="961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7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rFonts w:hint="eastAsia"/>
                <w:snapToGrid/>
              </w:rPr>
            </w:pPr>
            <w:r w:rsidRPr="00E17235">
              <w:rPr>
                <w:rFonts w:hint="eastAsia"/>
                <w:snapToGrid/>
              </w:rPr>
              <w:t>預計收容人數</w:t>
            </w:r>
          </w:p>
        </w:tc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實際收容人數</w:t>
            </w:r>
          </w:p>
        </w:tc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收容率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預計收容人數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實際收容人數</w:t>
            </w:r>
          </w:p>
        </w:tc>
        <w:tc>
          <w:tcPr>
            <w:tcW w:w="7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收容率</w:t>
            </w:r>
          </w:p>
        </w:tc>
        <w:tc>
          <w:tcPr>
            <w:tcW w:w="7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預計收容人數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實際收容人數</w:t>
            </w:r>
          </w:p>
        </w:tc>
        <w:tc>
          <w:tcPr>
            <w:tcW w:w="852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收容率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合計</w:t>
            </w:r>
          </w:p>
        </w:tc>
        <w:tc>
          <w:tcPr>
            <w:tcW w:w="7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3</w:t>
            </w:r>
            <w:r w:rsidRPr="00E17235">
              <w:rPr>
                <w:snapToGrid/>
                <w:sz w:val="22"/>
                <w:szCs w:val="22"/>
              </w:rPr>
              <w:t>,</w:t>
            </w:r>
            <w:r w:rsidRPr="00E17235">
              <w:rPr>
                <w:rFonts w:hint="eastAsia"/>
                <w:snapToGrid/>
                <w:sz w:val="22"/>
                <w:szCs w:val="22"/>
              </w:rPr>
              <w:t>486</w:t>
            </w:r>
          </w:p>
        </w:tc>
        <w:tc>
          <w:tcPr>
            <w:tcW w:w="7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,837</w:t>
            </w:r>
          </w:p>
        </w:tc>
        <w:tc>
          <w:tcPr>
            <w:tcW w:w="7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1.38</w:t>
            </w:r>
          </w:p>
        </w:tc>
        <w:tc>
          <w:tcPr>
            <w:tcW w:w="7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3</w:t>
            </w:r>
            <w:r w:rsidRPr="00E17235">
              <w:rPr>
                <w:snapToGrid/>
                <w:sz w:val="22"/>
                <w:szCs w:val="22"/>
              </w:rPr>
              <w:t>,323</w:t>
            </w:r>
          </w:p>
        </w:tc>
        <w:tc>
          <w:tcPr>
            <w:tcW w:w="72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,807</w:t>
            </w:r>
          </w:p>
        </w:tc>
        <w:tc>
          <w:tcPr>
            <w:tcW w:w="7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4.47</w:t>
            </w:r>
          </w:p>
        </w:tc>
        <w:tc>
          <w:tcPr>
            <w:tcW w:w="78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3</w:t>
            </w:r>
            <w:r w:rsidRPr="00E17235">
              <w:rPr>
                <w:snapToGrid/>
                <w:sz w:val="22"/>
                <w:szCs w:val="22"/>
              </w:rPr>
              <w:t>,298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,746</w:t>
            </w:r>
          </w:p>
        </w:tc>
        <w:tc>
          <w:tcPr>
            <w:tcW w:w="852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3.26</w:t>
            </w:r>
          </w:p>
        </w:tc>
      </w:tr>
      <w:tr w:rsidR="00E17235" w:rsidRPr="00E17235" w:rsidTr="00B4366B">
        <w:tc>
          <w:tcPr>
            <w:tcW w:w="961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安養</w:t>
            </w:r>
          </w:p>
        </w:tc>
        <w:tc>
          <w:tcPr>
            <w:tcW w:w="7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3</w:t>
            </w:r>
            <w:r w:rsidRPr="00E17235">
              <w:rPr>
                <w:snapToGrid/>
                <w:sz w:val="22"/>
                <w:szCs w:val="22"/>
              </w:rPr>
              <w:t>43</w:t>
            </w:r>
          </w:p>
        </w:tc>
        <w:tc>
          <w:tcPr>
            <w:tcW w:w="7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67</w:t>
            </w:r>
          </w:p>
        </w:tc>
        <w:tc>
          <w:tcPr>
            <w:tcW w:w="7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7.84</w:t>
            </w:r>
          </w:p>
        </w:tc>
        <w:tc>
          <w:tcPr>
            <w:tcW w:w="7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95</w:t>
            </w:r>
          </w:p>
        </w:tc>
        <w:tc>
          <w:tcPr>
            <w:tcW w:w="7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54</w:t>
            </w:r>
          </w:p>
        </w:tc>
        <w:tc>
          <w:tcPr>
            <w:tcW w:w="7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6.10</w:t>
            </w:r>
          </w:p>
        </w:tc>
        <w:tc>
          <w:tcPr>
            <w:tcW w:w="7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87</w:t>
            </w:r>
          </w:p>
        </w:tc>
        <w:tc>
          <w:tcPr>
            <w:tcW w:w="76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48</w:t>
            </w:r>
          </w:p>
        </w:tc>
        <w:tc>
          <w:tcPr>
            <w:tcW w:w="852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6.41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養護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72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46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3.68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46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51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7.27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47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74</w:t>
            </w:r>
          </w:p>
        </w:tc>
        <w:tc>
          <w:tcPr>
            <w:tcW w:w="85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0.23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失智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44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3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5</w:t>
            </w:r>
            <w:r w:rsidRPr="00E17235">
              <w:rPr>
                <w:snapToGrid/>
                <w:sz w:val="22"/>
                <w:szCs w:val="22"/>
              </w:rPr>
              <w:t>0.69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47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2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2.59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55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16</w:t>
            </w:r>
          </w:p>
        </w:tc>
        <w:tc>
          <w:tcPr>
            <w:tcW w:w="85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4.84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長照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67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10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8.65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71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28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4.13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75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32</w:t>
            </w:r>
          </w:p>
        </w:tc>
        <w:tc>
          <w:tcPr>
            <w:tcW w:w="85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4.36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lastRenderedPageBreak/>
              <w:t>日照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21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26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5</w:t>
            </w:r>
            <w:r w:rsidRPr="00E17235">
              <w:rPr>
                <w:snapToGrid/>
                <w:sz w:val="22"/>
                <w:szCs w:val="22"/>
              </w:rPr>
              <w:t>7.01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16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54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1.30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2</w:t>
            </w:r>
            <w:r w:rsidRPr="00E17235">
              <w:rPr>
                <w:snapToGrid/>
                <w:sz w:val="22"/>
                <w:szCs w:val="22"/>
              </w:rPr>
              <w:t>23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1</w:t>
            </w:r>
            <w:r w:rsidRPr="00E17235">
              <w:rPr>
                <w:snapToGrid/>
                <w:sz w:val="22"/>
                <w:szCs w:val="22"/>
              </w:rPr>
              <w:t>67</w:t>
            </w:r>
          </w:p>
        </w:tc>
        <w:tc>
          <w:tcPr>
            <w:tcW w:w="85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4.89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兒少</w:t>
            </w:r>
          </w:p>
          <w:p w:rsidR="00E17235" w:rsidRPr="00E17235" w:rsidRDefault="00E17235" w:rsidP="00E17235">
            <w:pPr>
              <w:pStyle w:val="142"/>
              <w:jc w:val="center"/>
              <w:rPr>
                <w:rFonts w:hint="eastAsia"/>
                <w:snapToGrid/>
              </w:rPr>
            </w:pPr>
            <w:r w:rsidRPr="00E17235">
              <w:rPr>
                <w:rFonts w:hint="eastAsia"/>
                <w:snapToGrid/>
              </w:rPr>
              <w:t>(教養)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69</w:t>
            </w:r>
          </w:p>
        </w:tc>
        <w:tc>
          <w:tcPr>
            <w:tcW w:w="75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5</w:t>
            </w:r>
            <w:r w:rsidRPr="00E17235">
              <w:rPr>
                <w:snapToGrid/>
                <w:sz w:val="22"/>
                <w:szCs w:val="22"/>
              </w:rPr>
              <w:t>75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4.77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78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5</w:t>
            </w:r>
            <w:r w:rsidRPr="00E17235">
              <w:rPr>
                <w:snapToGrid/>
                <w:sz w:val="22"/>
                <w:szCs w:val="22"/>
              </w:rPr>
              <w:t>07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7</w:t>
            </w:r>
            <w:r w:rsidRPr="00E17235">
              <w:rPr>
                <w:snapToGrid/>
                <w:sz w:val="22"/>
                <w:szCs w:val="22"/>
              </w:rPr>
              <w:t>4.78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41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4</w:t>
            </w:r>
            <w:r w:rsidRPr="00E17235">
              <w:rPr>
                <w:snapToGrid/>
                <w:sz w:val="22"/>
                <w:szCs w:val="22"/>
              </w:rPr>
              <w:t>13</w:t>
            </w:r>
          </w:p>
        </w:tc>
        <w:tc>
          <w:tcPr>
            <w:tcW w:w="85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6</w:t>
            </w:r>
            <w:r w:rsidRPr="00E17235">
              <w:rPr>
                <w:snapToGrid/>
                <w:sz w:val="22"/>
                <w:szCs w:val="22"/>
              </w:rPr>
              <w:t>4.43</w:t>
            </w:r>
          </w:p>
        </w:tc>
      </w:tr>
      <w:tr w:rsidR="00E17235" w:rsidRPr="00E17235" w:rsidTr="00B4366B">
        <w:tc>
          <w:tcPr>
            <w:tcW w:w="96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身心</w:t>
            </w:r>
          </w:p>
          <w:p w:rsidR="00E17235" w:rsidRPr="00E17235" w:rsidRDefault="00E17235" w:rsidP="00E17235">
            <w:pPr>
              <w:pStyle w:val="142"/>
              <w:jc w:val="center"/>
              <w:rPr>
                <w:snapToGrid/>
              </w:rPr>
            </w:pPr>
            <w:r w:rsidRPr="00E17235">
              <w:rPr>
                <w:rFonts w:hint="eastAsia"/>
                <w:snapToGrid/>
              </w:rPr>
              <w:t>障礙</w:t>
            </w:r>
          </w:p>
        </w:tc>
        <w:tc>
          <w:tcPr>
            <w:tcW w:w="78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70</w:t>
            </w:r>
          </w:p>
        </w:tc>
        <w:tc>
          <w:tcPr>
            <w:tcW w:w="75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40</w:t>
            </w:r>
          </w:p>
        </w:tc>
        <w:tc>
          <w:tcPr>
            <w:tcW w:w="77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6.91</w:t>
            </w:r>
          </w:p>
        </w:tc>
        <w:tc>
          <w:tcPr>
            <w:tcW w:w="79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70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21</w:t>
            </w:r>
          </w:p>
        </w:tc>
        <w:tc>
          <w:tcPr>
            <w:tcW w:w="77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4.95</w:t>
            </w:r>
          </w:p>
        </w:tc>
        <w:tc>
          <w:tcPr>
            <w:tcW w:w="78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70</w:t>
            </w:r>
          </w:p>
        </w:tc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8</w:t>
            </w:r>
            <w:r w:rsidRPr="00E17235">
              <w:rPr>
                <w:snapToGrid/>
                <w:sz w:val="22"/>
                <w:szCs w:val="22"/>
              </w:rPr>
              <w:t>96</w:t>
            </w:r>
          </w:p>
        </w:tc>
        <w:tc>
          <w:tcPr>
            <w:tcW w:w="85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7235" w:rsidRPr="00E17235" w:rsidRDefault="00E17235" w:rsidP="00E17235">
            <w:pPr>
              <w:pStyle w:val="142"/>
              <w:jc w:val="center"/>
              <w:rPr>
                <w:snapToGrid/>
                <w:sz w:val="22"/>
                <w:szCs w:val="22"/>
              </w:rPr>
            </w:pPr>
            <w:r w:rsidRPr="00E17235">
              <w:rPr>
                <w:rFonts w:hint="eastAsia"/>
                <w:snapToGrid/>
                <w:sz w:val="22"/>
                <w:szCs w:val="22"/>
              </w:rPr>
              <w:t>9</w:t>
            </w:r>
            <w:r w:rsidRPr="00E17235">
              <w:rPr>
                <w:snapToGrid/>
                <w:sz w:val="22"/>
                <w:szCs w:val="22"/>
              </w:rPr>
              <w:t>2.37</w:t>
            </w:r>
          </w:p>
        </w:tc>
      </w:tr>
    </w:tbl>
    <w:p w:rsidR="00E17235" w:rsidRPr="00E17235" w:rsidRDefault="00E17235" w:rsidP="00E17235">
      <w:pPr>
        <w:spacing w:line="280" w:lineRule="exact"/>
        <w:ind w:leftChars="0" w:left="0" w:firstLine="486"/>
        <w:jc w:val="left"/>
        <w:rPr>
          <w:snapToGrid/>
          <w:sz w:val="24"/>
        </w:rPr>
      </w:pPr>
      <w:r w:rsidRPr="00E17235">
        <w:rPr>
          <w:rFonts w:hint="eastAsia"/>
          <w:snapToGrid/>
          <w:sz w:val="24"/>
        </w:rPr>
        <w:t xml:space="preserve"> 資料來源</w:t>
      </w:r>
      <w:r w:rsidRPr="00E17235">
        <w:rPr>
          <w:rFonts w:hint="eastAsia"/>
          <w:snapToGrid/>
          <w:sz w:val="24"/>
          <w:lang w:eastAsia="zh-HK"/>
        </w:rPr>
        <w:t>：</w:t>
      </w:r>
      <w:r w:rsidRPr="00E17235">
        <w:rPr>
          <w:rFonts w:hint="eastAsia"/>
          <w:snapToGrid/>
          <w:sz w:val="24"/>
        </w:rPr>
        <w:t>社福基金提供</w:t>
      </w:r>
      <w:r w:rsidRPr="00E17235">
        <w:rPr>
          <w:rFonts w:hAnsi="標楷體" w:hint="eastAsia"/>
          <w:snapToGrid/>
          <w:sz w:val="24"/>
        </w:rPr>
        <w:t>，本中心彙整</w:t>
      </w:r>
      <w:r w:rsidRPr="00E17235">
        <w:rPr>
          <w:rFonts w:hint="eastAsia"/>
          <w:snapToGrid/>
          <w:sz w:val="24"/>
        </w:rPr>
        <w:t>。</w:t>
      </w:r>
    </w:p>
    <w:p w:rsidR="00E17235" w:rsidRPr="00016348" w:rsidRDefault="00E17235" w:rsidP="00016348">
      <w:pPr>
        <w:pStyle w:val="a5"/>
        <w:ind w:left="849" w:hanging="283"/>
        <w:rPr>
          <w:b/>
          <w:snapToGrid/>
        </w:rPr>
      </w:pPr>
      <w:r w:rsidRPr="00016348">
        <w:rPr>
          <w:rFonts w:hint="eastAsia"/>
          <w:b/>
          <w:snapToGrid/>
        </w:rPr>
        <w:t>(二)因收容人數不如預期</w:t>
      </w:r>
      <w:r w:rsidRPr="00016348">
        <w:rPr>
          <w:rFonts w:hAnsi="標楷體" w:hint="eastAsia"/>
          <w:b/>
          <w:snapToGrid/>
        </w:rPr>
        <w:t>，111至113年度</w:t>
      </w:r>
      <w:r w:rsidRPr="00016348">
        <w:rPr>
          <w:rFonts w:hint="eastAsia"/>
          <w:b/>
          <w:snapToGrid/>
        </w:rPr>
        <w:t>服務收入均未達標</w:t>
      </w:r>
      <w:r w:rsidRPr="00016348">
        <w:rPr>
          <w:b/>
          <w:snapToGrid/>
        </w:rPr>
        <w:t xml:space="preserve"> </w:t>
      </w:r>
    </w:p>
    <w:p w:rsidR="00E17235" w:rsidRPr="00E17235" w:rsidRDefault="00E17235" w:rsidP="00016348">
      <w:pPr>
        <w:pStyle w:val="21"/>
        <w:ind w:left="850" w:firstLine="566"/>
        <w:rPr>
          <w:b/>
          <w:snapToGrid/>
        </w:rPr>
      </w:pPr>
      <w:r w:rsidRPr="00E17235">
        <w:rPr>
          <w:rFonts w:hint="eastAsia"/>
          <w:snapToGrid/>
        </w:rPr>
        <w:t>依社福基金決算資料，111至113年度服務收入預算數各為4億9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307萬1千元、5億3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622萬7千元及6億626萬元</w:t>
      </w:r>
      <w:r w:rsidRPr="00E17235">
        <w:rPr>
          <w:rFonts w:hAnsi="標楷體" w:hint="eastAsia"/>
          <w:snapToGrid/>
        </w:rPr>
        <w:t>，同期間</w:t>
      </w:r>
      <w:r w:rsidRPr="00E17235">
        <w:rPr>
          <w:rFonts w:hint="eastAsia"/>
          <w:snapToGrid/>
        </w:rPr>
        <w:t>決算數各為4億2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337萬5千元</w:t>
      </w:r>
      <w:r w:rsidRPr="00E17235">
        <w:rPr>
          <w:rFonts w:hAnsi="標楷體" w:hint="eastAsia"/>
          <w:snapToGrid/>
        </w:rPr>
        <w:t>、</w:t>
      </w:r>
      <w:r w:rsidRPr="00E17235">
        <w:rPr>
          <w:rFonts w:hint="eastAsia"/>
          <w:snapToGrid/>
        </w:rPr>
        <w:t>4億9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308萬8千元及5億3</w:t>
      </w:r>
      <w:r w:rsidRPr="00E17235">
        <w:rPr>
          <w:snapToGrid/>
        </w:rPr>
        <w:t>,</w:t>
      </w:r>
      <w:r w:rsidRPr="00E17235">
        <w:rPr>
          <w:rFonts w:hint="eastAsia"/>
          <w:snapToGrid/>
        </w:rPr>
        <w:t>416萬元</w:t>
      </w:r>
      <w:r w:rsidRPr="00E17235">
        <w:rPr>
          <w:rFonts w:hAnsi="標楷體" w:hint="eastAsia"/>
          <w:snapToGrid/>
        </w:rPr>
        <w:t>，</w:t>
      </w:r>
      <w:r w:rsidRPr="00E17235">
        <w:rPr>
          <w:rFonts w:hint="eastAsia"/>
          <w:snapToGrid/>
        </w:rPr>
        <w:t>達成率分別為85.86%</w:t>
      </w:r>
      <w:r w:rsidRPr="00E17235">
        <w:rPr>
          <w:rFonts w:hAnsi="標楷體" w:hint="eastAsia"/>
          <w:snapToGrid/>
        </w:rPr>
        <w:t>、</w:t>
      </w:r>
      <w:r w:rsidRPr="00E17235">
        <w:rPr>
          <w:rFonts w:hint="eastAsia"/>
          <w:snapToGrid/>
        </w:rPr>
        <w:t>91.96%及88.11%</w:t>
      </w:r>
      <w:r w:rsidRPr="00E17235">
        <w:rPr>
          <w:rFonts w:hAnsi="標楷體" w:hint="eastAsia"/>
          <w:snapToGrid/>
        </w:rPr>
        <w:t>。</w:t>
      </w:r>
      <w:r w:rsidRPr="00E17235">
        <w:rPr>
          <w:rFonts w:hint="eastAsia"/>
          <w:snapToGrid/>
        </w:rPr>
        <w:t>依該基金說明</w:t>
      </w:r>
      <w:r w:rsidRPr="00E17235">
        <w:rPr>
          <w:rFonts w:hAnsi="標楷體" w:hint="eastAsia"/>
          <w:snapToGrid/>
        </w:rPr>
        <w:t>，</w:t>
      </w:r>
      <w:r w:rsidRPr="00E17235">
        <w:rPr>
          <w:rFonts w:hint="eastAsia"/>
          <w:snapToGrid/>
        </w:rPr>
        <w:t>服務收入未達標之主要係因C</w:t>
      </w:r>
      <w:r w:rsidRPr="00E17235">
        <w:rPr>
          <w:snapToGrid/>
        </w:rPr>
        <w:t>ovid-19</w:t>
      </w:r>
      <w:r w:rsidRPr="00E17235">
        <w:rPr>
          <w:rFonts w:hint="eastAsia"/>
          <w:snapToGrid/>
        </w:rPr>
        <w:t>疫情影響入住意願</w:t>
      </w:r>
      <w:r w:rsidRPr="00E17235">
        <w:rPr>
          <w:rFonts w:hAnsi="標楷體" w:hint="eastAsia"/>
          <w:snapToGrid/>
        </w:rPr>
        <w:t>、市</w:t>
      </w:r>
      <w:r w:rsidRPr="00E17235">
        <w:rPr>
          <w:rFonts w:hint="eastAsia"/>
          <w:snapToGrid/>
        </w:rPr>
        <w:t>縣政府轉介安置人數不如預期等原因</w:t>
      </w:r>
      <w:r w:rsidRPr="00E17235">
        <w:rPr>
          <w:rFonts w:hAnsi="標楷體" w:hint="eastAsia"/>
          <w:snapToGrid/>
        </w:rPr>
        <w:t>所致</w:t>
      </w:r>
      <w:r w:rsidRPr="00E17235">
        <w:rPr>
          <w:rFonts w:hint="eastAsia"/>
          <w:snapToGrid/>
        </w:rPr>
        <w:t>。</w:t>
      </w:r>
    </w:p>
    <w:p w:rsidR="00E17235" w:rsidRPr="00E17235" w:rsidRDefault="00E17235" w:rsidP="00E17235">
      <w:pPr>
        <w:ind w:left="566" w:firstLine="566"/>
        <w:rPr>
          <w:rFonts w:hAnsi="標楷體"/>
          <w:kern w:val="0"/>
        </w:rPr>
      </w:pPr>
      <w:r w:rsidRPr="00E17235">
        <w:rPr>
          <w:rFonts w:hint="eastAsia"/>
          <w:snapToGrid/>
        </w:rPr>
        <w:t>綜上，社福基金111至113</w:t>
      </w:r>
      <w:r w:rsidRPr="00E17235">
        <w:rPr>
          <w:rFonts w:hint="eastAsia"/>
        </w:rPr>
        <w:t>年度所屬社福機構收容率雖均逾八成</w:t>
      </w:r>
      <w:r w:rsidRPr="00E17235">
        <w:rPr>
          <w:rFonts w:hAnsi="標楷體" w:hint="eastAsia"/>
        </w:rPr>
        <w:t>，惟兒少教養、身心障礙類別收容率呈下滑情形，又收容人數受Covid-19疫情、市縣政府轉介安置不如預期等因素影響，致服務收入均未達標。社福基金允宜適時檢討收容政策，並妥善規劃機構空間運用，俾提升基金資產之運用效率</w:t>
      </w:r>
      <w:r w:rsidRPr="00E17235">
        <w:rPr>
          <w:rFonts w:hint="eastAsia"/>
          <w:snapToGrid/>
        </w:rPr>
        <w:t>。</w:t>
      </w:r>
    </w:p>
    <w:sectPr w:rsidR="00E17235" w:rsidRPr="00E1723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B37EB" w:rsidRPr="00FB37E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37EB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CB2764B-A4B4-4506-B35B-82A714A5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B8892-9885-45A7-9F0D-57B0BDA8F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