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E0606C"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Pr>
          <w:rFonts w:hint="eastAsia"/>
          <w:spacing w:val="-8"/>
        </w:rPr>
        <w:t>衛</w:t>
      </w:r>
      <w:r w:rsidR="00B02A43">
        <w:rPr>
          <w:rFonts w:hint="eastAsia"/>
          <w:spacing w:val="-8"/>
        </w:rPr>
        <w:t>生</w:t>
      </w:r>
      <w:r>
        <w:rPr>
          <w:rFonts w:hint="eastAsia"/>
          <w:spacing w:val="-8"/>
        </w:rPr>
        <w:t>福</w:t>
      </w:r>
      <w:r w:rsidR="00B02A43">
        <w:rPr>
          <w:rFonts w:hint="eastAsia"/>
          <w:spacing w:val="-8"/>
        </w:rPr>
        <w:t>利</w:t>
      </w:r>
      <w:r>
        <w:rPr>
          <w:rFonts w:hint="eastAsia"/>
          <w:spacing w:val="-8"/>
        </w:rPr>
        <w:t>部</w:t>
      </w:r>
      <w:r w:rsidR="00166061" w:rsidRPr="00F16E40">
        <w:rPr>
          <w:rFonts w:hint="eastAsia"/>
          <w:spacing w:val="-8"/>
        </w:rPr>
        <w:t>主管非營業基金</w:t>
      </w:r>
      <w:r w:rsidR="00603550" w:rsidRPr="00603550">
        <w:rPr>
          <w:rFonts w:hint="eastAsia"/>
          <w:spacing w:val="-8"/>
        </w:rPr>
        <w:t>及財團法人國家衛生研究院</w:t>
      </w:r>
      <w:r w:rsidR="005B7030" w:rsidRPr="00E921F3">
        <w:rPr>
          <w:color w:val="000000"/>
          <w:spacing w:val="-8"/>
        </w:rPr>
        <w:t>11</w:t>
      </w:r>
      <w:r w:rsidR="00322D0C">
        <w:rPr>
          <w:rFonts w:hint="eastAsia"/>
          <w:color w:val="000000"/>
          <w:spacing w:val="-8"/>
        </w:rPr>
        <w:t>3</w:t>
      </w:r>
      <w:r w:rsidR="005C29F0" w:rsidRPr="00E921F3">
        <w:rPr>
          <w:rFonts w:hint="eastAsia"/>
          <w:color w:val="000000"/>
          <w:spacing w:val="-8"/>
        </w:rPr>
        <w:t>年度</w:t>
      </w:r>
      <w:r w:rsidR="00166061" w:rsidRPr="00F16E40">
        <w:rPr>
          <w:rFonts w:hint="eastAsia"/>
          <w:spacing w:val="-8"/>
        </w:rPr>
        <w:t>決算評估報告</w:t>
      </w:r>
    </w:p>
    <w:p w:rsidR="00E17235" w:rsidRPr="001F2547" w:rsidRDefault="009F1AF6" w:rsidP="001F2547">
      <w:pPr>
        <w:pStyle w:val="14"/>
        <w:ind w:left="567" w:hanging="567"/>
      </w:pPr>
      <w:bookmarkStart w:id="49" w:name="_Toc224809652"/>
      <w:bookmarkStart w:id="50" w:name="_Toc22527077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1F2547">
        <w:rPr>
          <w:rFonts w:hint="eastAsia"/>
        </w:rPr>
        <w:t>一一</w:t>
      </w:r>
      <w:r w:rsidR="00E17235" w:rsidRPr="001F2547">
        <w:rPr>
          <w:rFonts w:hint="eastAsia"/>
        </w:rPr>
        <w:t>、迄113年底，「一國中學區一日照」政策未達標，允宜研謀善策，以利拓展後續相關資源之布建，俾達成日照服務資源可及性之目標</w:t>
      </w:r>
      <w:bookmarkEnd w:id="49"/>
      <w:bookmarkEnd w:id="50"/>
    </w:p>
    <w:p w:rsidR="00E17235" w:rsidRPr="00E17235" w:rsidRDefault="00E17235" w:rsidP="00E17235">
      <w:pPr>
        <w:ind w:left="566" w:firstLine="566"/>
        <w:rPr>
          <w:rFonts w:hAnsi="標楷體"/>
        </w:rPr>
      </w:pPr>
      <w:r w:rsidRPr="00E17235">
        <w:rPr>
          <w:rFonts w:hint="eastAsia"/>
        </w:rPr>
        <w:t>長照基金113年度</w:t>
      </w:r>
      <w:r w:rsidRPr="00E17235">
        <w:rPr>
          <w:rFonts w:hAnsi="標楷體" w:hint="eastAsia"/>
        </w:rPr>
        <w:t>「完善長照服務輸送體系</w:t>
      </w:r>
      <w:r w:rsidRPr="00E17235">
        <w:rPr>
          <w:rFonts w:hint="eastAsia"/>
        </w:rPr>
        <w:t>計畫</w:t>
      </w:r>
      <w:r w:rsidRPr="00E17235">
        <w:rPr>
          <w:rFonts w:hAnsi="標楷體" w:hint="eastAsia"/>
        </w:rPr>
        <w:t>－</w:t>
      </w:r>
      <w:r w:rsidRPr="00E17235">
        <w:rPr>
          <w:rFonts w:hint="eastAsia"/>
        </w:rPr>
        <w:t>捐助</w:t>
      </w:r>
      <w:r w:rsidRPr="00E17235">
        <w:rPr>
          <w:rFonts w:hAnsi="標楷體" w:hint="eastAsia"/>
        </w:rPr>
        <w:t>、</w:t>
      </w:r>
      <w:r w:rsidRPr="00E17235">
        <w:rPr>
          <w:rFonts w:hint="eastAsia"/>
        </w:rPr>
        <w:t>補助與獎助</w:t>
      </w:r>
      <w:r w:rsidRPr="00E17235">
        <w:rPr>
          <w:rFonts w:hAnsi="標楷體" w:hint="eastAsia"/>
        </w:rPr>
        <w:t>」科目就獎助居家式及社區式長照機構資源布建</w:t>
      </w:r>
      <w:r w:rsidRPr="00E17235">
        <w:rPr>
          <w:rFonts w:hint="eastAsia"/>
        </w:rPr>
        <w:t>所需經費編列51億5</w:t>
      </w:r>
      <w:r w:rsidRPr="00E17235">
        <w:t>,</w:t>
      </w:r>
      <w:r w:rsidRPr="00E17235">
        <w:rPr>
          <w:rFonts w:hint="eastAsia"/>
        </w:rPr>
        <w:t>311萬元</w:t>
      </w:r>
      <w:r w:rsidRPr="00E17235">
        <w:rPr>
          <w:rFonts w:hAnsi="標楷體" w:hint="eastAsia"/>
        </w:rPr>
        <w:t>，決算數40億7</w:t>
      </w:r>
      <w:r w:rsidRPr="00E17235">
        <w:rPr>
          <w:rFonts w:hAnsi="標楷體"/>
        </w:rPr>
        <w:t>,</w:t>
      </w:r>
      <w:r w:rsidRPr="00E17235">
        <w:rPr>
          <w:rFonts w:hAnsi="標楷體" w:hint="eastAsia"/>
        </w:rPr>
        <w:t>222萬4千元，預算執行率79.02%。迄</w:t>
      </w:r>
      <w:r w:rsidRPr="00E17235">
        <w:rPr>
          <w:rFonts w:hint="eastAsia"/>
        </w:rPr>
        <w:t>113年底「一國中學區一日照」政策期程屆至未達標之情形</w:t>
      </w:r>
      <w:r w:rsidRPr="00E17235">
        <w:rPr>
          <w:rFonts w:hAnsi="標楷體" w:hint="eastAsia"/>
        </w:rPr>
        <w:t>，謹敘明如次</w:t>
      </w:r>
      <w:r w:rsidRPr="00E17235">
        <w:rPr>
          <w:rFonts w:ascii="新細明體" w:eastAsia="新細明體" w:hAnsi="新細明體" w:hint="eastAsia"/>
        </w:rPr>
        <w:t>：</w:t>
      </w:r>
    </w:p>
    <w:p w:rsidR="00E17235" w:rsidRPr="00016348" w:rsidRDefault="00E17235" w:rsidP="00016348">
      <w:pPr>
        <w:pStyle w:val="a5"/>
        <w:ind w:left="849" w:hanging="283"/>
        <w:rPr>
          <w:rFonts w:hint="eastAsia"/>
          <w:b/>
          <w:snapToGrid/>
        </w:rPr>
      </w:pPr>
      <w:r w:rsidRPr="00016348">
        <w:rPr>
          <w:rFonts w:hint="eastAsia"/>
          <w:b/>
          <w:snapToGrid/>
        </w:rPr>
        <w:t>(一)「一國中學區一日照」政策係為落實提升民眾對日照服務資源可及性之目標</w:t>
      </w:r>
    </w:p>
    <w:p w:rsidR="00E17235" w:rsidRPr="00E17235" w:rsidRDefault="00E17235" w:rsidP="00016348">
      <w:pPr>
        <w:pStyle w:val="21"/>
        <w:ind w:left="850" w:firstLine="566"/>
        <w:rPr>
          <w:snapToGrid/>
        </w:rPr>
      </w:pPr>
      <w:r w:rsidRPr="00E17235">
        <w:rPr>
          <w:rFonts w:hint="eastAsia"/>
          <w:snapToGrid/>
        </w:rPr>
        <w:t>衛福部因應近年我國人口結構加速老化之趨勢，為增進社區內失能失智民眾使用日間照顧服務之可近性與便利性，進而提升社區式長照資源使用率，考量國中學區與地方生活圈之概念較類似，該部自108年度起結合地方政府共同推動日照服務資源之普及化，以「一國中學區一日照」為目標，預計於113年度全國816個國中學區均能有日照服務資源，俾利服務資源均衡分布。</w:t>
      </w:r>
    </w:p>
    <w:p w:rsidR="00E17235" w:rsidRPr="00016348" w:rsidRDefault="00E17235" w:rsidP="00016348">
      <w:pPr>
        <w:pStyle w:val="a5"/>
        <w:ind w:left="849" w:hanging="283"/>
        <w:rPr>
          <w:rFonts w:hint="eastAsia"/>
          <w:b/>
          <w:snapToGrid/>
        </w:rPr>
      </w:pPr>
      <w:r w:rsidRPr="00016348">
        <w:rPr>
          <w:rFonts w:hint="eastAsia"/>
          <w:b/>
          <w:snapToGrid/>
        </w:rPr>
        <w:t>(二)迄113年底</w:t>
      </w:r>
      <w:r w:rsidRPr="00016348">
        <w:rPr>
          <w:rFonts w:hAnsi="標楷體" w:hint="eastAsia"/>
          <w:b/>
          <w:snapToGrid/>
        </w:rPr>
        <w:t>，</w:t>
      </w:r>
      <w:r w:rsidRPr="00016348">
        <w:rPr>
          <w:rFonts w:hint="eastAsia"/>
          <w:b/>
          <w:snapToGrid/>
        </w:rPr>
        <w:t>「一國中學區一日照」政策期程已屆</w:t>
      </w:r>
      <w:r w:rsidRPr="00016348">
        <w:rPr>
          <w:rFonts w:hAnsi="標楷體" w:hint="eastAsia"/>
          <w:b/>
          <w:snapToGrid/>
        </w:rPr>
        <w:t>，</w:t>
      </w:r>
      <w:r w:rsidRPr="00016348">
        <w:rPr>
          <w:rFonts w:hint="eastAsia"/>
          <w:b/>
          <w:snapToGrid/>
        </w:rPr>
        <w:t>達標率雖逾九成</w:t>
      </w:r>
      <w:r w:rsidRPr="00016348">
        <w:rPr>
          <w:rFonts w:hAnsi="標楷體" w:hint="eastAsia"/>
          <w:b/>
          <w:snapToGrid/>
        </w:rPr>
        <w:t>，惟近半數</w:t>
      </w:r>
      <w:r w:rsidRPr="00016348">
        <w:rPr>
          <w:rFonts w:hint="eastAsia"/>
          <w:b/>
          <w:snapToGrid/>
        </w:rPr>
        <w:t>市縣仍未及整體達標率</w:t>
      </w:r>
    </w:p>
    <w:p w:rsidR="00E17235" w:rsidRPr="00016348" w:rsidRDefault="00E17235" w:rsidP="00016348">
      <w:pPr>
        <w:pStyle w:val="21"/>
        <w:ind w:left="850" w:firstLine="566"/>
      </w:pPr>
      <w:r w:rsidRPr="00016348">
        <w:rPr>
          <w:rFonts w:hint="eastAsia"/>
        </w:rPr>
        <w:t>依長照基金提供資料，「一國中學區一日照」全國816個國中學區中，已完成目標之學區數計736個，達成率90.2%，雖已逾九成，惟臺中市(90%)、南投縣(87.5%)、臺北市(84.72%)、基隆市(80%)、花蓮縣(78.26%)、新竹縣(78.13%)、苗栗縣(73.53%)、臺東縣(72.73%)、連江縣(60%)、澎湖縣(50%)等10</w:t>
      </w:r>
      <w:r w:rsidRPr="00016348">
        <w:rPr>
          <w:rFonts w:hint="eastAsia"/>
        </w:rPr>
        <w:lastRenderedPageBreak/>
        <w:t>個市縣達標率未及整體平均(詳表1)。經洽據衛福部表示，國中學區之日照中心設置障礙包括都會區之土地取得成本較高、空間較不足，偏遠地區則係居住人口較少、日照需求難以支撐永續營運。衛福部允宜持續協助地方政府尋求替代方案，以提升社區民眾對日照資源之可及性。</w:t>
      </w:r>
    </w:p>
    <w:p w:rsidR="00E17235" w:rsidRPr="00E17235" w:rsidRDefault="00E17235" w:rsidP="00E17235">
      <w:pPr>
        <w:ind w:leftChars="70" w:left="198" w:right="777" w:firstLineChars="0" w:firstLine="264"/>
        <w:jc w:val="right"/>
        <w:rPr>
          <w:b/>
        </w:rPr>
      </w:pPr>
      <w:r w:rsidRPr="00E17235">
        <w:rPr>
          <w:rFonts w:hint="eastAsia"/>
          <w:b/>
          <w:snapToGrid/>
        </w:rPr>
        <w:t>表1 截至113年底</w:t>
      </w:r>
      <w:r w:rsidRPr="00E17235">
        <w:rPr>
          <w:rFonts w:hAnsi="標楷體" w:hint="eastAsia"/>
          <w:b/>
          <w:snapToGrid/>
        </w:rPr>
        <w:t>「</w:t>
      </w:r>
      <w:r w:rsidRPr="00E17235">
        <w:rPr>
          <w:rFonts w:hint="eastAsia"/>
          <w:b/>
          <w:snapToGrid/>
        </w:rPr>
        <w:t>一國中學區一日照</w:t>
      </w:r>
      <w:r w:rsidRPr="00E17235">
        <w:rPr>
          <w:rFonts w:hAnsi="標楷體" w:hint="eastAsia"/>
          <w:b/>
          <w:snapToGrid/>
        </w:rPr>
        <w:t>」</w:t>
      </w:r>
      <w:r w:rsidRPr="00E17235">
        <w:rPr>
          <w:rFonts w:hint="eastAsia"/>
          <w:b/>
          <w:snapToGrid/>
        </w:rPr>
        <w:t>推動成果統計表</w:t>
      </w:r>
    </w:p>
    <w:p w:rsidR="00E17235" w:rsidRPr="00E17235" w:rsidRDefault="00E17235" w:rsidP="00E17235">
      <w:pPr>
        <w:spacing w:line="400" w:lineRule="exact"/>
        <w:ind w:leftChars="217" w:left="6115" w:hangingChars="1942" w:hanging="5500"/>
        <w:rPr>
          <w:rFonts w:hAnsi="標楷體"/>
          <w:snapToGrid/>
        </w:rPr>
      </w:pPr>
      <w:r w:rsidRPr="00E17235">
        <w:rPr>
          <w:rFonts w:ascii="新細明體" w:eastAsia="新細明體" w:hAnsi="新細明體"/>
          <w:snapToGrid/>
        </w:rPr>
        <w:t xml:space="preserve">  </w:t>
      </w:r>
      <w:r w:rsidRPr="00E17235">
        <w:rPr>
          <w:rFonts w:ascii="新細明體" w:eastAsia="新細明體" w:hAnsi="新細明體" w:hint="eastAsia"/>
          <w:snapToGrid/>
        </w:rPr>
        <w:t xml:space="preserve">  </w:t>
      </w:r>
      <w:r w:rsidRPr="00E17235">
        <w:rPr>
          <w:rFonts w:ascii="新細明體" w:eastAsia="新細明體" w:hAnsi="新細明體"/>
          <w:snapToGrid/>
        </w:rPr>
        <w:t xml:space="preserve">                                 </w:t>
      </w:r>
      <w:r w:rsidRPr="00E17235">
        <w:rPr>
          <w:rFonts w:ascii="新細明體" w:eastAsia="新細明體" w:hAnsi="新細明體" w:hint="eastAsia"/>
          <w:snapToGrid/>
        </w:rPr>
        <w:t xml:space="preserve">     </w:t>
      </w:r>
      <w:r w:rsidRPr="00E17235">
        <w:rPr>
          <w:rFonts w:hint="eastAsia"/>
          <w:snapToGrid/>
          <w:sz w:val="24"/>
        </w:rPr>
        <w:t>單位：個；家</w:t>
      </w:r>
      <w:r w:rsidRPr="00E17235">
        <w:rPr>
          <w:rFonts w:hAnsi="標楷體" w:hint="eastAsia"/>
          <w:snapToGrid/>
          <w:sz w:val="24"/>
        </w:rPr>
        <w:t>；</w:t>
      </w:r>
      <w:r w:rsidRPr="00E17235">
        <w:rPr>
          <w:rFonts w:hint="eastAsia"/>
          <w:snapToGrid/>
          <w:sz w:val="24"/>
        </w:rPr>
        <w:t>%</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1736"/>
        <w:gridCol w:w="1736"/>
        <w:gridCol w:w="1736"/>
        <w:gridCol w:w="1737"/>
      </w:tblGrid>
      <w:tr w:rsidR="00E17235" w:rsidRPr="00E17235" w:rsidTr="00B4366B">
        <w:trPr>
          <w:tblHeader/>
        </w:trPr>
        <w:tc>
          <w:tcPr>
            <w:tcW w:w="972" w:type="dxa"/>
            <w:tcBorders>
              <w:top w:val="single" w:sz="12" w:space="0" w:color="auto"/>
              <w:left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市縣別</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轄內國中</w:t>
            </w:r>
          </w:p>
          <w:p w:rsidR="00E17235" w:rsidRPr="00016348" w:rsidRDefault="00E17235" w:rsidP="00E17235">
            <w:pPr>
              <w:pStyle w:val="142"/>
              <w:jc w:val="center"/>
              <w:rPr>
                <w:snapToGrid/>
                <w:szCs w:val="24"/>
              </w:rPr>
            </w:pPr>
            <w:r w:rsidRPr="00016348">
              <w:rPr>
                <w:rFonts w:hint="eastAsia"/>
                <w:snapToGrid/>
                <w:szCs w:val="24"/>
              </w:rPr>
              <w:t>學區數</w:t>
            </w: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A</w:t>
            </w:r>
            <w:r w:rsidRPr="00016348">
              <w:rPr>
                <w:rFonts w:hint="eastAsia"/>
                <w:snapToGrid/>
                <w:szCs w:val="24"/>
              </w:rPr>
              <w:t>)</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已完成布建</w:t>
            </w:r>
          </w:p>
          <w:p w:rsidR="00E17235" w:rsidRPr="00016348" w:rsidRDefault="00E17235" w:rsidP="00E17235">
            <w:pPr>
              <w:pStyle w:val="142"/>
              <w:jc w:val="center"/>
              <w:rPr>
                <w:snapToGrid/>
                <w:szCs w:val="24"/>
              </w:rPr>
            </w:pPr>
            <w:r w:rsidRPr="00016348">
              <w:rPr>
                <w:rFonts w:hint="eastAsia"/>
                <w:snapToGrid/>
                <w:szCs w:val="24"/>
              </w:rPr>
              <w:t>之國中學區數</w:t>
            </w: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B)</w:t>
            </w:r>
          </w:p>
        </w:tc>
        <w:tc>
          <w:tcPr>
            <w:tcW w:w="1736" w:type="dxa"/>
            <w:tcBorders>
              <w:top w:val="single" w:sz="12" w:space="0" w:color="auto"/>
              <w:bottom w:val="single" w:sz="4"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已正式營運之日照中心數</w:t>
            </w:r>
          </w:p>
        </w:tc>
        <w:tc>
          <w:tcPr>
            <w:tcW w:w="1737" w:type="dxa"/>
            <w:tcBorders>
              <w:top w:val="single" w:sz="12" w:space="0" w:color="auto"/>
              <w:bottom w:val="single" w:sz="4" w:space="0" w:color="auto"/>
              <w:right w:val="single" w:sz="12" w:space="0" w:color="auto"/>
            </w:tcBorders>
            <w:shd w:val="clear" w:color="auto" w:fill="auto"/>
          </w:tcPr>
          <w:p w:rsidR="00E17235" w:rsidRPr="00016348" w:rsidRDefault="00E17235" w:rsidP="00E17235">
            <w:pPr>
              <w:pStyle w:val="142"/>
              <w:jc w:val="center"/>
              <w:rPr>
                <w:snapToGrid/>
                <w:szCs w:val="24"/>
              </w:rPr>
            </w:pPr>
            <w:r w:rsidRPr="00016348">
              <w:rPr>
                <w:rFonts w:hint="eastAsia"/>
                <w:snapToGrid/>
                <w:szCs w:val="24"/>
              </w:rPr>
              <w:t>達標率</w:t>
            </w:r>
          </w:p>
          <w:p w:rsidR="00E17235" w:rsidRPr="00016348" w:rsidRDefault="00E17235" w:rsidP="00E17235">
            <w:pPr>
              <w:pStyle w:val="142"/>
              <w:jc w:val="center"/>
              <w:rPr>
                <w:snapToGrid/>
                <w:szCs w:val="24"/>
              </w:rPr>
            </w:pPr>
          </w:p>
          <w:p w:rsidR="00E17235" w:rsidRPr="00016348" w:rsidRDefault="00E17235" w:rsidP="00E17235">
            <w:pPr>
              <w:pStyle w:val="142"/>
              <w:jc w:val="center"/>
              <w:rPr>
                <w:rFonts w:hint="eastAsia"/>
                <w:snapToGrid/>
                <w:szCs w:val="24"/>
              </w:rPr>
            </w:pPr>
            <w:r w:rsidRPr="00016348">
              <w:rPr>
                <w:rFonts w:hint="eastAsia"/>
                <w:snapToGrid/>
                <w:szCs w:val="24"/>
              </w:rPr>
              <w:t>(</w:t>
            </w:r>
            <w:r w:rsidRPr="00016348">
              <w:rPr>
                <w:snapToGrid/>
                <w:szCs w:val="24"/>
              </w:rPr>
              <w:t>B/A)</w:t>
            </w:r>
          </w:p>
        </w:tc>
      </w:tr>
      <w:tr w:rsidR="00E17235" w:rsidRPr="00E17235" w:rsidTr="00E17235">
        <w:tc>
          <w:tcPr>
            <w:tcW w:w="972" w:type="dxa"/>
            <w:tcBorders>
              <w:left w:val="single" w:sz="12" w:space="0" w:color="auto"/>
              <w:bottom w:val="double" w:sz="4" w:space="0" w:color="auto"/>
            </w:tcBorders>
            <w:shd w:val="clear" w:color="auto" w:fill="auto"/>
            <w:vAlign w:val="center"/>
          </w:tcPr>
          <w:p w:rsidR="00E17235" w:rsidRPr="00016348" w:rsidRDefault="00E17235" w:rsidP="00E17235">
            <w:pPr>
              <w:pStyle w:val="142"/>
              <w:jc w:val="center"/>
              <w:rPr>
                <w:snapToGrid/>
                <w:szCs w:val="24"/>
              </w:rPr>
            </w:pPr>
            <w:r w:rsidRPr="00016348">
              <w:rPr>
                <w:rFonts w:hint="eastAsia"/>
                <w:snapToGrid/>
                <w:szCs w:val="24"/>
              </w:rPr>
              <w:t>整體</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816</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736</w:t>
            </w:r>
          </w:p>
        </w:tc>
        <w:tc>
          <w:tcPr>
            <w:tcW w:w="1736" w:type="dxa"/>
            <w:tcBorders>
              <w:bottom w:val="double" w:sz="4"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w:t>
            </w:r>
            <w:r w:rsidRPr="00016348">
              <w:rPr>
                <w:rFonts w:hint="eastAsia"/>
                <w:snapToGrid/>
                <w:szCs w:val="24"/>
              </w:rPr>
              <w:t>114</w:t>
            </w:r>
          </w:p>
        </w:tc>
        <w:tc>
          <w:tcPr>
            <w:tcW w:w="1737" w:type="dxa"/>
            <w:tcBorders>
              <w:bottom w:val="double" w:sz="4" w:space="0" w:color="auto"/>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0.20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臺北市</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6</w:t>
            </w:r>
            <w:r w:rsidRPr="00016348">
              <w:rPr>
                <w:snapToGrid/>
                <w:color w:val="FF0000"/>
                <w:szCs w:val="24"/>
              </w:rPr>
              <w:t>1</w:t>
            </w:r>
          </w:p>
        </w:tc>
        <w:tc>
          <w:tcPr>
            <w:tcW w:w="1736" w:type="dxa"/>
            <w:tcBorders>
              <w:top w:val="double" w:sz="4"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w:t>
            </w:r>
          </w:p>
        </w:tc>
        <w:tc>
          <w:tcPr>
            <w:tcW w:w="1737" w:type="dxa"/>
            <w:tcBorders>
              <w:top w:val="double" w:sz="4" w:space="0" w:color="auto"/>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4.72</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新北市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2</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14</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1.14</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桃園市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1.53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臺中市</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48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臺南市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29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高雄市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35</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新竹縣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7</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8.13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苗栗縣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4</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2</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3.53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彰化縣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1</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0</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0</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7.56</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南投縣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8</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7</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7.50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雲林縣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2</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r w:rsidRPr="00016348">
              <w:rPr>
                <w:snapToGrid/>
                <w:szCs w:val="24"/>
              </w:rPr>
              <w:t>1</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4.12</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嘉義縣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2.31</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屏東縣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3</w:t>
            </w:r>
            <w:r w:rsidRPr="00016348">
              <w:rPr>
                <w:snapToGrid/>
                <w:szCs w:val="24"/>
              </w:rPr>
              <w:t>9</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7</w:t>
            </w:r>
            <w:r w:rsidRPr="00016348">
              <w:rPr>
                <w:snapToGrid/>
                <w:szCs w:val="24"/>
              </w:rPr>
              <w:t>3</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rFonts w:hint="eastAsia"/>
                <w:snapToGrid/>
                <w:szCs w:val="24"/>
              </w:rPr>
              <w:t>宜蘭縣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2</w:t>
            </w:r>
            <w:r w:rsidRPr="00016348">
              <w:rPr>
                <w:snapToGrid/>
                <w:szCs w:val="24"/>
              </w:rPr>
              <w:t>6</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4</w:t>
            </w:r>
            <w:r w:rsidRPr="00016348">
              <w:rPr>
                <w:snapToGrid/>
                <w:szCs w:val="24"/>
              </w:rPr>
              <w:t>3</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花蓮縣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3</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8</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8.26</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臺東縣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2</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6</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6</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r w:rsidRPr="00016348">
              <w:rPr>
                <w:snapToGrid/>
                <w:color w:val="FF0000"/>
                <w:szCs w:val="24"/>
              </w:rPr>
              <w:t>2.73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基隆市</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5</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2</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8</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新竹市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4</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9</w:t>
            </w:r>
            <w:r w:rsidRPr="00016348">
              <w:rPr>
                <w:snapToGrid/>
                <w:szCs w:val="24"/>
              </w:rPr>
              <w:t>3.33</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嘉義市</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8</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8</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rFonts w:hint="eastAsia"/>
                <w:snapToGrid/>
                <w:color w:val="FF0000"/>
                <w:szCs w:val="24"/>
              </w:rPr>
              <w:t>澎湖縣</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r w:rsidRPr="00016348">
              <w:rPr>
                <w:snapToGrid/>
                <w:color w:val="FF0000"/>
                <w:szCs w:val="24"/>
              </w:rPr>
              <w:t>4</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7</w:t>
            </w:r>
          </w:p>
        </w:tc>
        <w:tc>
          <w:tcPr>
            <w:tcW w:w="1736" w:type="dxa"/>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9</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5</w:t>
            </w:r>
            <w:r w:rsidRPr="00016348">
              <w:rPr>
                <w:snapToGrid/>
                <w:color w:val="FF0000"/>
                <w:szCs w:val="24"/>
              </w:rPr>
              <w:t>0.00</w:t>
            </w:r>
          </w:p>
        </w:tc>
      </w:tr>
      <w:tr w:rsidR="00E17235" w:rsidRPr="00E17235" w:rsidTr="00E17235">
        <w:tc>
          <w:tcPr>
            <w:tcW w:w="972" w:type="dxa"/>
            <w:tcBorders>
              <w:left w:val="single" w:sz="12" w:space="0" w:color="auto"/>
            </w:tcBorders>
            <w:shd w:val="clear" w:color="auto" w:fill="auto"/>
            <w:vAlign w:val="center"/>
          </w:tcPr>
          <w:p w:rsidR="00E17235" w:rsidRPr="00016348" w:rsidRDefault="00E17235" w:rsidP="00E17235">
            <w:pPr>
              <w:pStyle w:val="142"/>
              <w:jc w:val="center"/>
              <w:rPr>
                <w:snapToGrid/>
                <w:szCs w:val="24"/>
              </w:rPr>
            </w:pPr>
            <w:r w:rsidRPr="00016348">
              <w:rPr>
                <w:snapToGrid/>
                <w:szCs w:val="24"/>
              </w:rPr>
              <w:t>金門縣</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5</w:t>
            </w:r>
          </w:p>
        </w:tc>
        <w:tc>
          <w:tcPr>
            <w:tcW w:w="1736" w:type="dxa"/>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6</w:t>
            </w:r>
          </w:p>
        </w:tc>
        <w:tc>
          <w:tcPr>
            <w:tcW w:w="1737" w:type="dxa"/>
            <w:tcBorders>
              <w:right w:val="single" w:sz="12" w:space="0" w:color="auto"/>
            </w:tcBorders>
            <w:shd w:val="clear" w:color="auto" w:fill="auto"/>
            <w:vAlign w:val="center"/>
          </w:tcPr>
          <w:p w:rsidR="00E17235" w:rsidRPr="00016348" w:rsidRDefault="00E17235" w:rsidP="00E17235">
            <w:pPr>
              <w:pStyle w:val="142"/>
              <w:jc w:val="right"/>
              <w:rPr>
                <w:snapToGrid/>
                <w:szCs w:val="24"/>
              </w:rPr>
            </w:pPr>
            <w:r w:rsidRPr="00016348">
              <w:rPr>
                <w:rFonts w:hint="eastAsia"/>
                <w:snapToGrid/>
                <w:szCs w:val="24"/>
              </w:rPr>
              <w:t>1</w:t>
            </w:r>
            <w:r w:rsidRPr="00016348">
              <w:rPr>
                <w:snapToGrid/>
                <w:szCs w:val="24"/>
              </w:rPr>
              <w:t>00.00</w:t>
            </w:r>
          </w:p>
        </w:tc>
      </w:tr>
      <w:tr w:rsidR="00E17235" w:rsidRPr="00E17235" w:rsidTr="00E17235">
        <w:tc>
          <w:tcPr>
            <w:tcW w:w="972" w:type="dxa"/>
            <w:tcBorders>
              <w:left w:val="single" w:sz="12" w:space="0" w:color="auto"/>
              <w:bottom w:val="single" w:sz="12" w:space="0" w:color="auto"/>
            </w:tcBorders>
            <w:shd w:val="clear" w:color="auto" w:fill="auto"/>
            <w:vAlign w:val="center"/>
          </w:tcPr>
          <w:p w:rsidR="00E17235" w:rsidRPr="00016348" w:rsidRDefault="00E17235" w:rsidP="00E17235">
            <w:pPr>
              <w:pStyle w:val="142"/>
              <w:jc w:val="center"/>
              <w:rPr>
                <w:snapToGrid/>
                <w:color w:val="FF0000"/>
                <w:szCs w:val="24"/>
              </w:rPr>
            </w:pPr>
            <w:r w:rsidRPr="00016348">
              <w:rPr>
                <w:snapToGrid/>
                <w:color w:val="FF0000"/>
                <w:szCs w:val="24"/>
              </w:rPr>
              <w:t>連江縣</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5</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3</w:t>
            </w:r>
          </w:p>
        </w:tc>
        <w:tc>
          <w:tcPr>
            <w:tcW w:w="1736" w:type="dxa"/>
            <w:tcBorders>
              <w:bottom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1</w:t>
            </w:r>
          </w:p>
        </w:tc>
        <w:tc>
          <w:tcPr>
            <w:tcW w:w="1737" w:type="dxa"/>
            <w:tcBorders>
              <w:bottom w:val="single" w:sz="12" w:space="0" w:color="auto"/>
              <w:right w:val="single" w:sz="12" w:space="0" w:color="auto"/>
            </w:tcBorders>
            <w:shd w:val="clear" w:color="auto" w:fill="auto"/>
            <w:vAlign w:val="center"/>
          </w:tcPr>
          <w:p w:rsidR="00E17235" w:rsidRPr="00016348" w:rsidRDefault="00E17235" w:rsidP="00E17235">
            <w:pPr>
              <w:pStyle w:val="142"/>
              <w:jc w:val="right"/>
              <w:rPr>
                <w:snapToGrid/>
                <w:color w:val="FF0000"/>
                <w:szCs w:val="24"/>
              </w:rPr>
            </w:pPr>
            <w:r w:rsidRPr="00016348">
              <w:rPr>
                <w:rFonts w:hint="eastAsia"/>
                <w:snapToGrid/>
                <w:color w:val="FF0000"/>
                <w:szCs w:val="24"/>
              </w:rPr>
              <w:t>6</w:t>
            </w:r>
            <w:r w:rsidRPr="00016348">
              <w:rPr>
                <w:snapToGrid/>
                <w:color w:val="FF0000"/>
                <w:szCs w:val="24"/>
              </w:rPr>
              <w:t>0.00</w:t>
            </w:r>
          </w:p>
        </w:tc>
      </w:tr>
    </w:tbl>
    <w:p w:rsidR="00E17235" w:rsidRPr="00E17235" w:rsidRDefault="00E17235" w:rsidP="00E17235">
      <w:pPr>
        <w:spacing w:line="280" w:lineRule="exact"/>
        <w:ind w:leftChars="198" w:left="2015" w:hangingChars="598" w:hanging="1454"/>
        <w:rPr>
          <w:rFonts w:hAnsi="標楷體"/>
          <w:sz w:val="24"/>
          <w:szCs w:val="24"/>
        </w:rPr>
      </w:pPr>
      <w:r w:rsidRPr="00E17235">
        <w:rPr>
          <w:rFonts w:hAnsi="標楷體" w:hint="eastAsia"/>
          <w:sz w:val="24"/>
          <w:szCs w:val="24"/>
        </w:rPr>
        <w:t>說    明：1.本表已完成布建之國中學區數係採計已取得籌設許可、已完成設立許可、前瞻計畫核定補助案件、地方自建工程已發包案件及位於可替代學區已設立家庭托顧者之學區數。</w:t>
      </w:r>
    </w:p>
    <w:p w:rsidR="00E17235" w:rsidRPr="00E17235" w:rsidRDefault="00E17235" w:rsidP="00E17235">
      <w:pPr>
        <w:spacing w:line="280" w:lineRule="exact"/>
        <w:ind w:leftChars="238" w:left="1834" w:hangingChars="477" w:hanging="1160"/>
        <w:rPr>
          <w:rFonts w:hAnsi="標楷體"/>
          <w:sz w:val="24"/>
          <w:szCs w:val="24"/>
        </w:rPr>
      </w:pPr>
      <w:r w:rsidRPr="00E17235">
        <w:rPr>
          <w:rFonts w:hAnsi="標楷體" w:hint="eastAsia"/>
          <w:sz w:val="24"/>
          <w:szCs w:val="24"/>
        </w:rPr>
        <w:t xml:space="preserve">         2.表內未達整體平均達標率之市縣及其數據以紅字標示。                                                                               </w:t>
      </w:r>
    </w:p>
    <w:p w:rsidR="00E17235" w:rsidRPr="00E17235" w:rsidRDefault="00E17235" w:rsidP="00E17235">
      <w:pPr>
        <w:spacing w:line="280" w:lineRule="exact"/>
        <w:ind w:leftChars="28" w:left="79" w:firstLineChars="58" w:firstLine="141"/>
      </w:pPr>
      <w:r w:rsidRPr="00E17235">
        <w:rPr>
          <w:rFonts w:hAnsi="標楷體" w:hint="eastAsia"/>
          <w:sz w:val="24"/>
          <w:szCs w:val="24"/>
        </w:rPr>
        <w:t xml:space="preserve">   資料來源</w:t>
      </w:r>
      <w:r w:rsidRPr="00E17235">
        <w:rPr>
          <w:rFonts w:hAnsi="標楷體" w:hint="eastAsia"/>
          <w:sz w:val="24"/>
          <w:szCs w:val="24"/>
          <w:lang w:eastAsia="zh-HK"/>
        </w:rPr>
        <w:t>：</w:t>
      </w:r>
      <w:r w:rsidRPr="00E17235">
        <w:rPr>
          <w:rFonts w:hAnsi="標楷體" w:hint="eastAsia"/>
          <w:sz w:val="24"/>
          <w:szCs w:val="24"/>
        </w:rPr>
        <w:t>長照基金提供，本中心彙整。</w:t>
      </w:r>
    </w:p>
    <w:p w:rsidR="00E17235" w:rsidRPr="00E17235" w:rsidRDefault="00E17235" w:rsidP="00E17235">
      <w:pPr>
        <w:ind w:left="566" w:firstLine="566"/>
      </w:pPr>
      <w:r w:rsidRPr="00E17235">
        <w:rPr>
          <w:rFonts w:hAnsi="標楷體" w:hint="eastAsia"/>
        </w:rPr>
        <w:t>綜上，為提升社區日照資源之可及性，108年度起衛福部與市縣政府合作推動相關資源布建工作，並設定113年度以前達成「一</w:t>
      </w:r>
      <w:r w:rsidRPr="00E17235">
        <w:rPr>
          <w:rFonts w:hAnsi="標楷體" w:hint="eastAsia"/>
        </w:rPr>
        <w:lastRenderedPageBreak/>
        <w:t>國中學區一日照」之目標；截至113年底整體達標率雖逾九成，惟近半數市縣未及整體平均達標率，允宜研謀善策，以利拓展後續相關資源之布建</w:t>
      </w:r>
      <w:r w:rsidRPr="00E17235">
        <w:rPr>
          <w:rFonts w:ascii="新細明體" w:eastAsia="新細明體" w:hAnsi="新細明體" w:hint="eastAsia"/>
        </w:rPr>
        <w:t>。</w:t>
      </w:r>
    </w:p>
    <w:p w:rsidR="00E17235" w:rsidRPr="00E17235" w:rsidRDefault="00E17235" w:rsidP="00E17235">
      <w:pPr>
        <w:ind w:leftChars="0" w:left="560" w:firstLineChars="0" w:firstLine="560"/>
        <w:jc w:val="right"/>
        <w:rPr>
          <w:sz w:val="24"/>
        </w:rPr>
      </w:pPr>
      <w:r w:rsidRPr="00E17235">
        <w:rPr>
          <w:rFonts w:hint="eastAsia"/>
          <w:sz w:val="24"/>
        </w:rPr>
        <w:t>（分機：1912 黃彥斌）</w:t>
      </w:r>
    </w:p>
    <w:sectPr w:rsidR="00E17235" w:rsidRPr="00E17235"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6C1" w:rsidRDefault="005E66C1" w:rsidP="0004615E">
      <w:pPr>
        <w:spacing w:line="240" w:lineRule="auto"/>
        <w:ind w:left="560" w:firstLine="560"/>
      </w:pPr>
      <w:r>
        <w:separator/>
      </w:r>
    </w:p>
  </w:endnote>
  <w:endnote w:type="continuationSeparator" w:id="0">
    <w:p w:rsidR="005E66C1" w:rsidRDefault="005E66C1"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064674" w:rsidRPr="0006467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6C1" w:rsidRDefault="005E66C1" w:rsidP="00E31BB7">
      <w:pPr>
        <w:spacing w:line="240" w:lineRule="auto"/>
        <w:ind w:left="560" w:firstLine="560"/>
      </w:pPr>
      <w:r>
        <w:separator/>
      </w:r>
    </w:p>
  </w:footnote>
  <w:footnote w:type="continuationSeparator" w:id="0">
    <w:p w:rsidR="005E66C1" w:rsidRDefault="005E66C1"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16348"/>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4674"/>
    <w:rsid w:val="000675A3"/>
    <w:rsid w:val="000812D5"/>
    <w:rsid w:val="00084ED3"/>
    <w:rsid w:val="000907BD"/>
    <w:rsid w:val="00091121"/>
    <w:rsid w:val="00093271"/>
    <w:rsid w:val="0009450D"/>
    <w:rsid w:val="00094B1A"/>
    <w:rsid w:val="000952B8"/>
    <w:rsid w:val="000A02D6"/>
    <w:rsid w:val="000A54D0"/>
    <w:rsid w:val="000A6F46"/>
    <w:rsid w:val="000A7449"/>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07FA8"/>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27F96"/>
    <w:rsid w:val="00132140"/>
    <w:rsid w:val="00133A72"/>
    <w:rsid w:val="00135503"/>
    <w:rsid w:val="00141B4F"/>
    <w:rsid w:val="0014620B"/>
    <w:rsid w:val="001462A4"/>
    <w:rsid w:val="001531DC"/>
    <w:rsid w:val="00154A71"/>
    <w:rsid w:val="00154E1C"/>
    <w:rsid w:val="00155434"/>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26E"/>
    <w:rsid w:val="001816A0"/>
    <w:rsid w:val="00182480"/>
    <w:rsid w:val="00182B4B"/>
    <w:rsid w:val="00182E40"/>
    <w:rsid w:val="00184232"/>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2F4"/>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0C47"/>
    <w:rsid w:val="001E2BD4"/>
    <w:rsid w:val="001E2D5D"/>
    <w:rsid w:val="001E4DE4"/>
    <w:rsid w:val="001E63C0"/>
    <w:rsid w:val="001E646B"/>
    <w:rsid w:val="001F1EB7"/>
    <w:rsid w:val="001F254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5EC3"/>
    <w:rsid w:val="0022652A"/>
    <w:rsid w:val="00230F04"/>
    <w:rsid w:val="002352E8"/>
    <w:rsid w:val="00236E0D"/>
    <w:rsid w:val="00240C03"/>
    <w:rsid w:val="00244B5B"/>
    <w:rsid w:val="00245B95"/>
    <w:rsid w:val="002474E4"/>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868D5"/>
    <w:rsid w:val="00287611"/>
    <w:rsid w:val="00292AAE"/>
    <w:rsid w:val="0029405E"/>
    <w:rsid w:val="002A2545"/>
    <w:rsid w:val="002A35E6"/>
    <w:rsid w:val="002A6B7D"/>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104"/>
    <w:rsid w:val="00302871"/>
    <w:rsid w:val="00310888"/>
    <w:rsid w:val="00310D24"/>
    <w:rsid w:val="00313DC1"/>
    <w:rsid w:val="00321455"/>
    <w:rsid w:val="00322D0C"/>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0C5A"/>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69D"/>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4E2A"/>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0F42"/>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34D"/>
    <w:rsid w:val="004C5E7F"/>
    <w:rsid w:val="004D292B"/>
    <w:rsid w:val="004D3648"/>
    <w:rsid w:val="004D373F"/>
    <w:rsid w:val="004D54FD"/>
    <w:rsid w:val="004D700C"/>
    <w:rsid w:val="004E428E"/>
    <w:rsid w:val="004E6B84"/>
    <w:rsid w:val="004F100C"/>
    <w:rsid w:val="00501613"/>
    <w:rsid w:val="00505919"/>
    <w:rsid w:val="00506AD9"/>
    <w:rsid w:val="00507238"/>
    <w:rsid w:val="00507C82"/>
    <w:rsid w:val="00513473"/>
    <w:rsid w:val="00516335"/>
    <w:rsid w:val="00524F1A"/>
    <w:rsid w:val="00527F1F"/>
    <w:rsid w:val="005476C8"/>
    <w:rsid w:val="00551B8C"/>
    <w:rsid w:val="0055419F"/>
    <w:rsid w:val="00554BE3"/>
    <w:rsid w:val="00556D2D"/>
    <w:rsid w:val="00556E1B"/>
    <w:rsid w:val="00561E00"/>
    <w:rsid w:val="00562931"/>
    <w:rsid w:val="005644B2"/>
    <w:rsid w:val="00571245"/>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6C1"/>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499F"/>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5158"/>
    <w:rsid w:val="00676D04"/>
    <w:rsid w:val="006772E9"/>
    <w:rsid w:val="00681A68"/>
    <w:rsid w:val="00681B97"/>
    <w:rsid w:val="006822DC"/>
    <w:rsid w:val="00684BE9"/>
    <w:rsid w:val="00685233"/>
    <w:rsid w:val="00685B59"/>
    <w:rsid w:val="00686458"/>
    <w:rsid w:val="00687766"/>
    <w:rsid w:val="006910D0"/>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02B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3197"/>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34811"/>
    <w:rsid w:val="0074003A"/>
    <w:rsid w:val="0074071E"/>
    <w:rsid w:val="00744408"/>
    <w:rsid w:val="007457FF"/>
    <w:rsid w:val="00745A84"/>
    <w:rsid w:val="0074713F"/>
    <w:rsid w:val="007525DB"/>
    <w:rsid w:val="0075546D"/>
    <w:rsid w:val="007577C6"/>
    <w:rsid w:val="007604A1"/>
    <w:rsid w:val="00760739"/>
    <w:rsid w:val="007612EB"/>
    <w:rsid w:val="00763071"/>
    <w:rsid w:val="00766324"/>
    <w:rsid w:val="0077089A"/>
    <w:rsid w:val="0077168C"/>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38D3"/>
    <w:rsid w:val="00814F80"/>
    <w:rsid w:val="00815146"/>
    <w:rsid w:val="00823D05"/>
    <w:rsid w:val="00826DE7"/>
    <w:rsid w:val="00827379"/>
    <w:rsid w:val="00827D1E"/>
    <w:rsid w:val="0083187C"/>
    <w:rsid w:val="00832321"/>
    <w:rsid w:val="00833AAC"/>
    <w:rsid w:val="00835083"/>
    <w:rsid w:val="00835807"/>
    <w:rsid w:val="0083726F"/>
    <w:rsid w:val="00840AA2"/>
    <w:rsid w:val="00840E0B"/>
    <w:rsid w:val="0084213B"/>
    <w:rsid w:val="00845A34"/>
    <w:rsid w:val="00847C2F"/>
    <w:rsid w:val="00852E88"/>
    <w:rsid w:val="0085435F"/>
    <w:rsid w:val="008570F1"/>
    <w:rsid w:val="008575C3"/>
    <w:rsid w:val="008604FE"/>
    <w:rsid w:val="008622A7"/>
    <w:rsid w:val="00862D4C"/>
    <w:rsid w:val="008647C1"/>
    <w:rsid w:val="008648BB"/>
    <w:rsid w:val="00865DF3"/>
    <w:rsid w:val="008670D5"/>
    <w:rsid w:val="00867C6F"/>
    <w:rsid w:val="008732BE"/>
    <w:rsid w:val="00873A95"/>
    <w:rsid w:val="00874F43"/>
    <w:rsid w:val="00875E42"/>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202B"/>
    <w:rsid w:val="008D2D19"/>
    <w:rsid w:val="008D63A2"/>
    <w:rsid w:val="008D6608"/>
    <w:rsid w:val="008D787F"/>
    <w:rsid w:val="008E0C70"/>
    <w:rsid w:val="008E13BF"/>
    <w:rsid w:val="008E361B"/>
    <w:rsid w:val="008E417B"/>
    <w:rsid w:val="008E4E65"/>
    <w:rsid w:val="008F0C1A"/>
    <w:rsid w:val="008F2867"/>
    <w:rsid w:val="008F38CF"/>
    <w:rsid w:val="008F5085"/>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0A89"/>
    <w:rsid w:val="00931B63"/>
    <w:rsid w:val="009425E1"/>
    <w:rsid w:val="0094486E"/>
    <w:rsid w:val="00945992"/>
    <w:rsid w:val="00946470"/>
    <w:rsid w:val="00950559"/>
    <w:rsid w:val="00951B37"/>
    <w:rsid w:val="00954A08"/>
    <w:rsid w:val="00960462"/>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0960"/>
    <w:rsid w:val="009E14D7"/>
    <w:rsid w:val="009E4918"/>
    <w:rsid w:val="009E5CC9"/>
    <w:rsid w:val="009E601B"/>
    <w:rsid w:val="009E6EA2"/>
    <w:rsid w:val="009F1AF6"/>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26B"/>
    <w:rsid w:val="00AC5515"/>
    <w:rsid w:val="00AD131A"/>
    <w:rsid w:val="00AD1CC4"/>
    <w:rsid w:val="00AD2AB6"/>
    <w:rsid w:val="00AD399C"/>
    <w:rsid w:val="00AD4D3B"/>
    <w:rsid w:val="00AD5A80"/>
    <w:rsid w:val="00AD685B"/>
    <w:rsid w:val="00AE0777"/>
    <w:rsid w:val="00AE1BF4"/>
    <w:rsid w:val="00AE22B9"/>
    <w:rsid w:val="00AE30A3"/>
    <w:rsid w:val="00AE458F"/>
    <w:rsid w:val="00AE5032"/>
    <w:rsid w:val="00AE54F0"/>
    <w:rsid w:val="00AE5BF5"/>
    <w:rsid w:val="00AE5C2D"/>
    <w:rsid w:val="00AE761B"/>
    <w:rsid w:val="00AF00E9"/>
    <w:rsid w:val="00AF18FC"/>
    <w:rsid w:val="00AF2351"/>
    <w:rsid w:val="00AF24C9"/>
    <w:rsid w:val="00AF5292"/>
    <w:rsid w:val="00AF5856"/>
    <w:rsid w:val="00AF5EDD"/>
    <w:rsid w:val="00AF63BC"/>
    <w:rsid w:val="00AF65EA"/>
    <w:rsid w:val="00AF7073"/>
    <w:rsid w:val="00B02A43"/>
    <w:rsid w:val="00B04650"/>
    <w:rsid w:val="00B05C2F"/>
    <w:rsid w:val="00B07ECE"/>
    <w:rsid w:val="00B11613"/>
    <w:rsid w:val="00B15C3D"/>
    <w:rsid w:val="00B15EDE"/>
    <w:rsid w:val="00B1697A"/>
    <w:rsid w:val="00B20985"/>
    <w:rsid w:val="00B2213A"/>
    <w:rsid w:val="00B226B7"/>
    <w:rsid w:val="00B2278F"/>
    <w:rsid w:val="00B3185B"/>
    <w:rsid w:val="00B34878"/>
    <w:rsid w:val="00B34CB5"/>
    <w:rsid w:val="00B4366B"/>
    <w:rsid w:val="00B455CE"/>
    <w:rsid w:val="00B45BDB"/>
    <w:rsid w:val="00B45ED6"/>
    <w:rsid w:val="00B46286"/>
    <w:rsid w:val="00B46CD5"/>
    <w:rsid w:val="00B47DDD"/>
    <w:rsid w:val="00B50610"/>
    <w:rsid w:val="00B52BF9"/>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8555A"/>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5C15"/>
    <w:rsid w:val="00BD61BA"/>
    <w:rsid w:val="00BD7293"/>
    <w:rsid w:val="00BE08F9"/>
    <w:rsid w:val="00BE0992"/>
    <w:rsid w:val="00BE3219"/>
    <w:rsid w:val="00BE41A7"/>
    <w:rsid w:val="00BE4E7F"/>
    <w:rsid w:val="00BE5B11"/>
    <w:rsid w:val="00BF3B63"/>
    <w:rsid w:val="00BF3EAA"/>
    <w:rsid w:val="00BF475B"/>
    <w:rsid w:val="00BF7DC8"/>
    <w:rsid w:val="00C00C38"/>
    <w:rsid w:val="00C03C83"/>
    <w:rsid w:val="00C0411F"/>
    <w:rsid w:val="00C06F7C"/>
    <w:rsid w:val="00C07670"/>
    <w:rsid w:val="00C10C11"/>
    <w:rsid w:val="00C11F87"/>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46ECB"/>
    <w:rsid w:val="00C50886"/>
    <w:rsid w:val="00C51F45"/>
    <w:rsid w:val="00C541CC"/>
    <w:rsid w:val="00C54588"/>
    <w:rsid w:val="00C57542"/>
    <w:rsid w:val="00C57D66"/>
    <w:rsid w:val="00C604F2"/>
    <w:rsid w:val="00C64CF7"/>
    <w:rsid w:val="00C661E7"/>
    <w:rsid w:val="00C708EE"/>
    <w:rsid w:val="00C7220D"/>
    <w:rsid w:val="00C73032"/>
    <w:rsid w:val="00C7453E"/>
    <w:rsid w:val="00C74F14"/>
    <w:rsid w:val="00C751EA"/>
    <w:rsid w:val="00C75374"/>
    <w:rsid w:val="00C76628"/>
    <w:rsid w:val="00C810CC"/>
    <w:rsid w:val="00C8308D"/>
    <w:rsid w:val="00C83FE8"/>
    <w:rsid w:val="00C91102"/>
    <w:rsid w:val="00C92471"/>
    <w:rsid w:val="00C92DF9"/>
    <w:rsid w:val="00C93A89"/>
    <w:rsid w:val="00C95718"/>
    <w:rsid w:val="00C9663B"/>
    <w:rsid w:val="00C9668C"/>
    <w:rsid w:val="00C97885"/>
    <w:rsid w:val="00CA1C8E"/>
    <w:rsid w:val="00CA1F7D"/>
    <w:rsid w:val="00CA32F7"/>
    <w:rsid w:val="00CA50FD"/>
    <w:rsid w:val="00CA7305"/>
    <w:rsid w:val="00CA7EBB"/>
    <w:rsid w:val="00CB16E3"/>
    <w:rsid w:val="00CB1EE1"/>
    <w:rsid w:val="00CB48F6"/>
    <w:rsid w:val="00CC0FAB"/>
    <w:rsid w:val="00CC13BC"/>
    <w:rsid w:val="00CC1CC4"/>
    <w:rsid w:val="00CC2630"/>
    <w:rsid w:val="00CC3067"/>
    <w:rsid w:val="00CC3673"/>
    <w:rsid w:val="00CC497A"/>
    <w:rsid w:val="00CC58CB"/>
    <w:rsid w:val="00CC6F64"/>
    <w:rsid w:val="00CD0212"/>
    <w:rsid w:val="00CD2331"/>
    <w:rsid w:val="00CD76C2"/>
    <w:rsid w:val="00CE0177"/>
    <w:rsid w:val="00CE09F2"/>
    <w:rsid w:val="00CE0A34"/>
    <w:rsid w:val="00CE2052"/>
    <w:rsid w:val="00CE2077"/>
    <w:rsid w:val="00CE2E12"/>
    <w:rsid w:val="00CE7A7D"/>
    <w:rsid w:val="00CF2E1F"/>
    <w:rsid w:val="00CF374E"/>
    <w:rsid w:val="00CF37FE"/>
    <w:rsid w:val="00CF542C"/>
    <w:rsid w:val="00D02538"/>
    <w:rsid w:val="00D04850"/>
    <w:rsid w:val="00D06C64"/>
    <w:rsid w:val="00D11524"/>
    <w:rsid w:val="00D208B1"/>
    <w:rsid w:val="00D21364"/>
    <w:rsid w:val="00D265F9"/>
    <w:rsid w:val="00D311FD"/>
    <w:rsid w:val="00D314AA"/>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2DED"/>
    <w:rsid w:val="00D73087"/>
    <w:rsid w:val="00D736AA"/>
    <w:rsid w:val="00D776AD"/>
    <w:rsid w:val="00D80C6B"/>
    <w:rsid w:val="00D80F7A"/>
    <w:rsid w:val="00D87C7C"/>
    <w:rsid w:val="00D93A80"/>
    <w:rsid w:val="00D94300"/>
    <w:rsid w:val="00D94E8E"/>
    <w:rsid w:val="00DA618A"/>
    <w:rsid w:val="00DA70CF"/>
    <w:rsid w:val="00DB00C5"/>
    <w:rsid w:val="00DB0AF9"/>
    <w:rsid w:val="00DB0EA2"/>
    <w:rsid w:val="00DB0F12"/>
    <w:rsid w:val="00DB2341"/>
    <w:rsid w:val="00DB3211"/>
    <w:rsid w:val="00DB3C79"/>
    <w:rsid w:val="00DB4AB8"/>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077"/>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0606C"/>
    <w:rsid w:val="00E11BA0"/>
    <w:rsid w:val="00E137E9"/>
    <w:rsid w:val="00E14AE1"/>
    <w:rsid w:val="00E17235"/>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68FD"/>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5C5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E7946"/>
    <w:rsid w:val="00EF7335"/>
    <w:rsid w:val="00F0136A"/>
    <w:rsid w:val="00F047DF"/>
    <w:rsid w:val="00F04A5C"/>
    <w:rsid w:val="00F04F50"/>
    <w:rsid w:val="00F06555"/>
    <w:rsid w:val="00F06A81"/>
    <w:rsid w:val="00F06EF2"/>
    <w:rsid w:val="00F10C02"/>
    <w:rsid w:val="00F114C3"/>
    <w:rsid w:val="00F134E4"/>
    <w:rsid w:val="00F13E59"/>
    <w:rsid w:val="00F1437B"/>
    <w:rsid w:val="00F143F5"/>
    <w:rsid w:val="00F16E40"/>
    <w:rsid w:val="00F22233"/>
    <w:rsid w:val="00F24189"/>
    <w:rsid w:val="00F25EE1"/>
    <w:rsid w:val="00F31C4D"/>
    <w:rsid w:val="00F33654"/>
    <w:rsid w:val="00F33D75"/>
    <w:rsid w:val="00F34DD9"/>
    <w:rsid w:val="00F34E6C"/>
    <w:rsid w:val="00F35869"/>
    <w:rsid w:val="00F37953"/>
    <w:rsid w:val="00F40BD5"/>
    <w:rsid w:val="00F4361B"/>
    <w:rsid w:val="00F43A58"/>
    <w:rsid w:val="00F45323"/>
    <w:rsid w:val="00F47747"/>
    <w:rsid w:val="00F501A1"/>
    <w:rsid w:val="00F53848"/>
    <w:rsid w:val="00F53BB1"/>
    <w:rsid w:val="00F56C59"/>
    <w:rsid w:val="00F5777C"/>
    <w:rsid w:val="00F617CF"/>
    <w:rsid w:val="00F63A08"/>
    <w:rsid w:val="00F65B9F"/>
    <w:rsid w:val="00F6682E"/>
    <w:rsid w:val="00F7209D"/>
    <w:rsid w:val="00F72BB9"/>
    <w:rsid w:val="00F74723"/>
    <w:rsid w:val="00F766E2"/>
    <w:rsid w:val="00F83074"/>
    <w:rsid w:val="00F832C8"/>
    <w:rsid w:val="00F84FFC"/>
    <w:rsid w:val="00F85B4C"/>
    <w:rsid w:val="00F8608E"/>
    <w:rsid w:val="00F86BDB"/>
    <w:rsid w:val="00F87EDE"/>
    <w:rsid w:val="00F93916"/>
    <w:rsid w:val="00FA045A"/>
    <w:rsid w:val="00FA4B77"/>
    <w:rsid w:val="00FA648D"/>
    <w:rsid w:val="00FA66A2"/>
    <w:rsid w:val="00FB0730"/>
    <w:rsid w:val="00FB085D"/>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C4DA9790-B0E2-4A4C-A380-E25969A9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4_G"/>
    <w:uiPriority w:val="99"/>
    <w:unhideWhenUsed/>
    <w:qFormat/>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 w:type="character" w:customStyle="1" w:styleId="afff1">
    <w:name w:val="未解析的提及"/>
    <w:uiPriority w:val="99"/>
    <w:semiHidden/>
    <w:unhideWhenUsed/>
    <w:rsid w:val="00E17235"/>
    <w:rPr>
      <w:color w:val="605E5C"/>
      <w:shd w:val="clear" w:color="auto" w:fill="E1DFDD"/>
    </w:rPr>
  </w:style>
  <w:style w:type="character" w:styleId="afff2">
    <w:name w:val="FollowedHyperlink"/>
    <w:uiPriority w:val="99"/>
    <w:semiHidden/>
    <w:unhideWhenUsed/>
    <w:rsid w:val="00E1723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7648-F824-4F8F-AD7B-8B94E5FC4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260</Words>
  <Characters>1486</Characters>
  <Application>Microsoft Office Word</Application>
  <DocSecurity>0</DocSecurity>
  <Lines>12</Lines>
  <Paragraphs>3</Paragraphs>
  <ScaleCrop>false</ScaleCrop>
  <Company/>
  <LinksUpToDate>false</LinksUpToDate>
  <CharactersWithSpaces>1743</CharactersWithSpaces>
  <SharedDoc>false</SharedDoc>
  <HLinks>
    <vt:vector size="108" baseType="variant">
      <vt:variant>
        <vt:i4>1048631</vt:i4>
      </vt:variant>
      <vt:variant>
        <vt:i4>104</vt:i4>
      </vt:variant>
      <vt:variant>
        <vt:i4>0</vt:i4>
      </vt:variant>
      <vt:variant>
        <vt:i4>5</vt:i4>
      </vt:variant>
      <vt:variant>
        <vt:lpwstr/>
      </vt:variant>
      <vt:variant>
        <vt:lpwstr>_Toc225270775</vt:lpwstr>
      </vt:variant>
      <vt:variant>
        <vt:i4>1048631</vt:i4>
      </vt:variant>
      <vt:variant>
        <vt:i4>98</vt:i4>
      </vt:variant>
      <vt:variant>
        <vt:i4>0</vt:i4>
      </vt:variant>
      <vt:variant>
        <vt:i4>5</vt:i4>
      </vt:variant>
      <vt:variant>
        <vt:lpwstr/>
      </vt:variant>
      <vt:variant>
        <vt:lpwstr>_Toc225270774</vt:lpwstr>
      </vt:variant>
      <vt:variant>
        <vt:i4>1048631</vt:i4>
      </vt:variant>
      <vt:variant>
        <vt:i4>92</vt:i4>
      </vt:variant>
      <vt:variant>
        <vt:i4>0</vt:i4>
      </vt:variant>
      <vt:variant>
        <vt:i4>5</vt:i4>
      </vt:variant>
      <vt:variant>
        <vt:lpwstr/>
      </vt:variant>
      <vt:variant>
        <vt:lpwstr>_Toc225270773</vt:lpwstr>
      </vt:variant>
      <vt:variant>
        <vt:i4>1048631</vt:i4>
      </vt:variant>
      <vt:variant>
        <vt:i4>86</vt:i4>
      </vt:variant>
      <vt:variant>
        <vt:i4>0</vt:i4>
      </vt:variant>
      <vt:variant>
        <vt:i4>5</vt:i4>
      </vt:variant>
      <vt:variant>
        <vt:lpwstr/>
      </vt:variant>
      <vt:variant>
        <vt:lpwstr>_Toc225270772</vt:lpwstr>
      </vt:variant>
      <vt:variant>
        <vt:i4>1048631</vt:i4>
      </vt:variant>
      <vt:variant>
        <vt:i4>80</vt:i4>
      </vt:variant>
      <vt:variant>
        <vt:i4>0</vt:i4>
      </vt:variant>
      <vt:variant>
        <vt:i4>5</vt:i4>
      </vt:variant>
      <vt:variant>
        <vt:lpwstr/>
      </vt:variant>
      <vt:variant>
        <vt:lpwstr>_Toc225270771</vt:lpwstr>
      </vt:variant>
      <vt:variant>
        <vt:i4>1048631</vt:i4>
      </vt:variant>
      <vt:variant>
        <vt:i4>74</vt:i4>
      </vt:variant>
      <vt:variant>
        <vt:i4>0</vt:i4>
      </vt:variant>
      <vt:variant>
        <vt:i4>5</vt:i4>
      </vt:variant>
      <vt:variant>
        <vt:lpwstr/>
      </vt:variant>
      <vt:variant>
        <vt:lpwstr>_Toc225270770</vt:lpwstr>
      </vt:variant>
      <vt:variant>
        <vt:i4>1114167</vt:i4>
      </vt:variant>
      <vt:variant>
        <vt:i4>68</vt:i4>
      </vt:variant>
      <vt:variant>
        <vt:i4>0</vt:i4>
      </vt:variant>
      <vt:variant>
        <vt:i4>5</vt:i4>
      </vt:variant>
      <vt:variant>
        <vt:lpwstr/>
      </vt:variant>
      <vt:variant>
        <vt:lpwstr>_Toc225270769</vt:lpwstr>
      </vt:variant>
      <vt:variant>
        <vt:i4>1114167</vt:i4>
      </vt:variant>
      <vt:variant>
        <vt:i4>62</vt:i4>
      </vt:variant>
      <vt:variant>
        <vt:i4>0</vt:i4>
      </vt:variant>
      <vt:variant>
        <vt:i4>5</vt:i4>
      </vt:variant>
      <vt:variant>
        <vt:lpwstr/>
      </vt:variant>
      <vt:variant>
        <vt:lpwstr>_Toc225270768</vt:lpwstr>
      </vt:variant>
      <vt:variant>
        <vt:i4>1114167</vt:i4>
      </vt:variant>
      <vt:variant>
        <vt:i4>56</vt:i4>
      </vt:variant>
      <vt:variant>
        <vt:i4>0</vt:i4>
      </vt:variant>
      <vt:variant>
        <vt:i4>5</vt:i4>
      </vt:variant>
      <vt:variant>
        <vt:lpwstr/>
      </vt:variant>
      <vt:variant>
        <vt:lpwstr>_Toc225270767</vt:lpwstr>
      </vt:variant>
      <vt:variant>
        <vt:i4>1114167</vt:i4>
      </vt:variant>
      <vt:variant>
        <vt:i4>50</vt:i4>
      </vt:variant>
      <vt:variant>
        <vt:i4>0</vt:i4>
      </vt:variant>
      <vt:variant>
        <vt:i4>5</vt:i4>
      </vt:variant>
      <vt:variant>
        <vt:lpwstr/>
      </vt:variant>
      <vt:variant>
        <vt:lpwstr>_Toc225270766</vt:lpwstr>
      </vt:variant>
      <vt:variant>
        <vt:i4>1114167</vt:i4>
      </vt:variant>
      <vt:variant>
        <vt:i4>44</vt:i4>
      </vt:variant>
      <vt:variant>
        <vt:i4>0</vt:i4>
      </vt:variant>
      <vt:variant>
        <vt:i4>5</vt:i4>
      </vt:variant>
      <vt:variant>
        <vt:lpwstr/>
      </vt:variant>
      <vt:variant>
        <vt:lpwstr>_Toc225270765</vt:lpwstr>
      </vt:variant>
      <vt:variant>
        <vt:i4>1114167</vt:i4>
      </vt:variant>
      <vt:variant>
        <vt:i4>38</vt:i4>
      </vt:variant>
      <vt:variant>
        <vt:i4>0</vt:i4>
      </vt:variant>
      <vt:variant>
        <vt:i4>5</vt:i4>
      </vt:variant>
      <vt:variant>
        <vt:lpwstr/>
      </vt:variant>
      <vt:variant>
        <vt:lpwstr>_Toc225270764</vt:lpwstr>
      </vt:variant>
      <vt:variant>
        <vt:i4>1114167</vt:i4>
      </vt:variant>
      <vt:variant>
        <vt:i4>32</vt:i4>
      </vt:variant>
      <vt:variant>
        <vt:i4>0</vt:i4>
      </vt:variant>
      <vt:variant>
        <vt:i4>5</vt:i4>
      </vt:variant>
      <vt:variant>
        <vt:lpwstr/>
      </vt:variant>
      <vt:variant>
        <vt:lpwstr>_Toc225270763</vt:lpwstr>
      </vt:variant>
      <vt:variant>
        <vt:i4>1114167</vt:i4>
      </vt:variant>
      <vt:variant>
        <vt:i4>26</vt:i4>
      </vt:variant>
      <vt:variant>
        <vt:i4>0</vt:i4>
      </vt:variant>
      <vt:variant>
        <vt:i4>5</vt:i4>
      </vt:variant>
      <vt:variant>
        <vt:lpwstr/>
      </vt:variant>
      <vt:variant>
        <vt:lpwstr>_Toc225270762</vt:lpwstr>
      </vt:variant>
      <vt:variant>
        <vt:i4>1114167</vt:i4>
      </vt:variant>
      <vt:variant>
        <vt:i4>20</vt:i4>
      </vt:variant>
      <vt:variant>
        <vt:i4>0</vt:i4>
      </vt:variant>
      <vt:variant>
        <vt:i4>5</vt:i4>
      </vt:variant>
      <vt:variant>
        <vt:lpwstr/>
      </vt:variant>
      <vt:variant>
        <vt:lpwstr>_Toc225270761</vt:lpwstr>
      </vt:variant>
      <vt:variant>
        <vt:i4>1114167</vt:i4>
      </vt:variant>
      <vt:variant>
        <vt:i4>14</vt:i4>
      </vt:variant>
      <vt:variant>
        <vt:i4>0</vt:i4>
      </vt:variant>
      <vt:variant>
        <vt:i4>5</vt:i4>
      </vt:variant>
      <vt:variant>
        <vt:lpwstr/>
      </vt:variant>
      <vt:variant>
        <vt:lpwstr>_Toc225270760</vt:lpwstr>
      </vt:variant>
      <vt:variant>
        <vt:i4>1179703</vt:i4>
      </vt:variant>
      <vt:variant>
        <vt:i4>8</vt:i4>
      </vt:variant>
      <vt:variant>
        <vt:i4>0</vt:i4>
      </vt:variant>
      <vt:variant>
        <vt:i4>5</vt:i4>
      </vt:variant>
      <vt:variant>
        <vt:lpwstr/>
      </vt:variant>
      <vt:variant>
        <vt:lpwstr>_Toc225270759</vt:lpwstr>
      </vt:variant>
      <vt:variant>
        <vt:i4>1179703</vt:i4>
      </vt:variant>
      <vt:variant>
        <vt:i4>2</vt:i4>
      </vt:variant>
      <vt:variant>
        <vt:i4>0</vt:i4>
      </vt:variant>
      <vt:variant>
        <vt:i4>5</vt:i4>
      </vt:variant>
      <vt:variant>
        <vt:lpwstr/>
      </vt:variant>
      <vt:variant>
        <vt:lpwstr>_Toc225270758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2026-03-24T04:10:00Z</cp:lastPrinted>
  <dcterms:created xsi:type="dcterms:W3CDTF">2026-03-26T03:28:00Z</dcterms:created>
  <dcterms:modified xsi:type="dcterms:W3CDTF">2026-03-26T03:28:00Z</dcterms:modified>
</cp:coreProperties>
</file>