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9F77D4" w:rsidRDefault="003A3309" w:rsidP="000752FE">
      <w:pPr>
        <w:pStyle w:val="aa"/>
        <w:rPr>
          <w:spacing w:val="-2"/>
        </w:rPr>
      </w:pPr>
      <w:bookmarkStart w:id="0" w:name="_Toc338354636"/>
      <w:bookmarkStart w:id="1" w:name="_GoBack"/>
      <w:bookmarkEnd w:id="1"/>
      <w:r w:rsidRPr="003A3309">
        <w:rPr>
          <w:rFonts w:hint="eastAsia"/>
          <w:spacing w:val="-2"/>
        </w:rPr>
        <w:t>國營臺灣鐵路股份有限公司113年度營業決算評估報告</w:t>
      </w:r>
    </w:p>
    <w:p w:rsidR="003A3309" w:rsidRDefault="00DE6259" w:rsidP="00DE6259">
      <w:pPr>
        <w:pStyle w:val="14"/>
        <w:ind w:left="567" w:hanging="567"/>
        <w:rPr>
          <w:lang w:eastAsia="zh-HK"/>
        </w:rPr>
      </w:pPr>
      <w:bookmarkStart w:id="2" w:name="_Toc464659949"/>
      <w:bookmarkStart w:id="3" w:name="_Toc464660056"/>
      <w:bookmarkStart w:id="4" w:name="_Toc343154953"/>
      <w:bookmarkStart w:id="5" w:name="_Toc109763724"/>
      <w:bookmarkStart w:id="6" w:name="_Toc53731294"/>
      <w:bookmarkStart w:id="7" w:name="_Toc109658028"/>
      <w:bookmarkStart w:id="8" w:name="_Toc117349514"/>
      <w:bookmarkStart w:id="9" w:name="_Toc58645593"/>
      <w:bookmarkStart w:id="10" w:name="_Toc58646211"/>
      <w:bookmarkStart w:id="11" w:name="_Toc61147923"/>
      <w:bookmarkStart w:id="12" w:name="_Toc93770451"/>
      <w:bookmarkStart w:id="13" w:name="_Toc224636538"/>
      <w:r>
        <w:rPr>
          <w:rFonts w:hint="eastAsia"/>
          <w:lang w:eastAsia="zh-HK"/>
        </w:rPr>
        <w:t>一</w:t>
      </w:r>
      <w:r>
        <w:rPr>
          <w:rFonts w:hint="eastAsia"/>
        </w:rPr>
        <w:t>、</w:t>
      </w:r>
      <w:r w:rsidR="003A3309">
        <w:rPr>
          <w:rFonts w:hint="eastAsia"/>
        </w:rPr>
        <w:t>113</w:t>
      </w:r>
      <w:r w:rsidR="003A3309">
        <w:rPr>
          <w:rFonts w:hint="eastAsia"/>
          <w:lang w:eastAsia="zh-HK"/>
        </w:rPr>
        <w:t>年度</w:t>
      </w:r>
      <w:r w:rsidR="00DE2ACE" w:rsidRPr="00DE2ACE">
        <w:rPr>
          <w:rFonts w:hint="eastAsia"/>
          <w:lang w:eastAsia="zh-HK"/>
        </w:rPr>
        <w:t>公司化後</w:t>
      </w:r>
      <w:r w:rsidR="003A3309">
        <w:rPr>
          <w:rFonts w:hint="eastAsia"/>
          <w:lang w:eastAsia="zh-HK"/>
        </w:rPr>
        <w:t>虧損</w:t>
      </w:r>
      <w:r w:rsidR="00F96766">
        <w:rPr>
          <w:rFonts w:hint="eastAsia"/>
          <w:lang w:eastAsia="zh-HK"/>
        </w:rPr>
        <w:t>擴大</w:t>
      </w:r>
      <w:r w:rsidR="003A3309">
        <w:rPr>
          <w:rFonts w:hint="eastAsia"/>
        </w:rPr>
        <w:t>，</w:t>
      </w:r>
      <w:r w:rsidR="003A3309">
        <w:rPr>
          <w:rFonts w:hint="eastAsia"/>
          <w:lang w:eastAsia="zh-HK"/>
        </w:rPr>
        <w:t>且</w:t>
      </w:r>
      <w:r w:rsidR="00503D12">
        <w:rPr>
          <w:rFonts w:hint="eastAsia"/>
          <w:lang w:eastAsia="zh-HK"/>
        </w:rPr>
        <w:t>附屬事業收入</w:t>
      </w:r>
      <w:r w:rsidR="00063BE0">
        <w:rPr>
          <w:rFonts w:hint="eastAsia"/>
          <w:lang w:eastAsia="zh-HK"/>
        </w:rPr>
        <w:t>及</w:t>
      </w:r>
      <w:r w:rsidR="00503D12">
        <w:rPr>
          <w:rFonts w:hint="eastAsia"/>
          <w:lang w:eastAsia="zh-HK"/>
        </w:rPr>
        <w:t>占比未能有效提升，允宜持續提升經營績效</w:t>
      </w:r>
      <w:r w:rsidR="00503D12">
        <w:rPr>
          <w:rFonts w:hint="eastAsia"/>
        </w:rPr>
        <w:t>，</w:t>
      </w:r>
      <w:r w:rsidR="00503D12">
        <w:rPr>
          <w:rFonts w:hint="eastAsia"/>
          <w:lang w:eastAsia="zh-HK"/>
        </w:rPr>
        <w:t>並強化</w:t>
      </w:r>
      <w:r w:rsidR="0074595F" w:rsidRPr="0074595F">
        <w:rPr>
          <w:rFonts w:hint="eastAsia"/>
          <w:lang w:eastAsia="zh-HK"/>
        </w:rPr>
        <w:t>附屬事業之</w:t>
      </w:r>
      <w:r w:rsidR="00503D12">
        <w:rPr>
          <w:rFonts w:hint="eastAsia"/>
          <w:lang w:eastAsia="zh-HK"/>
        </w:rPr>
        <w:t>拓展</w:t>
      </w:r>
      <w:r w:rsidR="0074595F" w:rsidRPr="0074595F">
        <w:rPr>
          <w:rFonts w:hint="eastAsia"/>
          <w:lang w:eastAsia="zh-HK"/>
        </w:rPr>
        <w:t>，</w:t>
      </w:r>
      <w:r w:rsidR="00503D12">
        <w:rPr>
          <w:rFonts w:hint="eastAsia"/>
          <w:lang w:eastAsia="zh-HK"/>
        </w:rPr>
        <w:t>以利公司永續發展</w:t>
      </w:r>
      <w:bookmarkEnd w:id="13"/>
    </w:p>
    <w:p w:rsidR="003A3309" w:rsidRDefault="00F96766" w:rsidP="00F96766">
      <w:pPr>
        <w:ind w:left="566" w:firstLine="566"/>
        <w:rPr>
          <w:lang w:eastAsia="zh-HK"/>
        </w:rPr>
      </w:pPr>
      <w:r w:rsidRPr="00F96766">
        <w:rPr>
          <w:rFonts w:hint="eastAsia"/>
          <w:lang w:eastAsia="zh-HK"/>
        </w:rPr>
        <w:t>國營臺灣鐵路股份有限公司(以下簡稱臺鐵)</w:t>
      </w:r>
      <w:r w:rsidR="00930536">
        <w:rPr>
          <w:rFonts w:hint="eastAsia"/>
          <w:lang w:eastAsia="zh-HK"/>
        </w:rPr>
        <w:t>於</w:t>
      </w:r>
      <w:r w:rsidR="003F1081">
        <w:rPr>
          <w:rFonts w:hint="eastAsia"/>
        </w:rPr>
        <w:t>113</w:t>
      </w:r>
      <w:r w:rsidR="003F1081">
        <w:rPr>
          <w:rFonts w:hint="eastAsia"/>
          <w:lang w:eastAsia="zh-HK"/>
        </w:rPr>
        <w:t>年初公司化</w:t>
      </w:r>
      <w:r w:rsidR="003F1081">
        <w:rPr>
          <w:rFonts w:hint="eastAsia"/>
        </w:rPr>
        <w:t>，</w:t>
      </w:r>
      <w:r w:rsidR="00930536">
        <w:rPr>
          <w:rFonts w:hint="eastAsia"/>
          <w:lang w:eastAsia="zh-HK"/>
        </w:rPr>
        <w:t>惟</w:t>
      </w:r>
      <w:r w:rsidR="003F1081">
        <w:rPr>
          <w:lang w:eastAsia="zh-HK"/>
        </w:rPr>
        <w:t>113</w:t>
      </w:r>
      <w:r w:rsidRPr="00F96766">
        <w:rPr>
          <w:rFonts w:hint="eastAsia"/>
          <w:lang w:eastAsia="zh-HK"/>
        </w:rPr>
        <w:t>年度「本期淨損」</w:t>
      </w:r>
      <w:r w:rsidR="00063BE0">
        <w:rPr>
          <w:rFonts w:hint="eastAsia"/>
          <w:lang w:eastAsia="zh-HK"/>
        </w:rPr>
        <w:t>預</w:t>
      </w:r>
      <w:r w:rsidR="00063BE0" w:rsidRPr="00063BE0">
        <w:rPr>
          <w:rFonts w:hint="eastAsia"/>
          <w:lang w:eastAsia="zh-HK"/>
        </w:rPr>
        <w:t>算數7</w:t>
      </w:r>
      <w:r w:rsidR="00063BE0">
        <w:rPr>
          <w:rFonts w:hint="eastAsia"/>
        </w:rPr>
        <w:t>4</w:t>
      </w:r>
      <w:r w:rsidR="00063BE0" w:rsidRPr="00063BE0">
        <w:rPr>
          <w:rFonts w:hint="eastAsia"/>
          <w:lang w:eastAsia="zh-HK"/>
        </w:rPr>
        <w:t>億</w:t>
      </w:r>
      <w:r w:rsidR="00063BE0">
        <w:rPr>
          <w:rFonts w:hint="eastAsia"/>
        </w:rPr>
        <w:t>7,026</w:t>
      </w:r>
      <w:r w:rsidR="00063BE0" w:rsidRPr="00063BE0">
        <w:rPr>
          <w:rFonts w:hint="eastAsia"/>
          <w:lang w:eastAsia="zh-HK"/>
        </w:rPr>
        <w:t>萬</w:t>
      </w:r>
      <w:r w:rsidR="00063BE0">
        <w:rPr>
          <w:rFonts w:hint="eastAsia"/>
        </w:rPr>
        <w:t>8</w:t>
      </w:r>
      <w:r w:rsidR="00063BE0" w:rsidRPr="00063BE0">
        <w:rPr>
          <w:rFonts w:hint="eastAsia"/>
          <w:lang w:eastAsia="zh-HK"/>
        </w:rPr>
        <w:t>千元</w:t>
      </w:r>
      <w:r w:rsidR="00063BE0">
        <w:rPr>
          <w:rFonts w:hint="eastAsia"/>
        </w:rPr>
        <w:t>，</w:t>
      </w:r>
      <w:r w:rsidRPr="00F96766">
        <w:rPr>
          <w:rFonts w:hint="eastAsia"/>
          <w:lang w:eastAsia="zh-HK"/>
        </w:rPr>
        <w:t>決算數</w:t>
      </w:r>
      <w:r w:rsidR="003F1081">
        <w:rPr>
          <w:lang w:eastAsia="zh-HK"/>
        </w:rPr>
        <w:t>137</w:t>
      </w:r>
      <w:r w:rsidRPr="00F96766">
        <w:rPr>
          <w:rFonts w:hint="eastAsia"/>
          <w:lang w:eastAsia="zh-HK"/>
        </w:rPr>
        <w:t>億</w:t>
      </w:r>
      <w:r w:rsidR="003F1081">
        <w:rPr>
          <w:lang w:eastAsia="zh-HK"/>
        </w:rPr>
        <w:t>6,454</w:t>
      </w:r>
      <w:r w:rsidRPr="00F96766">
        <w:rPr>
          <w:rFonts w:hint="eastAsia"/>
          <w:lang w:eastAsia="zh-HK"/>
        </w:rPr>
        <w:t>萬</w:t>
      </w:r>
      <w:r w:rsidR="003F1081">
        <w:rPr>
          <w:rFonts w:hint="eastAsia"/>
        </w:rPr>
        <w:t>5</w:t>
      </w:r>
      <w:r w:rsidRPr="00F96766">
        <w:rPr>
          <w:rFonts w:hint="eastAsia"/>
          <w:lang w:eastAsia="zh-HK"/>
        </w:rPr>
        <w:t>千元，較</w:t>
      </w:r>
      <w:r w:rsidR="003F1081">
        <w:rPr>
          <w:lang w:eastAsia="zh-HK"/>
        </w:rPr>
        <w:t>112</w:t>
      </w:r>
      <w:r w:rsidRPr="00F96766">
        <w:rPr>
          <w:rFonts w:hint="eastAsia"/>
          <w:lang w:eastAsia="zh-HK"/>
        </w:rPr>
        <w:t>年度「本期淨損」決算數11</w:t>
      </w:r>
      <w:r w:rsidR="003F1081">
        <w:rPr>
          <w:lang w:eastAsia="zh-HK"/>
        </w:rPr>
        <w:t>4</w:t>
      </w:r>
      <w:r w:rsidRPr="00F96766">
        <w:rPr>
          <w:rFonts w:hint="eastAsia"/>
          <w:lang w:eastAsia="zh-HK"/>
        </w:rPr>
        <w:t>億</w:t>
      </w:r>
      <w:r w:rsidR="003F1081">
        <w:rPr>
          <w:rFonts w:hint="eastAsia"/>
        </w:rPr>
        <w:t>2</w:t>
      </w:r>
      <w:r w:rsidRPr="00F96766">
        <w:rPr>
          <w:rFonts w:hint="eastAsia"/>
          <w:lang w:eastAsia="zh-HK"/>
        </w:rPr>
        <w:t>,</w:t>
      </w:r>
      <w:r w:rsidR="003F1081">
        <w:rPr>
          <w:lang w:eastAsia="zh-HK"/>
        </w:rPr>
        <w:t>982</w:t>
      </w:r>
      <w:r w:rsidRPr="00F96766">
        <w:rPr>
          <w:rFonts w:hint="eastAsia"/>
          <w:lang w:eastAsia="zh-HK"/>
        </w:rPr>
        <w:t>萬</w:t>
      </w:r>
      <w:r w:rsidR="003F1081">
        <w:rPr>
          <w:rFonts w:hint="eastAsia"/>
        </w:rPr>
        <w:t>9</w:t>
      </w:r>
      <w:r w:rsidR="003F1081">
        <w:rPr>
          <w:rFonts w:hint="eastAsia"/>
          <w:lang w:eastAsia="zh-HK"/>
        </w:rPr>
        <w:t>千</w:t>
      </w:r>
      <w:r w:rsidRPr="00F96766">
        <w:rPr>
          <w:rFonts w:hint="eastAsia"/>
          <w:lang w:eastAsia="zh-HK"/>
        </w:rPr>
        <w:t>元增加</w:t>
      </w:r>
      <w:r w:rsidR="003F1081">
        <w:rPr>
          <w:rFonts w:hint="eastAsia"/>
        </w:rPr>
        <w:t>23</w:t>
      </w:r>
      <w:r w:rsidRPr="00F96766">
        <w:rPr>
          <w:rFonts w:hint="eastAsia"/>
          <w:lang w:eastAsia="zh-HK"/>
        </w:rPr>
        <w:t>億</w:t>
      </w:r>
      <w:r w:rsidR="003F1081">
        <w:rPr>
          <w:rFonts w:hint="eastAsia"/>
        </w:rPr>
        <w:t>3</w:t>
      </w:r>
      <w:r w:rsidRPr="00F96766">
        <w:rPr>
          <w:rFonts w:hint="eastAsia"/>
          <w:lang w:eastAsia="zh-HK"/>
        </w:rPr>
        <w:t>,</w:t>
      </w:r>
      <w:r w:rsidR="003F1081">
        <w:rPr>
          <w:rFonts w:hint="eastAsia"/>
        </w:rPr>
        <w:t>471</w:t>
      </w:r>
      <w:r w:rsidRPr="00F96766">
        <w:rPr>
          <w:rFonts w:hint="eastAsia"/>
          <w:lang w:eastAsia="zh-HK"/>
        </w:rPr>
        <w:t>萬</w:t>
      </w:r>
      <w:r w:rsidR="003F1081">
        <w:rPr>
          <w:rFonts w:hint="eastAsia"/>
        </w:rPr>
        <w:t>6</w:t>
      </w:r>
      <w:r w:rsidRPr="00F96766">
        <w:rPr>
          <w:rFonts w:hint="eastAsia"/>
          <w:lang w:eastAsia="zh-HK"/>
        </w:rPr>
        <w:t>千元(增幅</w:t>
      </w:r>
      <w:r w:rsidR="00063BE0">
        <w:rPr>
          <w:rFonts w:hint="eastAsia"/>
        </w:rPr>
        <w:t>20.43</w:t>
      </w:r>
      <w:r w:rsidRPr="00F96766">
        <w:rPr>
          <w:rFonts w:hint="eastAsia"/>
          <w:lang w:eastAsia="zh-HK"/>
        </w:rPr>
        <w:t>%)</w:t>
      </w:r>
      <w:r w:rsidR="00D663C0">
        <w:rPr>
          <w:rFonts w:hint="eastAsia"/>
        </w:rPr>
        <w:t>。</w:t>
      </w:r>
      <w:r w:rsidR="003F1081">
        <w:rPr>
          <w:rFonts w:hint="eastAsia"/>
          <w:lang w:eastAsia="zh-HK"/>
        </w:rPr>
        <w:t>另</w:t>
      </w:r>
      <w:r w:rsidR="003F1081">
        <w:rPr>
          <w:rFonts w:hint="eastAsia"/>
        </w:rPr>
        <w:t>113</w:t>
      </w:r>
      <w:r w:rsidR="003F1081">
        <w:rPr>
          <w:rFonts w:hint="eastAsia"/>
          <w:lang w:eastAsia="zh-HK"/>
        </w:rPr>
        <w:t>年度</w:t>
      </w:r>
      <w:r w:rsidR="00D663C0">
        <w:rPr>
          <w:rFonts w:hint="eastAsia"/>
          <w:lang w:eastAsia="zh-HK"/>
        </w:rPr>
        <w:t>決算</w:t>
      </w:r>
      <w:r w:rsidR="0029605D">
        <w:rPr>
          <w:rFonts w:hint="eastAsia"/>
          <w:lang w:eastAsia="zh-HK"/>
        </w:rPr>
        <w:t>數</w:t>
      </w:r>
      <w:r w:rsidR="003F1081" w:rsidRPr="003F1081">
        <w:rPr>
          <w:rFonts w:hint="eastAsia"/>
          <w:lang w:eastAsia="zh-HK"/>
        </w:rPr>
        <w:t>附屬事業收入占</w:t>
      </w:r>
      <w:r w:rsidR="003F1081">
        <w:rPr>
          <w:rFonts w:hint="eastAsia"/>
          <w:lang w:eastAsia="zh-HK"/>
        </w:rPr>
        <w:t>總收入之</w:t>
      </w:r>
      <w:r w:rsidR="003F1081" w:rsidRPr="003F1081">
        <w:rPr>
          <w:rFonts w:hint="eastAsia"/>
          <w:lang w:eastAsia="zh-HK"/>
        </w:rPr>
        <w:t>比</w:t>
      </w:r>
      <w:r w:rsidR="003F1081">
        <w:rPr>
          <w:rFonts w:hint="eastAsia"/>
          <w:lang w:eastAsia="zh-HK"/>
        </w:rPr>
        <w:t>重</w:t>
      </w:r>
      <w:r w:rsidR="00DE2ACE">
        <w:rPr>
          <w:rFonts w:hint="eastAsia"/>
        </w:rPr>
        <w:t>(</w:t>
      </w:r>
      <w:r w:rsidR="00DE2ACE">
        <w:rPr>
          <w:rFonts w:hint="eastAsia"/>
          <w:lang w:eastAsia="zh-HK"/>
        </w:rPr>
        <w:t>以下簡稱</w:t>
      </w:r>
      <w:r w:rsidR="00DE2ACE" w:rsidRPr="00DE2ACE">
        <w:rPr>
          <w:rFonts w:hint="eastAsia"/>
        </w:rPr>
        <w:t>附屬事業收入占比</w:t>
      </w:r>
      <w:r w:rsidR="00DE2ACE">
        <w:rPr>
          <w:rFonts w:hint="eastAsia"/>
        </w:rPr>
        <w:t>)</w:t>
      </w:r>
      <w:r w:rsidR="003F1081">
        <w:rPr>
          <w:rFonts w:hint="eastAsia"/>
          <w:lang w:eastAsia="zh-HK"/>
        </w:rPr>
        <w:t>為</w:t>
      </w:r>
      <w:r w:rsidR="003F1081">
        <w:rPr>
          <w:rFonts w:hint="eastAsia"/>
        </w:rPr>
        <w:t>21.05%，</w:t>
      </w:r>
      <w:r w:rsidR="003F1081">
        <w:rPr>
          <w:rFonts w:hint="eastAsia"/>
          <w:lang w:eastAsia="zh-HK"/>
        </w:rPr>
        <w:t>較</w:t>
      </w:r>
      <w:r w:rsidR="003F1081">
        <w:rPr>
          <w:rFonts w:hint="eastAsia"/>
        </w:rPr>
        <w:t>112</w:t>
      </w:r>
      <w:r w:rsidR="003F1081">
        <w:rPr>
          <w:rFonts w:hint="eastAsia"/>
          <w:lang w:eastAsia="zh-HK"/>
        </w:rPr>
        <w:t>年度下降</w:t>
      </w:r>
      <w:r w:rsidR="00D663C0">
        <w:rPr>
          <w:rFonts w:hint="eastAsia"/>
        </w:rPr>
        <w:t>。</w:t>
      </w:r>
      <w:r w:rsidR="00D663C0">
        <w:rPr>
          <w:rFonts w:hint="eastAsia"/>
          <w:lang w:eastAsia="zh-HK"/>
        </w:rPr>
        <w:t>經查</w:t>
      </w:r>
      <w:r w:rsidRPr="00F96766">
        <w:rPr>
          <w:rFonts w:hint="eastAsia"/>
          <w:lang w:eastAsia="zh-HK"/>
        </w:rPr>
        <w:t>：</w:t>
      </w:r>
    </w:p>
    <w:p w:rsidR="003A3309" w:rsidRPr="00ED08D4" w:rsidRDefault="003A3309" w:rsidP="003A3309">
      <w:pPr>
        <w:pStyle w:val="a5"/>
        <w:ind w:left="849" w:hanging="283"/>
        <w:rPr>
          <w:b/>
        </w:rPr>
      </w:pPr>
      <w:r w:rsidRPr="00ED08D4">
        <w:rPr>
          <w:rFonts w:hint="eastAsia"/>
          <w:b/>
        </w:rPr>
        <w:t>(</w:t>
      </w:r>
      <w:r w:rsidR="00EB6D55">
        <w:rPr>
          <w:rFonts w:hint="eastAsia"/>
          <w:b/>
          <w:lang w:eastAsia="zh-HK"/>
        </w:rPr>
        <w:t>一</w:t>
      </w:r>
      <w:r w:rsidRPr="00ED08D4">
        <w:rPr>
          <w:rFonts w:hint="eastAsia"/>
          <w:b/>
        </w:rPr>
        <w:t>)</w:t>
      </w:r>
      <w:r w:rsidR="00EB6D55" w:rsidRPr="00EB6D55">
        <w:rPr>
          <w:rFonts w:hint="eastAsia"/>
          <w:b/>
        </w:rPr>
        <w:t>113年度</w:t>
      </w:r>
      <w:r w:rsidR="00DE2ACE" w:rsidRPr="00DE2ACE">
        <w:rPr>
          <w:rFonts w:hint="eastAsia"/>
          <w:b/>
        </w:rPr>
        <w:t>公司化後</w:t>
      </w:r>
      <w:r w:rsidR="00EB6D55" w:rsidRPr="00EB6D55">
        <w:rPr>
          <w:rFonts w:hint="eastAsia"/>
          <w:b/>
        </w:rPr>
        <w:t>虧損擴大</w:t>
      </w:r>
      <w:r w:rsidR="006036F0">
        <w:rPr>
          <w:rFonts w:hint="eastAsia"/>
          <w:b/>
        </w:rPr>
        <w:t>，</w:t>
      </w:r>
      <w:r w:rsidR="006036F0">
        <w:rPr>
          <w:rFonts w:hint="eastAsia"/>
          <w:b/>
          <w:lang w:eastAsia="zh-HK"/>
        </w:rPr>
        <w:t>亟待提升經營績效</w:t>
      </w:r>
    </w:p>
    <w:p w:rsidR="003A3309" w:rsidRDefault="00CD5B73" w:rsidP="003A3309">
      <w:pPr>
        <w:pStyle w:val="22"/>
        <w:ind w:left="850" w:firstLine="566"/>
      </w:pPr>
      <w:r>
        <w:rPr>
          <w:rFonts w:hint="eastAsia"/>
          <w:lang w:eastAsia="zh-HK"/>
        </w:rPr>
        <w:t>臺鐵</w:t>
      </w:r>
      <w:r w:rsidR="00435C3D">
        <w:rPr>
          <w:rFonts w:hint="eastAsia"/>
        </w:rPr>
        <w:t>111</w:t>
      </w:r>
      <w:r w:rsidR="00063BE0">
        <w:rPr>
          <w:rFonts w:hint="eastAsia"/>
          <w:lang w:eastAsia="zh-HK"/>
        </w:rPr>
        <w:t>及</w:t>
      </w:r>
      <w:r w:rsidRPr="00CD5B73">
        <w:rPr>
          <w:rFonts w:hint="eastAsia"/>
        </w:rPr>
        <w:t>112年度虧損各達111</w:t>
      </w:r>
      <w:r w:rsidR="00897821">
        <w:rPr>
          <w:rFonts w:hint="eastAsia"/>
          <w:lang w:eastAsia="zh-HK"/>
        </w:rPr>
        <w:t>億餘元</w:t>
      </w:r>
      <w:r w:rsidRPr="00CD5B73">
        <w:rPr>
          <w:rFonts w:hint="eastAsia"/>
        </w:rPr>
        <w:t>及114億餘元</w:t>
      </w:r>
      <w:r>
        <w:rPr>
          <w:rFonts w:hint="eastAsia"/>
        </w:rPr>
        <w:t>，</w:t>
      </w:r>
      <w:r w:rsidR="00D663C0" w:rsidRPr="00D663C0">
        <w:rPr>
          <w:rFonts w:hint="eastAsia"/>
        </w:rPr>
        <w:t>為</w:t>
      </w:r>
      <w:r w:rsidR="00D663C0">
        <w:rPr>
          <w:rFonts w:hint="eastAsia"/>
        </w:rPr>
        <w:t>提高臺鐵經營效能及競爭力，</w:t>
      </w:r>
      <w:r w:rsidR="00A6423B">
        <w:rPr>
          <w:rFonts w:hint="eastAsia"/>
          <w:lang w:eastAsia="zh-HK"/>
        </w:rPr>
        <w:t>政府</w:t>
      </w:r>
      <w:r w:rsidR="00D663C0">
        <w:rPr>
          <w:rFonts w:hint="eastAsia"/>
        </w:rPr>
        <w:t>制定國營臺灣鐵路股份有限公司設置條例</w:t>
      </w:r>
      <w:r w:rsidR="00DE2ACE">
        <w:rPr>
          <w:rFonts w:hint="eastAsia"/>
        </w:rPr>
        <w:t>（</w:t>
      </w:r>
      <w:r w:rsidR="00DE2ACE">
        <w:rPr>
          <w:rFonts w:hint="eastAsia"/>
          <w:lang w:eastAsia="zh-HK"/>
        </w:rPr>
        <w:t>以下簡稱臺鐵設置條例或該條例</w:t>
      </w:r>
      <w:r w:rsidR="00DE2ACE">
        <w:rPr>
          <w:rFonts w:hint="eastAsia"/>
        </w:rPr>
        <w:t>）</w:t>
      </w:r>
      <w:r w:rsidR="00D663C0">
        <w:rPr>
          <w:rFonts w:hint="eastAsia"/>
        </w:rPr>
        <w:t>，</w:t>
      </w:r>
      <w:r w:rsidR="00A6423B" w:rsidRPr="00A6423B">
        <w:rPr>
          <w:rFonts w:hint="eastAsia"/>
        </w:rPr>
        <w:t>且為履行臺鐵歷史包袱所造成債務由政府負擔之承諾，</w:t>
      </w:r>
      <w:r w:rsidR="00A6423B">
        <w:rPr>
          <w:rFonts w:hint="eastAsia"/>
          <w:lang w:eastAsia="zh-HK"/>
        </w:rPr>
        <w:t>由</w:t>
      </w:r>
      <w:r w:rsidR="00A6423B" w:rsidRPr="00A6423B">
        <w:rPr>
          <w:rFonts w:hint="eastAsia"/>
        </w:rPr>
        <w:t>鐵道局</w:t>
      </w:r>
      <w:r w:rsidR="00A6423B">
        <w:rPr>
          <w:rFonts w:hint="eastAsia"/>
          <w:lang w:eastAsia="zh-HK"/>
        </w:rPr>
        <w:t>於</w:t>
      </w:r>
      <w:r w:rsidR="00A6423B" w:rsidRPr="00A6423B">
        <w:rPr>
          <w:rFonts w:hint="eastAsia"/>
        </w:rPr>
        <w:t>113年1月1日增設「臺鐵局撥入資產及債務管理基金」承接臺鐵轉入既有短期債務1,699.1億元</w:t>
      </w:r>
      <w:r w:rsidR="00A6423B">
        <w:rPr>
          <w:rFonts w:hint="eastAsia"/>
        </w:rPr>
        <w:t>，</w:t>
      </w:r>
      <w:r w:rsidR="003A3309" w:rsidRPr="00D822F8">
        <w:rPr>
          <w:rFonts w:hint="eastAsia"/>
        </w:rPr>
        <w:t>臺鐵</w:t>
      </w:r>
      <w:r w:rsidR="00A6423B">
        <w:rPr>
          <w:rFonts w:hint="eastAsia"/>
          <w:lang w:eastAsia="zh-HK"/>
        </w:rPr>
        <w:t>並</w:t>
      </w:r>
      <w:r w:rsidR="003A3309" w:rsidRPr="00D822F8">
        <w:rPr>
          <w:rFonts w:hint="eastAsia"/>
        </w:rPr>
        <w:t>於113</w:t>
      </w:r>
      <w:r w:rsidR="003A3309">
        <w:rPr>
          <w:rFonts w:hint="eastAsia"/>
        </w:rPr>
        <w:t>年完成公司化，</w:t>
      </w:r>
      <w:r w:rsidR="00897821">
        <w:rPr>
          <w:rFonts w:hint="eastAsia"/>
          <w:lang w:eastAsia="zh-HK"/>
        </w:rPr>
        <w:t>然而</w:t>
      </w:r>
      <w:r w:rsidR="003A3309" w:rsidRPr="00D822F8">
        <w:rPr>
          <w:rFonts w:hint="eastAsia"/>
        </w:rPr>
        <w:t>公司化後雖採企</w:t>
      </w:r>
      <w:r w:rsidR="003A3309">
        <w:rPr>
          <w:rFonts w:hint="eastAsia"/>
          <w:lang w:eastAsia="zh-HK"/>
        </w:rPr>
        <w:t>業</w:t>
      </w:r>
      <w:r w:rsidR="003A3309" w:rsidRPr="00D822F8">
        <w:rPr>
          <w:rFonts w:hint="eastAsia"/>
        </w:rPr>
        <w:t>化經營模式</w:t>
      </w:r>
      <w:r>
        <w:rPr>
          <w:rFonts w:hint="eastAsia"/>
        </w:rPr>
        <w:t>，</w:t>
      </w:r>
      <w:r w:rsidR="00897821">
        <w:rPr>
          <w:rFonts w:hint="eastAsia"/>
          <w:lang w:eastAsia="zh-HK"/>
        </w:rPr>
        <w:t>惟</w:t>
      </w:r>
      <w:r w:rsidR="00BD70AE">
        <w:rPr>
          <w:rFonts w:hint="eastAsia"/>
          <w:lang w:eastAsia="zh-HK"/>
        </w:rPr>
        <w:t>虧損金額</w:t>
      </w:r>
      <w:r w:rsidR="00BD70AE" w:rsidRPr="00BD70AE">
        <w:rPr>
          <w:rFonts w:hint="eastAsia"/>
          <w:lang w:eastAsia="zh-HK"/>
        </w:rPr>
        <w:t>由111年度111億</w:t>
      </w:r>
      <w:r w:rsidR="007D431F">
        <w:rPr>
          <w:rFonts w:hint="eastAsia"/>
          <w:lang w:eastAsia="zh-HK"/>
        </w:rPr>
        <w:t>餘</w:t>
      </w:r>
      <w:r w:rsidR="00BD70AE" w:rsidRPr="00BD70AE">
        <w:rPr>
          <w:rFonts w:hint="eastAsia"/>
          <w:lang w:eastAsia="zh-HK"/>
        </w:rPr>
        <w:t>元及112年度114</w:t>
      </w:r>
      <w:r w:rsidR="00BD70AE">
        <w:rPr>
          <w:rFonts w:hint="eastAsia"/>
          <w:lang w:eastAsia="zh-HK"/>
        </w:rPr>
        <w:t>億餘元，至</w:t>
      </w:r>
      <w:r w:rsidR="00BD70AE" w:rsidRPr="00BD70AE">
        <w:rPr>
          <w:rFonts w:hint="eastAsia"/>
          <w:lang w:eastAsia="zh-HK"/>
        </w:rPr>
        <w:t>113年度</w:t>
      </w:r>
      <w:r w:rsidR="00BD70AE">
        <w:rPr>
          <w:rFonts w:hint="eastAsia"/>
          <w:lang w:eastAsia="zh-HK"/>
        </w:rPr>
        <w:t>擴大至</w:t>
      </w:r>
      <w:r w:rsidR="00BD70AE" w:rsidRPr="00BD70AE">
        <w:rPr>
          <w:rFonts w:hint="eastAsia"/>
          <w:lang w:eastAsia="zh-HK"/>
        </w:rPr>
        <w:t>137億餘元</w:t>
      </w:r>
      <w:r>
        <w:rPr>
          <w:rFonts w:hint="eastAsia"/>
        </w:rPr>
        <w:t>(</w:t>
      </w:r>
      <w:r w:rsidR="003A3309" w:rsidRPr="00D822F8">
        <w:rPr>
          <w:rFonts w:hint="eastAsia"/>
        </w:rPr>
        <w:t>詳表1</w:t>
      </w:r>
      <w:r>
        <w:rPr>
          <w:rFonts w:hint="eastAsia"/>
        </w:rPr>
        <w:t>)</w:t>
      </w:r>
      <w:r w:rsidR="006036F0">
        <w:rPr>
          <w:rFonts w:hint="eastAsia"/>
        </w:rPr>
        <w:t>，</w:t>
      </w:r>
      <w:r w:rsidR="00435C3D" w:rsidRPr="00435C3D">
        <w:rPr>
          <w:rFonts w:hint="eastAsia"/>
        </w:rPr>
        <w:t>允宜</w:t>
      </w:r>
      <w:r w:rsidR="006A2EA9" w:rsidRPr="006A2EA9">
        <w:rPr>
          <w:rFonts w:hint="eastAsia"/>
        </w:rPr>
        <w:t>持續改善營運效率，以提升經營績效</w:t>
      </w:r>
      <w:r w:rsidR="00435C3D">
        <w:rPr>
          <w:rFonts w:hint="eastAsia"/>
        </w:rPr>
        <w:t>。</w:t>
      </w:r>
    </w:p>
    <w:p w:rsidR="003A3309" w:rsidRPr="00F516EB" w:rsidRDefault="003A3309" w:rsidP="003A3309">
      <w:pPr>
        <w:ind w:leftChars="0" w:left="567" w:hangingChars="200" w:hanging="567"/>
        <w:rPr>
          <w:b/>
        </w:rPr>
      </w:pPr>
      <w:r w:rsidRPr="00F516EB">
        <w:rPr>
          <w:rFonts w:hint="eastAsia"/>
          <w:b/>
        </w:rPr>
        <w:t>表1  臺鐵1</w:t>
      </w:r>
      <w:r>
        <w:rPr>
          <w:rFonts w:hint="eastAsia"/>
          <w:b/>
        </w:rPr>
        <w:t>1</w:t>
      </w:r>
      <w:r w:rsidR="00435C3D">
        <w:rPr>
          <w:rFonts w:hint="eastAsia"/>
          <w:b/>
        </w:rPr>
        <w:t>1</w:t>
      </w:r>
      <w:r>
        <w:rPr>
          <w:rFonts w:hint="eastAsia"/>
          <w:b/>
        </w:rPr>
        <w:t>至</w:t>
      </w:r>
      <w:r w:rsidRPr="00F516EB">
        <w:rPr>
          <w:rFonts w:hint="eastAsia"/>
          <w:b/>
        </w:rPr>
        <w:t>11</w:t>
      </w:r>
      <w:r w:rsidR="00435C3D">
        <w:rPr>
          <w:rFonts w:hint="eastAsia"/>
          <w:b/>
        </w:rPr>
        <w:t>3</w:t>
      </w:r>
      <w:r w:rsidRPr="00F516EB">
        <w:rPr>
          <w:rFonts w:hint="eastAsia"/>
          <w:b/>
        </w:rPr>
        <w:t>年度簡明損益表</w:t>
      </w:r>
      <w:r>
        <w:rPr>
          <w:rFonts w:hint="eastAsia"/>
          <w:b/>
        </w:rPr>
        <w:t xml:space="preserve"> </w:t>
      </w:r>
      <w:r>
        <w:rPr>
          <w:b/>
        </w:rPr>
        <w:t xml:space="preserve">             </w:t>
      </w:r>
      <w:r w:rsidRPr="00F516EB">
        <w:rPr>
          <w:rFonts w:hint="eastAsia"/>
          <w:sz w:val="24"/>
          <w:szCs w:val="24"/>
        </w:rPr>
        <w:t>單位：新臺幣</w:t>
      </w:r>
      <w:r>
        <w:rPr>
          <w:rFonts w:hint="eastAsia"/>
          <w:sz w:val="24"/>
          <w:szCs w:val="24"/>
        </w:rPr>
        <w:t>千</w:t>
      </w:r>
      <w:r w:rsidRPr="00F516EB">
        <w:rPr>
          <w:rFonts w:hint="eastAsia"/>
          <w:sz w:val="24"/>
          <w:szCs w:val="24"/>
        </w:rPr>
        <w:t>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25"/>
        <w:gridCol w:w="2125"/>
        <w:gridCol w:w="2125"/>
        <w:gridCol w:w="2125"/>
      </w:tblGrid>
      <w:tr w:rsidR="00942767" w:rsidRPr="00920310" w:rsidTr="00942767">
        <w:trPr>
          <w:trHeight w:val="340"/>
          <w:tblHeader/>
        </w:trPr>
        <w:tc>
          <w:tcPr>
            <w:tcW w:w="2125" w:type="dxa"/>
            <w:shd w:val="clear" w:color="000000" w:fill="FFFFFF"/>
            <w:vAlign w:val="center"/>
            <w:hideMark/>
          </w:tcPr>
          <w:p w:rsidR="00942767" w:rsidRPr="00920310" w:rsidRDefault="00942767" w:rsidP="004A03B5">
            <w:pPr>
              <w:pStyle w:val="142"/>
              <w:jc w:val="center"/>
              <w:rPr>
                <w:b/>
              </w:rPr>
            </w:pPr>
            <w:r w:rsidRPr="00920310">
              <w:rPr>
                <w:rFonts w:hint="eastAsia"/>
                <w:b/>
                <w:lang w:eastAsia="zh-HK"/>
              </w:rPr>
              <w:t>項目</w:t>
            </w:r>
          </w:p>
        </w:tc>
        <w:tc>
          <w:tcPr>
            <w:tcW w:w="2125" w:type="dxa"/>
            <w:shd w:val="clear" w:color="000000" w:fill="FFFFFF"/>
            <w:vAlign w:val="center"/>
            <w:hideMark/>
          </w:tcPr>
          <w:p w:rsidR="00942767" w:rsidRPr="00920310" w:rsidRDefault="00942767" w:rsidP="004A03B5">
            <w:pPr>
              <w:pStyle w:val="142"/>
              <w:jc w:val="center"/>
              <w:rPr>
                <w:rFonts w:hint="eastAsia"/>
                <w:b/>
              </w:rPr>
            </w:pPr>
            <w:r w:rsidRPr="00920310">
              <w:rPr>
                <w:rFonts w:hint="eastAsia"/>
                <w:b/>
              </w:rPr>
              <w:t>111</w:t>
            </w:r>
            <w:r w:rsidRPr="00920310">
              <w:rPr>
                <w:rFonts w:hint="eastAsia"/>
                <w:b/>
                <w:lang w:eastAsia="zh-HK"/>
              </w:rPr>
              <w:t>年度</w:t>
            </w:r>
          </w:p>
        </w:tc>
        <w:tc>
          <w:tcPr>
            <w:tcW w:w="2125" w:type="dxa"/>
            <w:shd w:val="clear" w:color="000000" w:fill="FFFFFF"/>
            <w:vAlign w:val="center"/>
            <w:hideMark/>
          </w:tcPr>
          <w:p w:rsidR="00942767" w:rsidRPr="00920310" w:rsidRDefault="00942767" w:rsidP="004A03B5">
            <w:pPr>
              <w:pStyle w:val="142"/>
              <w:jc w:val="center"/>
              <w:rPr>
                <w:rFonts w:hint="eastAsia"/>
                <w:b/>
              </w:rPr>
            </w:pPr>
            <w:r w:rsidRPr="00920310">
              <w:rPr>
                <w:rFonts w:hint="eastAsia"/>
                <w:b/>
              </w:rPr>
              <w:t>112</w:t>
            </w:r>
            <w:r w:rsidRPr="00920310">
              <w:rPr>
                <w:rFonts w:hint="eastAsia"/>
                <w:b/>
                <w:lang w:eastAsia="zh-HK"/>
              </w:rPr>
              <w:t>年度</w:t>
            </w:r>
          </w:p>
        </w:tc>
        <w:tc>
          <w:tcPr>
            <w:tcW w:w="2125" w:type="dxa"/>
            <w:shd w:val="clear" w:color="000000" w:fill="FFFFFF"/>
            <w:vAlign w:val="center"/>
            <w:hideMark/>
          </w:tcPr>
          <w:p w:rsidR="00942767" w:rsidRPr="00920310" w:rsidRDefault="00942767" w:rsidP="004A03B5">
            <w:pPr>
              <w:pStyle w:val="142"/>
              <w:jc w:val="center"/>
              <w:rPr>
                <w:rFonts w:hint="eastAsia"/>
                <w:b/>
              </w:rPr>
            </w:pPr>
            <w:r w:rsidRPr="00920310">
              <w:rPr>
                <w:rFonts w:hint="eastAsia"/>
                <w:b/>
              </w:rPr>
              <w:t>113</w:t>
            </w:r>
            <w:r w:rsidRPr="00920310">
              <w:rPr>
                <w:rFonts w:hint="eastAsia"/>
                <w:b/>
                <w:lang w:eastAsia="zh-HK"/>
              </w:rPr>
              <w:t>年度</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t>營業收入</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26,468,052</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31,927,052</w:t>
            </w:r>
          </w:p>
        </w:tc>
        <w:tc>
          <w:tcPr>
            <w:tcW w:w="2125" w:type="dxa"/>
            <w:shd w:val="clear" w:color="000000" w:fill="FFFFFF"/>
            <w:noWrap/>
            <w:vAlign w:val="center"/>
            <w:hideMark/>
          </w:tcPr>
          <w:p w:rsidR="00942767" w:rsidRPr="004A03B5" w:rsidRDefault="00942767" w:rsidP="004A03B5">
            <w:pPr>
              <w:pStyle w:val="142"/>
              <w:jc w:val="right"/>
            </w:pPr>
            <w:r w:rsidRPr="004A03B5">
              <w:rPr>
                <w:rFonts w:hint="eastAsia"/>
              </w:rPr>
              <w:t>32,731,993</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t>營業成本</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34,526,104</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37,495,111</w:t>
            </w:r>
          </w:p>
        </w:tc>
        <w:tc>
          <w:tcPr>
            <w:tcW w:w="2125" w:type="dxa"/>
            <w:shd w:val="clear" w:color="000000" w:fill="FFFFFF"/>
            <w:noWrap/>
            <w:vAlign w:val="center"/>
            <w:hideMark/>
          </w:tcPr>
          <w:p w:rsidR="00942767" w:rsidRPr="004A03B5" w:rsidRDefault="00942767" w:rsidP="004A03B5">
            <w:pPr>
              <w:pStyle w:val="142"/>
              <w:jc w:val="right"/>
            </w:pPr>
            <w:r w:rsidRPr="004A03B5">
              <w:rPr>
                <w:rFonts w:hint="eastAsia"/>
              </w:rPr>
              <w:t>39,737,697</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t>營業毛利</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-8,058,052</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-5,568,059</w:t>
            </w:r>
          </w:p>
        </w:tc>
        <w:tc>
          <w:tcPr>
            <w:tcW w:w="2125" w:type="dxa"/>
            <w:noWrap/>
            <w:vAlign w:val="center"/>
            <w:hideMark/>
          </w:tcPr>
          <w:p w:rsidR="00942767" w:rsidRPr="004A03B5" w:rsidRDefault="00942767" w:rsidP="004A03B5">
            <w:pPr>
              <w:pStyle w:val="142"/>
              <w:jc w:val="right"/>
            </w:pPr>
            <w:r w:rsidRPr="004A03B5">
              <w:rPr>
                <w:rFonts w:hint="eastAsia"/>
              </w:rPr>
              <w:t>-7,005,704</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t>營業費用</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1,525,471</w:t>
            </w:r>
          </w:p>
        </w:tc>
        <w:tc>
          <w:tcPr>
            <w:tcW w:w="2125" w:type="dxa"/>
            <w:shd w:val="clear" w:color="000000" w:fill="FFFFFF"/>
            <w:noWrap/>
            <w:vAlign w:val="center"/>
            <w:hideMark/>
          </w:tcPr>
          <w:p w:rsidR="00942767" w:rsidRPr="004A03B5" w:rsidRDefault="00942767" w:rsidP="000243DE">
            <w:pPr>
              <w:pStyle w:val="142"/>
              <w:jc w:val="right"/>
              <w:rPr>
                <w:rFonts w:hint="eastAsia"/>
              </w:rPr>
            </w:pPr>
            <w:r w:rsidRPr="004A03B5">
              <w:rPr>
                <w:rFonts w:hint="eastAsia"/>
              </w:rPr>
              <w:t>1,727,25</w:t>
            </w:r>
            <w:r w:rsidR="000243DE">
              <w:rPr>
                <w:rFonts w:hint="eastAsia"/>
              </w:rPr>
              <w:t>8</w:t>
            </w:r>
          </w:p>
        </w:tc>
        <w:tc>
          <w:tcPr>
            <w:tcW w:w="2125" w:type="dxa"/>
            <w:noWrap/>
            <w:vAlign w:val="center"/>
            <w:hideMark/>
          </w:tcPr>
          <w:p w:rsidR="00942767" w:rsidRPr="004A03B5" w:rsidRDefault="00942767" w:rsidP="004A03B5">
            <w:pPr>
              <w:pStyle w:val="142"/>
              <w:jc w:val="right"/>
            </w:pPr>
            <w:r w:rsidRPr="004A03B5">
              <w:rPr>
                <w:rFonts w:hint="eastAsia"/>
              </w:rPr>
              <w:t>4,297,408</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t>營業利益</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-9,583,523</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-7,295,317</w:t>
            </w:r>
          </w:p>
        </w:tc>
        <w:tc>
          <w:tcPr>
            <w:tcW w:w="2125" w:type="dxa"/>
            <w:noWrap/>
            <w:vAlign w:val="center"/>
            <w:hideMark/>
          </w:tcPr>
          <w:p w:rsidR="00942767" w:rsidRPr="004A03B5" w:rsidRDefault="00942767" w:rsidP="004A03B5">
            <w:pPr>
              <w:pStyle w:val="142"/>
              <w:jc w:val="right"/>
            </w:pPr>
            <w:r w:rsidRPr="004A03B5">
              <w:rPr>
                <w:rFonts w:hint="eastAsia"/>
              </w:rPr>
              <w:t>-11,303,112</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t>營業外收入</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2,601,655</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1,518,156</w:t>
            </w:r>
          </w:p>
        </w:tc>
        <w:tc>
          <w:tcPr>
            <w:tcW w:w="2125" w:type="dxa"/>
            <w:noWrap/>
            <w:vAlign w:val="center"/>
            <w:hideMark/>
          </w:tcPr>
          <w:p w:rsidR="00942767" w:rsidRPr="004A03B5" w:rsidRDefault="00942767" w:rsidP="004A03B5">
            <w:pPr>
              <w:pStyle w:val="142"/>
              <w:jc w:val="right"/>
            </w:pPr>
            <w:r w:rsidRPr="004A03B5">
              <w:rPr>
                <w:rFonts w:hint="eastAsia"/>
              </w:rPr>
              <w:t>870,434</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t>營業外費用</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4,132,692</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5,652,668</w:t>
            </w:r>
          </w:p>
        </w:tc>
        <w:tc>
          <w:tcPr>
            <w:tcW w:w="2125" w:type="dxa"/>
            <w:noWrap/>
            <w:vAlign w:val="center"/>
            <w:hideMark/>
          </w:tcPr>
          <w:p w:rsidR="00942767" w:rsidRPr="004A03B5" w:rsidRDefault="00942767" w:rsidP="004A03B5">
            <w:pPr>
              <w:pStyle w:val="142"/>
              <w:jc w:val="right"/>
            </w:pPr>
            <w:r w:rsidRPr="004A03B5">
              <w:rPr>
                <w:rFonts w:hint="eastAsia"/>
              </w:rPr>
              <w:t>3,331,867</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lastRenderedPageBreak/>
              <w:t>本期淨利</w:t>
            </w:r>
            <w:r w:rsidR="00847E14">
              <w:rPr>
                <w:rFonts w:hint="eastAsia"/>
              </w:rPr>
              <w:t>(</w:t>
            </w:r>
            <w:r w:rsidR="00847E14">
              <w:rPr>
                <w:rFonts w:hint="eastAsia"/>
                <w:lang w:eastAsia="zh-HK"/>
              </w:rPr>
              <w:t>淨損</w:t>
            </w:r>
            <w:r w:rsidR="00847E14">
              <w:rPr>
                <w:rFonts w:hint="eastAsia"/>
              </w:rPr>
              <w:t>)</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-11,114,560</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-11,429,829</w:t>
            </w:r>
          </w:p>
        </w:tc>
        <w:tc>
          <w:tcPr>
            <w:tcW w:w="2125" w:type="dxa"/>
            <w:noWrap/>
            <w:vAlign w:val="center"/>
            <w:hideMark/>
          </w:tcPr>
          <w:p w:rsidR="00942767" w:rsidRPr="004A03B5" w:rsidRDefault="00942767" w:rsidP="004A03B5">
            <w:pPr>
              <w:pStyle w:val="142"/>
              <w:jc w:val="right"/>
            </w:pPr>
            <w:r w:rsidRPr="004A03B5">
              <w:rPr>
                <w:rFonts w:hint="eastAsia"/>
              </w:rPr>
              <w:t>-13,764,545</w:t>
            </w:r>
          </w:p>
        </w:tc>
      </w:tr>
    </w:tbl>
    <w:p w:rsidR="00DE2ACE" w:rsidRDefault="003A3309" w:rsidP="00DE2ACE">
      <w:pPr>
        <w:pStyle w:val="142"/>
        <w:ind w:left="1133" w:hangingChars="466" w:hanging="1133"/>
        <w:jc w:val="both"/>
      </w:pPr>
      <w:r>
        <w:rPr>
          <w:rFonts w:hint="eastAsia"/>
        </w:rPr>
        <w:t>說</w:t>
      </w:r>
      <w:r>
        <w:t xml:space="preserve">    </w:t>
      </w:r>
      <w:r>
        <w:rPr>
          <w:rFonts w:hint="eastAsia"/>
        </w:rPr>
        <w:t>明：11</w:t>
      </w:r>
      <w:r w:rsidR="00EB52E4">
        <w:rPr>
          <w:rFonts w:hint="eastAsia"/>
        </w:rPr>
        <w:t>1</w:t>
      </w:r>
      <w:r>
        <w:rPr>
          <w:rFonts w:hint="eastAsia"/>
        </w:rPr>
        <w:t>至</w:t>
      </w:r>
      <w:r w:rsidRPr="0014650E">
        <w:rPr>
          <w:rFonts w:hint="eastAsia"/>
        </w:rPr>
        <w:t>11</w:t>
      </w:r>
      <w:r>
        <w:rPr>
          <w:rFonts w:hint="eastAsia"/>
        </w:rPr>
        <w:t>3</w:t>
      </w:r>
      <w:r w:rsidRPr="0014650E">
        <w:rPr>
          <w:rFonts w:hint="eastAsia"/>
        </w:rPr>
        <w:t>年度為審定決算數。</w:t>
      </w:r>
      <w:r w:rsidRPr="002D1EE5">
        <w:rPr>
          <w:rFonts w:hint="eastAsia"/>
        </w:rPr>
        <w:t>部分資料因四捨五入之故會有尾差，或有不合。</w:t>
      </w:r>
    </w:p>
    <w:p w:rsidR="003A3309" w:rsidRDefault="003A3309" w:rsidP="00DE2ACE">
      <w:pPr>
        <w:pStyle w:val="142"/>
        <w:ind w:left="1133" w:hangingChars="466" w:hanging="1133"/>
        <w:jc w:val="both"/>
      </w:pPr>
      <w:r>
        <w:rPr>
          <w:rFonts w:hint="eastAsia"/>
        </w:rPr>
        <w:t>資料來源：臺鐵</w:t>
      </w:r>
      <w:r>
        <w:rPr>
          <w:rFonts w:hint="eastAsia"/>
          <w:lang w:eastAsia="zh-HK"/>
        </w:rPr>
        <w:t>提供</w:t>
      </w:r>
      <w:r w:rsidR="000243DE">
        <w:rPr>
          <w:rFonts w:hint="eastAsia"/>
          <w:lang w:eastAsia="zh-HK"/>
        </w:rPr>
        <w:t>及</w:t>
      </w:r>
      <w:r w:rsidR="00366DC3">
        <w:rPr>
          <w:rFonts w:hint="eastAsia"/>
          <w:lang w:eastAsia="zh-HK"/>
        </w:rPr>
        <w:t>臺鐵</w:t>
      </w:r>
      <w:r w:rsidR="000243DE">
        <w:rPr>
          <w:rFonts w:hint="eastAsia"/>
        </w:rPr>
        <w:t>113</w:t>
      </w:r>
      <w:r w:rsidR="000243DE">
        <w:rPr>
          <w:rFonts w:hint="eastAsia"/>
          <w:lang w:eastAsia="zh-HK"/>
        </w:rPr>
        <w:t>年度決算書第</w:t>
      </w:r>
      <w:r w:rsidR="000243DE">
        <w:rPr>
          <w:rFonts w:hint="eastAsia"/>
        </w:rPr>
        <w:t>50</w:t>
      </w:r>
      <w:r w:rsidR="000243DE">
        <w:rPr>
          <w:rFonts w:hint="eastAsia"/>
          <w:lang w:eastAsia="zh-HK"/>
        </w:rPr>
        <w:t>頁</w:t>
      </w:r>
      <w:r>
        <w:rPr>
          <w:rFonts w:hint="eastAsia"/>
        </w:rPr>
        <w:t>；</w:t>
      </w:r>
      <w:r>
        <w:rPr>
          <w:rFonts w:hint="eastAsia"/>
          <w:lang w:eastAsia="zh-HK"/>
        </w:rPr>
        <w:t>本中心整理</w:t>
      </w:r>
      <w:r>
        <w:rPr>
          <w:rFonts w:hint="eastAsia"/>
        </w:rPr>
        <w:t>。</w:t>
      </w:r>
    </w:p>
    <w:p w:rsidR="00F96766" w:rsidRPr="001E5E8D" w:rsidRDefault="00F96766" w:rsidP="00F96766">
      <w:pPr>
        <w:pStyle w:val="a5"/>
        <w:ind w:left="849" w:hanging="283"/>
        <w:rPr>
          <w:b/>
          <w:snapToGrid/>
        </w:rPr>
      </w:pPr>
      <w:r w:rsidRPr="001E5E8D">
        <w:rPr>
          <w:rFonts w:hint="eastAsia"/>
          <w:b/>
          <w:snapToGrid/>
        </w:rPr>
        <w:t>(</w:t>
      </w:r>
      <w:r w:rsidR="00DE2ACE">
        <w:rPr>
          <w:rFonts w:hint="eastAsia"/>
          <w:b/>
          <w:snapToGrid/>
          <w:lang w:eastAsia="zh-HK"/>
        </w:rPr>
        <w:t>二</w:t>
      </w:r>
      <w:r w:rsidRPr="001E5E8D">
        <w:rPr>
          <w:rFonts w:hint="eastAsia"/>
          <w:b/>
          <w:snapToGrid/>
        </w:rPr>
        <w:t>)</w:t>
      </w:r>
      <w:r>
        <w:rPr>
          <w:rFonts w:hint="eastAsia"/>
          <w:b/>
          <w:snapToGrid/>
          <w:lang w:eastAsia="zh-HK"/>
        </w:rPr>
        <w:t>公司化後</w:t>
      </w:r>
      <w:r w:rsidR="00DE2ACE">
        <w:rPr>
          <w:rFonts w:hint="eastAsia"/>
          <w:b/>
          <w:snapToGrid/>
          <w:lang w:eastAsia="zh-HK"/>
        </w:rPr>
        <w:t>已賦予</w:t>
      </w:r>
      <w:r>
        <w:rPr>
          <w:rFonts w:hint="eastAsia"/>
          <w:b/>
          <w:snapToGrid/>
          <w:lang w:eastAsia="zh-HK"/>
        </w:rPr>
        <w:t>附屬事業經營彈性</w:t>
      </w:r>
      <w:r w:rsidR="00DE2ACE">
        <w:rPr>
          <w:rFonts w:hint="eastAsia"/>
          <w:b/>
          <w:snapToGrid/>
        </w:rPr>
        <w:t>，</w:t>
      </w:r>
      <w:r w:rsidR="00DE2ACE">
        <w:rPr>
          <w:rFonts w:hint="eastAsia"/>
          <w:b/>
          <w:snapToGrid/>
          <w:lang w:eastAsia="zh-HK"/>
        </w:rPr>
        <w:t>惟</w:t>
      </w:r>
      <w:r w:rsidR="00DE2ACE" w:rsidRPr="00DE2ACE">
        <w:rPr>
          <w:rFonts w:hint="eastAsia"/>
          <w:b/>
          <w:snapToGrid/>
        </w:rPr>
        <w:t>公司化後附屬事業收入</w:t>
      </w:r>
      <w:r w:rsidR="00063BE0">
        <w:rPr>
          <w:rFonts w:hint="eastAsia"/>
          <w:b/>
          <w:snapToGrid/>
          <w:lang w:eastAsia="zh-HK"/>
        </w:rPr>
        <w:t>及</w:t>
      </w:r>
      <w:r w:rsidR="00DE2ACE" w:rsidRPr="00DE2ACE">
        <w:rPr>
          <w:rFonts w:hint="eastAsia"/>
          <w:b/>
          <w:snapToGrid/>
        </w:rPr>
        <w:t>占比下降</w:t>
      </w:r>
      <w:r w:rsidR="005D4F4C">
        <w:rPr>
          <w:rFonts w:hint="eastAsia"/>
          <w:b/>
          <w:snapToGrid/>
        </w:rPr>
        <w:t>，</w:t>
      </w:r>
      <w:r w:rsidR="005D4F4C">
        <w:rPr>
          <w:rFonts w:hint="eastAsia"/>
          <w:b/>
          <w:snapToGrid/>
          <w:lang w:eastAsia="zh-HK"/>
        </w:rPr>
        <w:t>允宜研謀拓展</w:t>
      </w:r>
      <w:r w:rsidR="00801AA6">
        <w:rPr>
          <w:rFonts w:hint="eastAsia"/>
          <w:b/>
          <w:snapToGrid/>
          <w:lang w:eastAsia="zh-HK"/>
        </w:rPr>
        <w:t>附屬事業觸角及經營效率</w:t>
      </w:r>
    </w:p>
    <w:p w:rsidR="000B3464" w:rsidRDefault="00DE2ACE" w:rsidP="000B3464">
      <w:pPr>
        <w:pStyle w:val="123"/>
        <w:ind w:left="1133" w:hanging="283"/>
        <w:rPr>
          <w:snapToGrid/>
        </w:rPr>
      </w:pPr>
      <w:r w:rsidRPr="000B3464">
        <w:rPr>
          <w:rFonts w:hint="eastAsia"/>
          <w:b/>
          <w:snapToGrid/>
        </w:rPr>
        <w:t>1.</w:t>
      </w:r>
      <w:r w:rsidRPr="000B3464">
        <w:rPr>
          <w:rFonts w:hint="eastAsia"/>
          <w:b/>
          <w:snapToGrid/>
          <w:lang w:eastAsia="zh-HK"/>
        </w:rPr>
        <w:t>公司化後已賦予附屬事業經營彈性</w:t>
      </w:r>
      <w:r w:rsidRPr="000B3464">
        <w:rPr>
          <w:rFonts w:hint="eastAsia"/>
          <w:b/>
          <w:snapToGrid/>
        </w:rPr>
        <w:t>：</w:t>
      </w:r>
      <w:r w:rsidR="00F96766" w:rsidRPr="00E44917">
        <w:rPr>
          <w:rFonts w:hint="eastAsia"/>
          <w:snapToGrid/>
          <w:lang w:eastAsia="zh-HK"/>
        </w:rPr>
        <w:t>自113年公司化後，臺鐵依</w:t>
      </w:r>
      <w:r w:rsidR="00063BE0">
        <w:rPr>
          <w:rFonts w:hint="eastAsia"/>
          <w:snapToGrid/>
          <w:lang w:eastAsia="zh-HK"/>
        </w:rPr>
        <w:t>其</w:t>
      </w:r>
      <w:r w:rsidR="007447FD">
        <w:rPr>
          <w:rFonts w:hint="eastAsia"/>
          <w:snapToGrid/>
          <w:lang w:eastAsia="zh-HK"/>
        </w:rPr>
        <w:t>設置</w:t>
      </w:r>
      <w:r w:rsidR="00F96766" w:rsidRPr="00E44917">
        <w:rPr>
          <w:rFonts w:hint="eastAsia"/>
          <w:snapToGrid/>
          <w:lang w:eastAsia="zh-HK"/>
        </w:rPr>
        <w:t>條例第3條</w:t>
      </w:r>
      <w:r w:rsidR="00F96766">
        <w:rPr>
          <w:rFonts w:hint="eastAsia"/>
          <w:snapToGrid/>
          <w:lang w:eastAsia="zh-HK"/>
        </w:rPr>
        <w:t>第</w:t>
      </w:r>
      <w:r w:rsidR="00F96766">
        <w:rPr>
          <w:rFonts w:hint="eastAsia"/>
          <w:snapToGrid/>
        </w:rPr>
        <w:t>1</w:t>
      </w:r>
      <w:r w:rsidR="00F96766">
        <w:rPr>
          <w:rFonts w:hint="eastAsia"/>
          <w:snapToGrid/>
          <w:lang w:eastAsia="zh-HK"/>
        </w:rPr>
        <w:t>項</w:t>
      </w:r>
      <w:r w:rsidR="00F96766" w:rsidRPr="00E44917">
        <w:rPr>
          <w:rFonts w:hint="eastAsia"/>
          <w:snapToGrid/>
          <w:lang w:eastAsia="zh-HK"/>
        </w:rPr>
        <w:t>規定</w:t>
      </w:r>
      <w:r w:rsidR="00F96766">
        <w:rPr>
          <w:rStyle w:val="af6"/>
          <w:snapToGrid/>
          <w:lang w:eastAsia="zh-HK"/>
        </w:rPr>
        <w:footnoteReference w:id="1"/>
      </w:r>
      <w:r w:rsidR="00F96766" w:rsidRPr="001E5E8D">
        <w:rPr>
          <w:rFonts w:hint="eastAsia"/>
          <w:snapToGrid/>
          <w:lang w:eastAsia="zh-HK"/>
        </w:rPr>
        <w:t>，</w:t>
      </w:r>
      <w:r w:rsidR="00F96766" w:rsidRPr="00E44917">
        <w:rPr>
          <w:rFonts w:hint="eastAsia"/>
          <w:snapToGrid/>
          <w:lang w:eastAsia="zh-HK"/>
        </w:rPr>
        <w:t>業務範圍除鐵路客貨運輸外，亦包括「辦理鐵路法第21條第1項相關附屬事業」</w:t>
      </w:r>
      <w:r w:rsidR="00F96766">
        <w:rPr>
          <w:rStyle w:val="af6"/>
          <w:snapToGrid/>
          <w:lang w:eastAsia="zh-HK"/>
        </w:rPr>
        <w:footnoteReference w:id="2"/>
      </w:r>
      <w:r w:rsidR="00F96766">
        <w:rPr>
          <w:rFonts w:hint="eastAsia"/>
          <w:snapToGrid/>
        </w:rPr>
        <w:t>、</w:t>
      </w:r>
      <w:r w:rsidR="00F96766" w:rsidRPr="00205E3C">
        <w:rPr>
          <w:rFonts w:hint="eastAsia"/>
          <w:snapToGrid/>
          <w:lang w:eastAsia="zh-HK"/>
        </w:rPr>
        <w:t>「投資、轉投資或經營鐵路相關之業務」，以及「其他經交通部核准或委託之業務」</w:t>
      </w:r>
      <w:r w:rsidR="00F96766" w:rsidRPr="001E5E8D">
        <w:rPr>
          <w:rFonts w:hint="eastAsia"/>
          <w:snapToGrid/>
          <w:lang w:eastAsia="zh-HK"/>
        </w:rPr>
        <w:t>。</w:t>
      </w:r>
      <w:r w:rsidR="00F96766">
        <w:rPr>
          <w:rFonts w:hint="eastAsia"/>
          <w:snapToGrid/>
          <w:lang w:eastAsia="zh-HK"/>
        </w:rPr>
        <w:t>另</w:t>
      </w:r>
      <w:r w:rsidR="00F96766" w:rsidRPr="00BC3FA8">
        <w:rPr>
          <w:rFonts w:hint="eastAsia"/>
          <w:snapToGrid/>
        </w:rPr>
        <w:t>依鐵路</w:t>
      </w:r>
      <w:r w:rsidR="00F96766">
        <w:rPr>
          <w:rFonts w:hint="eastAsia"/>
          <w:snapToGrid/>
          <w:lang w:eastAsia="zh-HK"/>
        </w:rPr>
        <w:t>法第</w:t>
      </w:r>
      <w:r w:rsidR="00F96766" w:rsidRPr="00BC3FA8">
        <w:rPr>
          <w:rFonts w:hint="eastAsia"/>
          <w:snapToGrid/>
        </w:rPr>
        <w:t>21</w:t>
      </w:r>
      <w:r w:rsidR="00E73994">
        <w:rPr>
          <w:rFonts w:hint="eastAsia"/>
          <w:snapToGrid/>
          <w:lang w:eastAsia="zh-HK"/>
        </w:rPr>
        <w:t>條</w:t>
      </w:r>
      <w:r w:rsidR="00F96766">
        <w:rPr>
          <w:rFonts w:hint="eastAsia"/>
          <w:snapToGrid/>
          <w:lang w:eastAsia="zh-HK"/>
        </w:rPr>
        <w:t>之</w:t>
      </w:r>
      <w:r w:rsidR="00F96766">
        <w:rPr>
          <w:rFonts w:hint="eastAsia"/>
          <w:snapToGrid/>
        </w:rPr>
        <w:t>1</w:t>
      </w:r>
      <w:r w:rsidR="00F96766">
        <w:rPr>
          <w:rFonts w:hint="eastAsia"/>
          <w:snapToGrid/>
          <w:lang w:eastAsia="zh-HK"/>
        </w:rPr>
        <w:t>第</w:t>
      </w:r>
      <w:r w:rsidR="00F96766">
        <w:rPr>
          <w:rFonts w:hint="eastAsia"/>
          <w:snapToGrid/>
        </w:rPr>
        <w:t>2</w:t>
      </w:r>
      <w:r w:rsidR="00F96766">
        <w:rPr>
          <w:rFonts w:hint="eastAsia"/>
          <w:snapToGrid/>
          <w:lang w:eastAsia="zh-HK"/>
        </w:rPr>
        <w:t>項</w:t>
      </w:r>
      <w:r>
        <w:rPr>
          <w:rFonts w:hint="eastAsia"/>
          <w:snapToGrid/>
        </w:rPr>
        <w:t>：</w:t>
      </w:r>
      <w:r w:rsidR="00F96766">
        <w:rPr>
          <w:rFonts w:hint="eastAsia"/>
          <w:snapToGrid/>
        </w:rPr>
        <w:t>「</w:t>
      </w:r>
      <w:r w:rsidR="00F96766" w:rsidRPr="0021438D">
        <w:rPr>
          <w:rFonts w:hint="eastAsia"/>
          <w:snapToGrid/>
        </w:rPr>
        <w:t>國營鐵路機構報經主管機關核准，得辦理其經管之國有不動產開發、處分或收益，不受國有財產法第</w:t>
      </w:r>
      <w:r w:rsidR="00F96766">
        <w:rPr>
          <w:rFonts w:hint="eastAsia"/>
          <w:snapToGrid/>
        </w:rPr>
        <w:t>2</w:t>
      </w:r>
      <w:r w:rsidR="00F96766">
        <w:rPr>
          <w:snapToGrid/>
        </w:rPr>
        <w:t>8</w:t>
      </w:r>
      <w:r w:rsidR="00F96766" w:rsidRPr="0021438D">
        <w:rPr>
          <w:rFonts w:hint="eastAsia"/>
          <w:snapToGrid/>
        </w:rPr>
        <w:t>條規定之限制，前開處分屬出售或設定一定年期地上權者，應先報經行政院核定。</w:t>
      </w:r>
      <w:r w:rsidR="00F96766">
        <w:rPr>
          <w:rFonts w:hint="eastAsia"/>
          <w:snapToGrid/>
        </w:rPr>
        <w:t>」</w:t>
      </w:r>
      <w:r w:rsidR="00F96766">
        <w:rPr>
          <w:rFonts w:hint="eastAsia"/>
          <w:snapToGrid/>
          <w:lang w:eastAsia="zh-HK"/>
        </w:rPr>
        <w:t>前開相關規定</w:t>
      </w:r>
      <w:r w:rsidR="00F96766" w:rsidRPr="00E44917">
        <w:rPr>
          <w:rFonts w:hint="eastAsia"/>
          <w:snapToGrid/>
        </w:rPr>
        <w:t>提供臺鐵附屬事業經營及資產活化法源依據，</w:t>
      </w:r>
      <w:r w:rsidR="00F96766">
        <w:rPr>
          <w:rFonts w:hint="eastAsia"/>
          <w:snapToGrid/>
          <w:lang w:eastAsia="zh-HK"/>
        </w:rPr>
        <w:t>臺鐵得據以拓展附屬事業</w:t>
      </w:r>
      <w:r w:rsidR="00F96766" w:rsidRPr="00BC3FA8">
        <w:rPr>
          <w:rFonts w:hint="eastAsia"/>
          <w:snapToGrid/>
        </w:rPr>
        <w:t>。</w:t>
      </w:r>
    </w:p>
    <w:p w:rsidR="00F96766" w:rsidRDefault="000B3464" w:rsidP="00A6423B">
      <w:pPr>
        <w:pStyle w:val="123"/>
        <w:ind w:left="1133" w:hanging="283"/>
        <w:rPr>
          <w:rFonts w:hint="eastAsia"/>
          <w:snapToGrid/>
        </w:rPr>
      </w:pPr>
      <w:r w:rsidRPr="00CD411B">
        <w:rPr>
          <w:rFonts w:hint="eastAsia"/>
          <w:b/>
          <w:snapToGrid/>
        </w:rPr>
        <w:t>2.</w:t>
      </w:r>
      <w:r w:rsidR="00F96766">
        <w:rPr>
          <w:rFonts w:hint="eastAsia"/>
          <w:b/>
          <w:snapToGrid/>
          <w:lang w:eastAsia="zh-HK"/>
        </w:rPr>
        <w:t>臺鐵</w:t>
      </w:r>
      <w:r w:rsidR="000E7FB9" w:rsidRPr="000E7FB9">
        <w:rPr>
          <w:rFonts w:hint="eastAsia"/>
          <w:b/>
          <w:snapToGrid/>
          <w:lang w:eastAsia="zh-HK"/>
        </w:rPr>
        <w:t>已採取</w:t>
      </w:r>
      <w:r w:rsidR="000E7FB9">
        <w:rPr>
          <w:rFonts w:hint="eastAsia"/>
          <w:b/>
          <w:snapToGrid/>
          <w:lang w:eastAsia="zh-HK"/>
        </w:rPr>
        <w:t>各項</w:t>
      </w:r>
      <w:r w:rsidR="00F96766">
        <w:rPr>
          <w:rFonts w:hint="eastAsia"/>
          <w:b/>
          <w:snapToGrid/>
          <w:lang w:eastAsia="zh-HK"/>
        </w:rPr>
        <w:t>提高</w:t>
      </w:r>
      <w:r w:rsidR="00F96766" w:rsidRPr="006768E5">
        <w:rPr>
          <w:rFonts w:hint="eastAsia"/>
          <w:b/>
          <w:snapToGrid/>
        </w:rPr>
        <w:t>附屬事業收入</w:t>
      </w:r>
      <w:r w:rsidR="000E7FB9">
        <w:rPr>
          <w:rFonts w:hint="eastAsia"/>
          <w:b/>
          <w:snapToGrid/>
          <w:lang w:eastAsia="zh-HK"/>
        </w:rPr>
        <w:t>之措施</w:t>
      </w:r>
      <w:r>
        <w:rPr>
          <w:rFonts w:hint="eastAsia"/>
          <w:b/>
          <w:snapToGrid/>
        </w:rPr>
        <w:t>：</w:t>
      </w:r>
      <w:r w:rsidR="00F96766">
        <w:rPr>
          <w:rFonts w:hint="eastAsia"/>
          <w:snapToGrid/>
          <w:lang w:eastAsia="zh-HK"/>
        </w:rPr>
        <w:t>臺鐵附屬事業收入包括資產開發收入及附業營運收入</w:t>
      </w:r>
      <w:r w:rsidR="00F96766">
        <w:rPr>
          <w:rFonts w:hint="eastAsia"/>
          <w:snapToGrid/>
        </w:rPr>
        <w:t>，</w:t>
      </w:r>
      <w:r w:rsidR="006036F0">
        <w:rPr>
          <w:rFonts w:hint="eastAsia"/>
          <w:snapToGrid/>
          <w:lang w:eastAsia="zh-HK"/>
        </w:rPr>
        <w:t>據臺鐵表示</w:t>
      </w:r>
      <w:r w:rsidR="006036F0">
        <w:rPr>
          <w:rFonts w:hint="eastAsia"/>
          <w:snapToGrid/>
        </w:rPr>
        <w:t>，</w:t>
      </w:r>
      <w:r w:rsidR="00F96766" w:rsidRPr="00E44917">
        <w:rPr>
          <w:rFonts w:hint="eastAsia"/>
          <w:snapToGrid/>
          <w:lang w:eastAsia="zh-HK"/>
        </w:rPr>
        <w:t>為提高</w:t>
      </w:r>
      <w:r w:rsidR="006036F0" w:rsidRPr="006036F0">
        <w:rPr>
          <w:rFonts w:hint="eastAsia"/>
          <w:snapToGrid/>
          <w:lang w:eastAsia="zh-HK"/>
        </w:rPr>
        <w:t>公司化後</w:t>
      </w:r>
      <w:r w:rsidR="006036F0">
        <w:rPr>
          <w:rFonts w:hint="eastAsia"/>
          <w:snapToGrid/>
          <w:lang w:eastAsia="zh-HK"/>
        </w:rPr>
        <w:t>之</w:t>
      </w:r>
      <w:r w:rsidR="00F96766" w:rsidRPr="00E44917">
        <w:rPr>
          <w:rFonts w:hint="eastAsia"/>
          <w:snapToGrid/>
          <w:lang w:eastAsia="zh-HK"/>
        </w:rPr>
        <w:t>附屬事業收入，已採取下列措施</w:t>
      </w:r>
      <w:r w:rsidR="00F96766">
        <w:rPr>
          <w:rFonts w:hint="eastAsia"/>
          <w:snapToGrid/>
        </w:rPr>
        <w:t>：</w:t>
      </w:r>
    </w:p>
    <w:p w:rsidR="000B3464" w:rsidRDefault="000B3464" w:rsidP="000B3464">
      <w:pPr>
        <w:pStyle w:val="1231"/>
        <w:ind w:left="1416" w:hanging="283"/>
        <w:rPr>
          <w:snapToGrid/>
        </w:rPr>
      </w:pPr>
      <w:r>
        <w:rPr>
          <w:rFonts w:hint="eastAsia"/>
          <w:snapToGrid/>
        </w:rPr>
        <w:t>(1)</w:t>
      </w:r>
      <w:r w:rsidR="00F96766">
        <w:rPr>
          <w:rFonts w:hint="eastAsia"/>
          <w:snapToGrid/>
        </w:rPr>
        <w:t>檢</w:t>
      </w:r>
      <w:r w:rsidR="00F96766">
        <w:rPr>
          <w:rFonts w:hint="eastAsia"/>
          <w:snapToGrid/>
          <w:lang w:eastAsia="zh-HK"/>
        </w:rPr>
        <w:t>討修訂</w:t>
      </w:r>
      <w:r w:rsidR="00F96766" w:rsidRPr="00E44917">
        <w:rPr>
          <w:rFonts w:hint="eastAsia"/>
          <w:snapToGrid/>
        </w:rPr>
        <w:t>包括「不動產出租及利用作業要點」、「場地短期租借作業須知」</w:t>
      </w:r>
      <w:r w:rsidR="00F96766">
        <w:rPr>
          <w:rFonts w:hint="eastAsia"/>
          <w:snapToGrid/>
          <w:lang w:eastAsia="zh-HK"/>
        </w:rPr>
        <w:t>等</w:t>
      </w:r>
      <w:r w:rsidR="00F96766" w:rsidRPr="00E44917">
        <w:rPr>
          <w:rFonts w:hint="eastAsia"/>
          <w:snapToGrid/>
        </w:rPr>
        <w:t>規定，並於公司化後訂定「臺鐵合建開發作業要點」及「臺鐵設定地上權開發作業要點」</w:t>
      </w:r>
      <w:r w:rsidR="00F96766">
        <w:rPr>
          <w:rFonts w:hint="eastAsia"/>
          <w:snapToGrid/>
        </w:rPr>
        <w:t>，</w:t>
      </w:r>
      <w:r w:rsidR="00F96766">
        <w:rPr>
          <w:rFonts w:hint="eastAsia"/>
          <w:snapToGrid/>
          <w:lang w:eastAsia="zh-HK"/>
        </w:rPr>
        <w:t>做為經營附屬事業時之依據</w:t>
      </w:r>
      <w:r w:rsidR="00F96766">
        <w:rPr>
          <w:rFonts w:hint="eastAsia"/>
          <w:snapToGrid/>
        </w:rPr>
        <w:t>。</w:t>
      </w:r>
    </w:p>
    <w:p w:rsidR="000B3464" w:rsidRDefault="000B3464" w:rsidP="000B3464">
      <w:pPr>
        <w:pStyle w:val="1231"/>
        <w:ind w:left="1416" w:hanging="283"/>
        <w:rPr>
          <w:snapToGrid/>
        </w:rPr>
      </w:pPr>
      <w:r>
        <w:rPr>
          <w:rFonts w:hint="eastAsia"/>
          <w:snapToGrid/>
        </w:rPr>
        <w:lastRenderedPageBreak/>
        <w:t>(</w:t>
      </w:r>
      <w:r w:rsidR="00F96766">
        <w:rPr>
          <w:rFonts w:hint="eastAsia"/>
          <w:snapToGrid/>
        </w:rPr>
        <w:t>2</w:t>
      </w:r>
      <w:r>
        <w:rPr>
          <w:rFonts w:hint="eastAsia"/>
          <w:snapToGrid/>
        </w:rPr>
        <w:t>)</w:t>
      </w:r>
      <w:r w:rsidR="00F96766" w:rsidRPr="00195EB7">
        <w:rPr>
          <w:rFonts w:hint="eastAsia"/>
          <w:snapToGrid/>
        </w:rPr>
        <w:t>導入企業化模式，</w:t>
      </w:r>
      <w:r w:rsidR="00F96766">
        <w:rPr>
          <w:rFonts w:hint="eastAsia"/>
          <w:snapToGrid/>
          <w:lang w:eastAsia="zh-HK"/>
        </w:rPr>
        <w:t>除</w:t>
      </w:r>
      <w:r w:rsidR="00F96766" w:rsidRPr="00195EB7">
        <w:rPr>
          <w:rFonts w:hint="eastAsia"/>
          <w:snapToGrid/>
        </w:rPr>
        <w:t>積極</w:t>
      </w:r>
      <w:r w:rsidR="00F96766">
        <w:rPr>
          <w:rFonts w:hint="eastAsia"/>
          <w:snapToGrid/>
          <w:lang w:eastAsia="zh-HK"/>
        </w:rPr>
        <w:t>推動</w:t>
      </w:r>
      <w:r w:rsidR="00F96766" w:rsidRPr="00195EB7">
        <w:rPr>
          <w:rFonts w:hint="eastAsia"/>
          <w:snapToGrid/>
        </w:rPr>
        <w:t>促參建設、都市更新及設定地上權等方式活化資產外，未來亦評估採取合建開發及設定地上權等多元</w:t>
      </w:r>
      <w:r w:rsidR="00F96766">
        <w:rPr>
          <w:rFonts w:hint="eastAsia"/>
          <w:snapToGrid/>
          <w:lang w:eastAsia="zh-HK"/>
        </w:rPr>
        <w:t>方式推動</w:t>
      </w:r>
      <w:r w:rsidR="00F96766" w:rsidRPr="00195EB7">
        <w:rPr>
          <w:rFonts w:hint="eastAsia"/>
          <w:snapToGrid/>
        </w:rPr>
        <w:t>資產開發</w:t>
      </w:r>
      <w:r w:rsidR="00F96766">
        <w:rPr>
          <w:rFonts w:hint="eastAsia"/>
          <w:snapToGrid/>
        </w:rPr>
        <w:t>，</w:t>
      </w:r>
      <w:r w:rsidR="00F96766">
        <w:rPr>
          <w:rFonts w:hint="eastAsia"/>
          <w:snapToGrid/>
          <w:lang w:eastAsia="zh-HK"/>
        </w:rPr>
        <w:t>提資產開發收入</w:t>
      </w:r>
      <w:r w:rsidR="00F96766">
        <w:rPr>
          <w:rFonts w:hint="eastAsia"/>
          <w:snapToGrid/>
        </w:rPr>
        <w:t>。</w:t>
      </w:r>
    </w:p>
    <w:p w:rsidR="00F96766" w:rsidRDefault="000B3464" w:rsidP="000B3464">
      <w:pPr>
        <w:pStyle w:val="1231"/>
        <w:ind w:left="1416" w:hanging="283"/>
        <w:rPr>
          <w:rFonts w:hint="eastAsia"/>
          <w:snapToGrid/>
        </w:rPr>
      </w:pPr>
      <w:r>
        <w:rPr>
          <w:rFonts w:hint="eastAsia"/>
          <w:snapToGrid/>
        </w:rPr>
        <w:t>(3)</w:t>
      </w:r>
      <w:r w:rsidR="00F96766" w:rsidRPr="00E44917">
        <w:rPr>
          <w:rFonts w:hint="eastAsia"/>
          <w:snapToGrid/>
          <w:lang w:eastAsia="zh-HK"/>
        </w:rPr>
        <w:t>採取行銷策略，增加便當及各項鐵路商品開發與販售，</w:t>
      </w:r>
      <w:r w:rsidR="00F96766">
        <w:rPr>
          <w:rFonts w:hint="eastAsia"/>
          <w:snapToGrid/>
          <w:lang w:eastAsia="zh-HK"/>
        </w:rPr>
        <w:t>以</w:t>
      </w:r>
      <w:r w:rsidR="00F96766" w:rsidRPr="00E44917">
        <w:rPr>
          <w:rFonts w:hint="eastAsia"/>
          <w:snapToGrid/>
          <w:lang w:eastAsia="zh-HK"/>
        </w:rPr>
        <w:t>提升附屬事業收入</w:t>
      </w:r>
      <w:r w:rsidR="00F96766" w:rsidRPr="00912996">
        <w:rPr>
          <w:rFonts w:hint="eastAsia"/>
          <w:snapToGrid/>
        </w:rPr>
        <w:t>。</w:t>
      </w:r>
    </w:p>
    <w:p w:rsidR="00F96766" w:rsidRPr="002B1158" w:rsidRDefault="006036F0" w:rsidP="006036F0">
      <w:pPr>
        <w:pStyle w:val="22"/>
        <w:ind w:left="850" w:firstLine="566"/>
        <w:rPr>
          <w:snapToGrid/>
        </w:rPr>
      </w:pPr>
      <w:r>
        <w:rPr>
          <w:rFonts w:hint="eastAsia"/>
          <w:snapToGrid/>
          <w:lang w:eastAsia="zh-HK"/>
        </w:rPr>
        <w:t>惟</w:t>
      </w:r>
      <w:r w:rsidR="00F96766">
        <w:rPr>
          <w:rFonts w:hint="eastAsia"/>
          <w:snapToGrid/>
          <w:lang w:eastAsia="zh-HK"/>
        </w:rPr>
        <w:t>臺</w:t>
      </w:r>
      <w:r w:rsidR="00F96766" w:rsidRPr="00E44917">
        <w:rPr>
          <w:rFonts w:hint="eastAsia"/>
          <w:snapToGrid/>
          <w:lang w:eastAsia="zh-HK"/>
        </w:rPr>
        <w:t>鐵附屬事業收入</w:t>
      </w:r>
      <w:r w:rsidR="00145800">
        <w:rPr>
          <w:rFonts w:hint="eastAsia"/>
          <w:snapToGrid/>
        </w:rPr>
        <w:t>113</w:t>
      </w:r>
      <w:r w:rsidR="00145800">
        <w:rPr>
          <w:rFonts w:hint="eastAsia"/>
          <w:snapToGrid/>
          <w:lang w:eastAsia="zh-HK"/>
        </w:rPr>
        <w:t>年度較</w:t>
      </w:r>
      <w:r w:rsidR="00145800">
        <w:rPr>
          <w:rFonts w:hint="eastAsia"/>
          <w:snapToGrid/>
        </w:rPr>
        <w:t>111</w:t>
      </w:r>
      <w:r w:rsidR="00145800">
        <w:rPr>
          <w:rFonts w:hint="eastAsia"/>
          <w:snapToGrid/>
          <w:lang w:eastAsia="zh-HK"/>
        </w:rPr>
        <w:t>及</w:t>
      </w:r>
      <w:r w:rsidR="00145800">
        <w:rPr>
          <w:rFonts w:hint="eastAsia"/>
          <w:snapToGrid/>
        </w:rPr>
        <w:t>112</w:t>
      </w:r>
      <w:r w:rsidR="00145800">
        <w:rPr>
          <w:rFonts w:hint="eastAsia"/>
          <w:snapToGrid/>
          <w:lang w:eastAsia="zh-HK"/>
        </w:rPr>
        <w:t>年度減少</w:t>
      </w:r>
      <w:r w:rsidR="00145800">
        <w:rPr>
          <w:rFonts w:hint="eastAsia"/>
          <w:snapToGrid/>
        </w:rPr>
        <w:t>，</w:t>
      </w:r>
      <w:r w:rsidR="00145800">
        <w:rPr>
          <w:rFonts w:hint="eastAsia"/>
          <w:snapToGrid/>
          <w:lang w:eastAsia="zh-HK"/>
        </w:rPr>
        <w:t>且</w:t>
      </w:r>
      <w:r w:rsidR="00F96766" w:rsidRPr="00E44917">
        <w:rPr>
          <w:rFonts w:hint="eastAsia"/>
          <w:snapToGrid/>
          <w:lang w:eastAsia="zh-HK"/>
        </w:rPr>
        <w:t>占比由111年度28.84%、112年度2</w:t>
      </w:r>
      <w:r w:rsidR="00F96766">
        <w:rPr>
          <w:rFonts w:hint="eastAsia"/>
          <w:snapToGrid/>
        </w:rPr>
        <w:t>4</w:t>
      </w:r>
      <w:r w:rsidR="00F96766" w:rsidRPr="00E44917">
        <w:rPr>
          <w:rFonts w:hint="eastAsia"/>
          <w:snapToGrid/>
          <w:lang w:eastAsia="zh-HK"/>
        </w:rPr>
        <w:t>.34%，</w:t>
      </w:r>
      <w:r w:rsidR="00F016C2">
        <w:rPr>
          <w:rFonts w:hint="eastAsia"/>
          <w:snapToGrid/>
          <w:lang w:eastAsia="zh-HK"/>
        </w:rPr>
        <w:t>至</w:t>
      </w:r>
      <w:r w:rsidR="00F96766" w:rsidRPr="00E44917">
        <w:rPr>
          <w:rFonts w:hint="eastAsia"/>
          <w:snapToGrid/>
          <w:lang w:eastAsia="zh-HK"/>
        </w:rPr>
        <w:t>113年度下降</w:t>
      </w:r>
      <w:r w:rsidR="00F016C2">
        <w:rPr>
          <w:rFonts w:hint="eastAsia"/>
          <w:snapToGrid/>
          <w:lang w:eastAsia="zh-HK"/>
        </w:rPr>
        <w:t>為</w:t>
      </w:r>
      <w:r w:rsidR="00F96766" w:rsidRPr="00E44917">
        <w:rPr>
          <w:rFonts w:hint="eastAsia"/>
          <w:snapToGrid/>
          <w:lang w:eastAsia="zh-HK"/>
        </w:rPr>
        <w:t>21.05%</w:t>
      </w:r>
      <w:r w:rsidR="00F96766">
        <w:rPr>
          <w:rFonts w:hint="eastAsia"/>
          <w:snapToGrid/>
        </w:rPr>
        <w:t>(</w:t>
      </w:r>
      <w:r w:rsidR="00F96766">
        <w:rPr>
          <w:rFonts w:hint="eastAsia"/>
          <w:snapToGrid/>
          <w:lang w:eastAsia="zh-HK"/>
        </w:rPr>
        <w:t>詳表</w:t>
      </w:r>
      <w:r w:rsidR="000B3464">
        <w:rPr>
          <w:rFonts w:hint="eastAsia"/>
          <w:snapToGrid/>
        </w:rPr>
        <w:t>2</w:t>
      </w:r>
      <w:r w:rsidR="00F96766">
        <w:rPr>
          <w:rFonts w:hint="eastAsia"/>
          <w:snapToGrid/>
        </w:rPr>
        <w:t>)</w:t>
      </w:r>
      <w:r w:rsidR="0013300B">
        <w:rPr>
          <w:rFonts w:hint="eastAsia"/>
          <w:snapToGrid/>
        </w:rPr>
        <w:t>。</w:t>
      </w:r>
      <w:r w:rsidR="000B3464">
        <w:rPr>
          <w:rFonts w:hint="eastAsia"/>
          <w:snapToGrid/>
          <w:lang w:eastAsia="zh-HK"/>
        </w:rPr>
        <w:t>據</w:t>
      </w:r>
      <w:r w:rsidR="00F96766" w:rsidRPr="00E44917">
        <w:rPr>
          <w:rFonts w:hint="eastAsia"/>
          <w:snapToGrid/>
          <w:lang w:eastAsia="zh-HK"/>
        </w:rPr>
        <w:t>臺鐵</w:t>
      </w:r>
      <w:r w:rsidR="000B3464">
        <w:rPr>
          <w:rFonts w:hint="eastAsia"/>
          <w:snapToGrid/>
          <w:lang w:eastAsia="zh-HK"/>
        </w:rPr>
        <w:t>說明</w:t>
      </w:r>
      <w:r w:rsidR="00F96766" w:rsidRPr="00E44917">
        <w:rPr>
          <w:rFonts w:hint="eastAsia"/>
          <w:snapToGrid/>
          <w:lang w:eastAsia="zh-HK"/>
        </w:rPr>
        <w:t>，</w:t>
      </w:r>
      <w:r w:rsidR="000B3464">
        <w:rPr>
          <w:rFonts w:hint="eastAsia"/>
          <w:snapToGrid/>
          <w:lang w:eastAsia="zh-HK"/>
        </w:rPr>
        <w:t>係</w:t>
      </w:r>
      <w:r w:rsidR="00F96766" w:rsidRPr="00E44917">
        <w:rPr>
          <w:rFonts w:hint="eastAsia"/>
          <w:snapToGrid/>
          <w:lang w:eastAsia="zh-HK"/>
        </w:rPr>
        <w:t>因配合公司化</w:t>
      </w:r>
      <w:r w:rsidR="00F016C2">
        <w:rPr>
          <w:rFonts w:hint="eastAsia"/>
          <w:snapToGrid/>
          <w:lang w:eastAsia="zh-HK"/>
        </w:rPr>
        <w:t>之實施</w:t>
      </w:r>
      <w:r w:rsidR="00F96766" w:rsidRPr="00E44917">
        <w:rPr>
          <w:rFonts w:hint="eastAsia"/>
          <w:snapToGrid/>
          <w:lang w:eastAsia="zh-HK"/>
        </w:rPr>
        <w:t>，原經管</w:t>
      </w:r>
      <w:r w:rsidR="00F96766">
        <w:rPr>
          <w:rFonts w:hint="eastAsia"/>
          <w:snapToGrid/>
        </w:rPr>
        <w:t>33</w:t>
      </w:r>
      <w:r w:rsidR="00F96766" w:rsidRPr="00E44917">
        <w:rPr>
          <w:rFonts w:hint="eastAsia"/>
          <w:snapToGrid/>
          <w:lang w:eastAsia="zh-HK"/>
        </w:rPr>
        <w:t>處基地及1,000餘筆非公用資產自113年1月1日起撥入「臺鐵局撥入資產及債務管理基金」，導致資產活化收入每年減少約4億元，造成附屬事業收入占比下降</w:t>
      </w:r>
      <w:r w:rsidR="000B3464">
        <w:rPr>
          <w:rFonts w:hint="eastAsia"/>
          <w:snapToGrid/>
          <w:lang w:eastAsia="zh-HK"/>
        </w:rPr>
        <w:t>所致</w:t>
      </w:r>
      <w:r w:rsidR="00F96766" w:rsidRPr="00E44917">
        <w:rPr>
          <w:rFonts w:hint="eastAsia"/>
          <w:snapToGrid/>
          <w:lang w:eastAsia="zh-HK"/>
        </w:rPr>
        <w:t>，</w:t>
      </w:r>
      <w:r w:rsidR="00F96766">
        <w:rPr>
          <w:rFonts w:hint="eastAsia"/>
          <w:snapToGrid/>
          <w:lang w:eastAsia="zh-HK"/>
        </w:rPr>
        <w:t>容待</w:t>
      </w:r>
      <w:r w:rsidR="00F96766" w:rsidRPr="00E44917">
        <w:rPr>
          <w:rFonts w:hint="eastAsia"/>
          <w:snapToGrid/>
          <w:lang w:eastAsia="zh-HK"/>
        </w:rPr>
        <w:t>持續研謀</w:t>
      </w:r>
      <w:r w:rsidR="00801AA6" w:rsidRPr="00801AA6">
        <w:rPr>
          <w:rFonts w:hint="eastAsia"/>
          <w:snapToGrid/>
          <w:lang w:eastAsia="zh-HK"/>
        </w:rPr>
        <w:t>拓展附屬事業觸角及經營效率</w:t>
      </w:r>
      <w:r w:rsidR="00F96766" w:rsidRPr="00E44917">
        <w:rPr>
          <w:rFonts w:hint="eastAsia"/>
          <w:snapToGrid/>
          <w:lang w:eastAsia="zh-HK"/>
        </w:rPr>
        <w:t>。</w:t>
      </w:r>
    </w:p>
    <w:p w:rsidR="00F96766" w:rsidRPr="00B27058" w:rsidRDefault="00F96766" w:rsidP="00F96766">
      <w:pPr>
        <w:widowControl/>
        <w:spacing w:line="460" w:lineRule="exact"/>
        <w:ind w:leftChars="1" w:left="564" w:hangingChars="205" w:hanging="561"/>
        <w:jc w:val="left"/>
        <w:rPr>
          <w:rFonts w:hAnsi="標楷體"/>
          <w:snapToGrid/>
          <w:spacing w:val="-5"/>
          <w:kern w:val="0"/>
        </w:rPr>
      </w:pPr>
      <w:r w:rsidRPr="0011222B">
        <w:rPr>
          <w:rFonts w:hAnsi="標楷體" w:hint="eastAsia"/>
          <w:b/>
          <w:snapToGrid/>
          <w:spacing w:val="-5"/>
          <w:kern w:val="0"/>
          <w:lang w:eastAsia="zh-HK"/>
        </w:rPr>
        <w:t>表</w:t>
      </w:r>
      <w:r w:rsidR="000B3464">
        <w:rPr>
          <w:rFonts w:hAnsi="標楷體" w:hint="eastAsia"/>
          <w:b/>
          <w:snapToGrid/>
          <w:spacing w:val="-5"/>
          <w:kern w:val="0"/>
        </w:rPr>
        <w:t>2</w:t>
      </w:r>
      <w:r>
        <w:rPr>
          <w:rFonts w:hAnsi="標楷體"/>
          <w:b/>
          <w:snapToGrid/>
          <w:spacing w:val="-5"/>
          <w:kern w:val="0"/>
        </w:rPr>
        <w:t xml:space="preserve"> </w:t>
      </w:r>
      <w:r w:rsidRPr="0011222B">
        <w:rPr>
          <w:rFonts w:hAnsi="標楷體" w:hint="eastAsia"/>
          <w:b/>
          <w:snapToGrid/>
          <w:spacing w:val="-5"/>
          <w:kern w:val="0"/>
          <w:lang w:eastAsia="zh-HK"/>
        </w:rPr>
        <w:t>臺鐵</w:t>
      </w:r>
      <w:r w:rsidRPr="0011222B">
        <w:rPr>
          <w:rFonts w:hAnsi="標楷體" w:hint="eastAsia"/>
          <w:b/>
          <w:snapToGrid/>
          <w:spacing w:val="-5"/>
          <w:kern w:val="0"/>
        </w:rPr>
        <w:t>111</w:t>
      </w:r>
      <w:r w:rsidRPr="0011222B">
        <w:rPr>
          <w:rFonts w:hAnsi="標楷體" w:hint="eastAsia"/>
          <w:b/>
          <w:snapToGrid/>
          <w:spacing w:val="-5"/>
          <w:kern w:val="0"/>
          <w:lang w:eastAsia="zh-HK"/>
        </w:rPr>
        <w:t>至</w:t>
      </w:r>
      <w:r w:rsidR="000B3464">
        <w:rPr>
          <w:rFonts w:hAnsi="標楷體" w:hint="eastAsia"/>
          <w:b/>
          <w:snapToGrid/>
          <w:spacing w:val="-5"/>
          <w:kern w:val="0"/>
        </w:rPr>
        <w:t>113</w:t>
      </w:r>
      <w:r w:rsidRPr="0011222B">
        <w:rPr>
          <w:rFonts w:hAnsi="標楷體" w:hint="eastAsia"/>
          <w:b/>
          <w:snapToGrid/>
          <w:spacing w:val="-5"/>
          <w:kern w:val="0"/>
          <w:lang w:eastAsia="zh-HK"/>
        </w:rPr>
        <w:t>年度附</w:t>
      </w:r>
      <w:r>
        <w:rPr>
          <w:rFonts w:hAnsi="標楷體" w:hint="eastAsia"/>
          <w:b/>
          <w:snapToGrid/>
          <w:spacing w:val="-5"/>
          <w:kern w:val="0"/>
          <w:lang w:eastAsia="zh-HK"/>
        </w:rPr>
        <w:t>屬事業收</w:t>
      </w:r>
      <w:r w:rsidRPr="0011222B">
        <w:rPr>
          <w:rFonts w:hAnsi="標楷體" w:hint="eastAsia"/>
          <w:b/>
          <w:snapToGrid/>
          <w:spacing w:val="-5"/>
          <w:kern w:val="0"/>
          <w:lang w:eastAsia="zh-HK"/>
        </w:rPr>
        <w:t>入占比情形表</w:t>
      </w:r>
      <w:r>
        <w:rPr>
          <w:rFonts w:hAnsi="標楷體" w:hint="eastAsia"/>
          <w:snapToGrid/>
          <w:spacing w:val="-5"/>
          <w:kern w:val="0"/>
        </w:rPr>
        <w:t xml:space="preserve"> </w:t>
      </w:r>
      <w:r w:rsidRPr="0011222B">
        <w:rPr>
          <w:rFonts w:hAnsi="標楷體" w:hint="eastAsia"/>
          <w:snapToGrid/>
          <w:spacing w:val="-5"/>
          <w:kern w:val="0"/>
          <w:sz w:val="24"/>
          <w:szCs w:val="24"/>
          <w:lang w:eastAsia="zh-HK"/>
        </w:rPr>
        <w:t>單位</w:t>
      </w:r>
      <w:r w:rsidRPr="0011222B">
        <w:rPr>
          <w:rFonts w:hAnsi="標楷體" w:hint="eastAsia"/>
          <w:snapToGrid/>
          <w:spacing w:val="-5"/>
          <w:kern w:val="0"/>
          <w:sz w:val="24"/>
          <w:szCs w:val="24"/>
        </w:rPr>
        <w:t>：</w:t>
      </w:r>
      <w:r w:rsidR="00145800">
        <w:rPr>
          <w:rFonts w:hAnsi="標楷體" w:hint="eastAsia"/>
          <w:snapToGrid/>
          <w:spacing w:val="-5"/>
          <w:kern w:val="0"/>
          <w:sz w:val="24"/>
          <w:szCs w:val="24"/>
          <w:lang w:eastAsia="zh-HK"/>
        </w:rPr>
        <w:t>新臺幣</w:t>
      </w:r>
      <w:r w:rsidRPr="0011222B">
        <w:rPr>
          <w:rFonts w:hAnsi="標楷體" w:hint="eastAsia"/>
          <w:snapToGrid/>
          <w:spacing w:val="-5"/>
          <w:kern w:val="0"/>
          <w:sz w:val="24"/>
          <w:szCs w:val="24"/>
          <w:lang w:eastAsia="zh-HK"/>
        </w:rPr>
        <w:t>千元</w:t>
      </w:r>
      <w:r w:rsidRPr="0011222B">
        <w:rPr>
          <w:rFonts w:hAnsi="標楷體" w:hint="eastAsia"/>
          <w:snapToGrid/>
          <w:spacing w:val="-5"/>
          <w:kern w:val="0"/>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91"/>
        <w:gridCol w:w="2091"/>
        <w:gridCol w:w="2091"/>
        <w:gridCol w:w="2232"/>
      </w:tblGrid>
      <w:tr w:rsidR="00F96766" w:rsidRPr="00435C3D" w:rsidTr="00145800">
        <w:trPr>
          <w:tblHeader/>
        </w:trPr>
        <w:tc>
          <w:tcPr>
            <w:tcW w:w="2091" w:type="dxa"/>
            <w:vAlign w:val="center"/>
          </w:tcPr>
          <w:p w:rsidR="00F96766" w:rsidRPr="00435C3D" w:rsidRDefault="00F96766" w:rsidP="00435C3D">
            <w:pPr>
              <w:pStyle w:val="142"/>
              <w:jc w:val="center"/>
              <w:rPr>
                <w:rFonts w:hint="eastAsia"/>
                <w:b/>
              </w:rPr>
            </w:pPr>
            <w:r w:rsidRPr="00435C3D">
              <w:rPr>
                <w:rFonts w:hint="eastAsia"/>
                <w:b/>
              </w:rPr>
              <w:t>項目</w:t>
            </w:r>
          </w:p>
        </w:tc>
        <w:tc>
          <w:tcPr>
            <w:tcW w:w="2091" w:type="dxa"/>
            <w:vAlign w:val="center"/>
          </w:tcPr>
          <w:p w:rsidR="00F96766" w:rsidRPr="00435C3D" w:rsidRDefault="00F96766" w:rsidP="00435C3D">
            <w:pPr>
              <w:pStyle w:val="142"/>
              <w:jc w:val="center"/>
              <w:rPr>
                <w:rFonts w:hint="eastAsia"/>
                <w:b/>
              </w:rPr>
            </w:pPr>
            <w:r w:rsidRPr="00435C3D">
              <w:rPr>
                <w:rFonts w:hint="eastAsia"/>
                <w:b/>
              </w:rPr>
              <w:t>111年度</w:t>
            </w:r>
          </w:p>
        </w:tc>
        <w:tc>
          <w:tcPr>
            <w:tcW w:w="2091" w:type="dxa"/>
            <w:vAlign w:val="center"/>
          </w:tcPr>
          <w:p w:rsidR="00F96766" w:rsidRPr="00435C3D" w:rsidRDefault="00F96766" w:rsidP="00435C3D">
            <w:pPr>
              <w:pStyle w:val="142"/>
              <w:jc w:val="center"/>
              <w:rPr>
                <w:rFonts w:hint="eastAsia"/>
                <w:b/>
              </w:rPr>
            </w:pPr>
            <w:r w:rsidRPr="00435C3D">
              <w:rPr>
                <w:rFonts w:hint="eastAsia"/>
                <w:b/>
              </w:rPr>
              <w:t>112年度</w:t>
            </w:r>
          </w:p>
        </w:tc>
        <w:tc>
          <w:tcPr>
            <w:tcW w:w="2232" w:type="dxa"/>
            <w:vAlign w:val="center"/>
          </w:tcPr>
          <w:p w:rsidR="00F96766" w:rsidRPr="00435C3D" w:rsidRDefault="00F96766" w:rsidP="00435C3D">
            <w:pPr>
              <w:pStyle w:val="142"/>
              <w:jc w:val="center"/>
              <w:rPr>
                <w:rFonts w:hint="eastAsia"/>
                <w:b/>
              </w:rPr>
            </w:pPr>
            <w:r w:rsidRPr="00435C3D">
              <w:rPr>
                <w:rFonts w:hint="eastAsia"/>
                <w:b/>
              </w:rPr>
              <w:t>113年度</w:t>
            </w:r>
          </w:p>
        </w:tc>
      </w:tr>
      <w:tr w:rsidR="00F96766" w:rsidRPr="008652C0" w:rsidTr="00145800">
        <w:tc>
          <w:tcPr>
            <w:tcW w:w="2091" w:type="dxa"/>
            <w:vAlign w:val="center"/>
          </w:tcPr>
          <w:p w:rsidR="00F96766" w:rsidRPr="00F96766" w:rsidRDefault="00F96766" w:rsidP="000B3464">
            <w:pPr>
              <w:pStyle w:val="142"/>
              <w:rPr>
                <w:rFonts w:hint="eastAsia"/>
              </w:rPr>
            </w:pPr>
            <w:r w:rsidRPr="00F96766">
              <w:rPr>
                <w:rFonts w:hint="eastAsia"/>
              </w:rPr>
              <w:t>總收入</w:t>
            </w:r>
            <w:r w:rsidR="000B3464">
              <w:rPr>
                <w:rFonts w:hint="eastAsia"/>
              </w:rPr>
              <w:t>(</w:t>
            </w:r>
            <w:r w:rsidRPr="00F96766">
              <w:rPr>
                <w:rFonts w:hint="eastAsia"/>
              </w:rPr>
              <w:t>A</w:t>
            </w:r>
            <w:r w:rsidR="000B3464">
              <w:rPr>
                <w:rFonts w:hint="eastAsia"/>
              </w:rPr>
              <w:t>)</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18,777,366</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22,823,883</w:t>
            </w:r>
          </w:p>
        </w:tc>
        <w:tc>
          <w:tcPr>
            <w:tcW w:w="2232"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22,618,856</w:t>
            </w:r>
          </w:p>
        </w:tc>
      </w:tr>
      <w:tr w:rsidR="00F96766" w:rsidRPr="008652C0" w:rsidTr="00145800">
        <w:tc>
          <w:tcPr>
            <w:tcW w:w="2091" w:type="dxa"/>
            <w:vAlign w:val="center"/>
          </w:tcPr>
          <w:p w:rsidR="00F96766" w:rsidRPr="00F96766" w:rsidRDefault="00F96766" w:rsidP="000B3464">
            <w:pPr>
              <w:pStyle w:val="142"/>
              <w:rPr>
                <w:rFonts w:hint="eastAsia"/>
              </w:rPr>
            </w:pPr>
            <w:r w:rsidRPr="00F96766">
              <w:rPr>
                <w:rFonts w:hint="eastAsia"/>
              </w:rPr>
              <w:t>資產開發收入</w:t>
            </w:r>
            <w:r w:rsidR="000B3464">
              <w:rPr>
                <w:rFonts w:hint="eastAsia"/>
              </w:rPr>
              <w:t>(</w:t>
            </w:r>
            <w:r w:rsidRPr="00F96766">
              <w:rPr>
                <w:rFonts w:hint="eastAsia"/>
              </w:rPr>
              <w:t>B</w:t>
            </w:r>
            <w:r w:rsidR="000B3464">
              <w:rPr>
                <w:rFonts w:hint="eastAsia"/>
              </w:rPr>
              <w:t>)</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4,816,423</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4,649,915</w:t>
            </w:r>
          </w:p>
        </w:tc>
        <w:tc>
          <w:tcPr>
            <w:tcW w:w="2232"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3,785,937</w:t>
            </w:r>
          </w:p>
        </w:tc>
      </w:tr>
      <w:tr w:rsidR="00F96766" w:rsidRPr="008652C0" w:rsidTr="00145800">
        <w:tc>
          <w:tcPr>
            <w:tcW w:w="2091" w:type="dxa"/>
            <w:vAlign w:val="center"/>
          </w:tcPr>
          <w:p w:rsidR="00F96766" w:rsidRPr="00F96766" w:rsidRDefault="00F96766" w:rsidP="000B3464">
            <w:pPr>
              <w:pStyle w:val="142"/>
              <w:rPr>
                <w:rFonts w:hint="eastAsia"/>
              </w:rPr>
            </w:pPr>
            <w:r w:rsidRPr="00F96766">
              <w:rPr>
                <w:rFonts w:hint="eastAsia"/>
              </w:rPr>
              <w:t>附業營運收入</w:t>
            </w:r>
            <w:r w:rsidR="000B3464">
              <w:rPr>
                <w:rFonts w:hint="eastAsia"/>
              </w:rPr>
              <w:t>(</w:t>
            </w:r>
            <w:r w:rsidRPr="00F96766">
              <w:rPr>
                <w:rFonts w:hint="eastAsia"/>
              </w:rPr>
              <w:t>C</w:t>
            </w:r>
            <w:r w:rsidR="000B3464">
              <w:rPr>
                <w:rFonts w:hint="eastAsia"/>
              </w:rPr>
              <w:t>)</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599,859</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905,142</w:t>
            </w:r>
          </w:p>
        </w:tc>
        <w:tc>
          <w:tcPr>
            <w:tcW w:w="2232"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975,949</w:t>
            </w:r>
          </w:p>
        </w:tc>
      </w:tr>
      <w:tr w:rsidR="00F96766" w:rsidRPr="008652C0" w:rsidTr="00145800">
        <w:tc>
          <w:tcPr>
            <w:tcW w:w="2091" w:type="dxa"/>
            <w:vAlign w:val="center"/>
          </w:tcPr>
          <w:p w:rsidR="00F96766" w:rsidRPr="000B3464" w:rsidRDefault="00F96766" w:rsidP="000B3464">
            <w:pPr>
              <w:pStyle w:val="142"/>
              <w:rPr>
                <w:rFonts w:hint="eastAsia"/>
              </w:rPr>
            </w:pPr>
            <w:r w:rsidRPr="00F96766">
              <w:rPr>
                <w:rFonts w:hint="eastAsia"/>
              </w:rPr>
              <w:t>附屬事業收入合計</w:t>
            </w:r>
            <w:r w:rsidR="000B3464">
              <w:rPr>
                <w:rFonts w:hint="eastAsia"/>
              </w:rPr>
              <w:t>(</w:t>
            </w:r>
            <w:r w:rsidRPr="00F96766">
              <w:rPr>
                <w:rFonts w:hint="eastAsia"/>
              </w:rPr>
              <w:t>D=B+C</w:t>
            </w:r>
            <w:r w:rsidR="000B3464">
              <w:rPr>
                <w:rFonts w:hint="eastAsia"/>
              </w:rPr>
              <w:t>)</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5,416,282</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5,555,057</w:t>
            </w:r>
          </w:p>
        </w:tc>
        <w:tc>
          <w:tcPr>
            <w:tcW w:w="2232"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4,761,886</w:t>
            </w:r>
          </w:p>
        </w:tc>
      </w:tr>
      <w:tr w:rsidR="00F96766" w:rsidRPr="008652C0" w:rsidTr="00145800">
        <w:tc>
          <w:tcPr>
            <w:tcW w:w="2091" w:type="dxa"/>
            <w:vAlign w:val="center"/>
          </w:tcPr>
          <w:p w:rsidR="00F96766" w:rsidRPr="00F96766" w:rsidRDefault="00F96766" w:rsidP="000B3464">
            <w:pPr>
              <w:pStyle w:val="142"/>
              <w:rPr>
                <w:rFonts w:hint="eastAsia"/>
              </w:rPr>
            </w:pPr>
            <w:r w:rsidRPr="00F96766">
              <w:rPr>
                <w:rFonts w:hint="eastAsia"/>
              </w:rPr>
              <w:t>附屬事業收入占比</w:t>
            </w:r>
            <w:r w:rsidR="000B3464">
              <w:rPr>
                <w:rFonts w:hint="eastAsia"/>
              </w:rPr>
              <w:t>(</w:t>
            </w:r>
            <w:r w:rsidRPr="00F96766">
              <w:rPr>
                <w:rFonts w:hint="eastAsia"/>
              </w:rPr>
              <w:t>D/A</w:t>
            </w:r>
            <w:r w:rsidR="000B3464">
              <w:rPr>
                <w:rFonts w:hint="eastAsia"/>
              </w:rPr>
              <w:t>)</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28.84</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24.34</w:t>
            </w:r>
          </w:p>
        </w:tc>
        <w:tc>
          <w:tcPr>
            <w:tcW w:w="2232"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21.05</w:t>
            </w:r>
          </w:p>
        </w:tc>
      </w:tr>
    </w:tbl>
    <w:p w:rsidR="00F96766" w:rsidRDefault="00F96766" w:rsidP="00F96766">
      <w:pPr>
        <w:pStyle w:val="142"/>
        <w:ind w:left="1133" w:hangingChars="466" w:hanging="1133"/>
        <w:jc w:val="both"/>
        <w:rPr>
          <w:rFonts w:hint="eastAsia"/>
          <w:lang w:eastAsia="zh-HK"/>
        </w:rPr>
      </w:pPr>
      <w:r>
        <w:rPr>
          <w:rFonts w:hint="eastAsia"/>
          <w:lang w:eastAsia="zh-HK"/>
        </w:rPr>
        <w:t>說</w:t>
      </w:r>
      <w:r>
        <w:rPr>
          <w:rFonts w:hint="eastAsia"/>
        </w:rPr>
        <w:t xml:space="preserve"> </w:t>
      </w:r>
      <w:r>
        <w:t xml:space="preserve">   </w:t>
      </w:r>
      <w:r>
        <w:rPr>
          <w:rFonts w:hint="eastAsia"/>
          <w:lang w:eastAsia="zh-HK"/>
        </w:rPr>
        <w:t>明</w:t>
      </w:r>
      <w:r>
        <w:rPr>
          <w:rFonts w:hint="eastAsia"/>
        </w:rPr>
        <w:t>：</w:t>
      </w:r>
      <w:r w:rsidRPr="008211C9">
        <w:rPr>
          <w:rFonts w:hint="eastAsia"/>
        </w:rPr>
        <w:t>110至113年度為審定決算數。</w:t>
      </w:r>
    </w:p>
    <w:p w:rsidR="00F96766" w:rsidRPr="00C24640" w:rsidRDefault="00F96766" w:rsidP="00F96766">
      <w:pPr>
        <w:pStyle w:val="142"/>
        <w:ind w:left="1216" w:hangingChars="500" w:hanging="1216"/>
        <w:jc w:val="both"/>
        <w:rPr>
          <w:rFonts w:hint="eastAsia"/>
          <w:lang w:eastAsia="zh-HK"/>
        </w:rPr>
      </w:pPr>
      <w:r>
        <w:rPr>
          <w:rFonts w:hint="eastAsia"/>
          <w:lang w:eastAsia="zh-HK"/>
        </w:rPr>
        <w:t>資料來源</w:t>
      </w:r>
      <w:r>
        <w:rPr>
          <w:rFonts w:hint="eastAsia"/>
        </w:rPr>
        <w:t>：</w:t>
      </w:r>
      <w:r>
        <w:rPr>
          <w:rFonts w:hint="eastAsia"/>
          <w:lang w:eastAsia="zh-HK"/>
        </w:rPr>
        <w:t>臺鐵提供</w:t>
      </w:r>
      <w:r>
        <w:rPr>
          <w:rFonts w:hint="eastAsia"/>
        </w:rPr>
        <w:t>。</w:t>
      </w:r>
    </w:p>
    <w:p w:rsidR="00F96766" w:rsidRDefault="00F96766" w:rsidP="00693CFD">
      <w:pPr>
        <w:ind w:left="566" w:firstLine="566"/>
        <w:rPr>
          <w:lang w:eastAsia="zh-HK"/>
        </w:rPr>
      </w:pPr>
      <w:r>
        <w:rPr>
          <w:rFonts w:hint="eastAsia"/>
          <w:lang w:eastAsia="zh-HK"/>
        </w:rPr>
        <w:t>綜上，</w:t>
      </w:r>
      <w:r w:rsidR="00435C3D" w:rsidRPr="00435C3D">
        <w:rPr>
          <w:rFonts w:hint="eastAsia"/>
          <w:lang w:eastAsia="zh-HK"/>
        </w:rPr>
        <w:t>臺鐵於113年</w:t>
      </w:r>
      <w:r w:rsidR="0013300B">
        <w:rPr>
          <w:rFonts w:hint="eastAsia"/>
          <w:lang w:eastAsia="zh-HK"/>
        </w:rPr>
        <w:t>度</w:t>
      </w:r>
      <w:r w:rsidR="00435C3D" w:rsidRPr="00435C3D">
        <w:rPr>
          <w:rFonts w:hint="eastAsia"/>
          <w:lang w:eastAsia="zh-HK"/>
        </w:rPr>
        <w:t>公司化後，雖採企業化經營模式，但</w:t>
      </w:r>
      <w:r w:rsidR="00BD70AE">
        <w:rPr>
          <w:rFonts w:hint="eastAsia"/>
          <w:lang w:eastAsia="zh-HK"/>
        </w:rPr>
        <w:t>虧損金額</w:t>
      </w:r>
      <w:r w:rsidR="00BD70AE" w:rsidRPr="00BD70AE">
        <w:rPr>
          <w:rFonts w:hint="eastAsia"/>
          <w:lang w:eastAsia="zh-HK"/>
        </w:rPr>
        <w:t>由111年度</w:t>
      </w:r>
      <w:r w:rsidR="004457DB">
        <w:rPr>
          <w:rFonts w:hint="eastAsia"/>
          <w:lang w:eastAsia="zh-HK"/>
        </w:rPr>
        <w:t>之</w:t>
      </w:r>
      <w:r w:rsidR="00BD70AE" w:rsidRPr="00BD70AE">
        <w:rPr>
          <w:rFonts w:hint="eastAsia"/>
          <w:lang w:eastAsia="zh-HK"/>
        </w:rPr>
        <w:t>111億元</w:t>
      </w:r>
      <w:r w:rsidR="004457DB">
        <w:rPr>
          <w:rFonts w:hint="eastAsia"/>
          <w:lang w:eastAsia="zh-HK"/>
        </w:rPr>
        <w:t>逐年增</w:t>
      </w:r>
      <w:r w:rsidR="00BD70AE">
        <w:rPr>
          <w:rFonts w:hint="eastAsia"/>
          <w:lang w:eastAsia="zh-HK"/>
        </w:rPr>
        <w:t>至</w:t>
      </w:r>
      <w:r w:rsidR="00BD70AE" w:rsidRPr="00BD70AE">
        <w:rPr>
          <w:rFonts w:hint="eastAsia"/>
          <w:lang w:eastAsia="zh-HK"/>
        </w:rPr>
        <w:t>113年度</w:t>
      </w:r>
      <w:r w:rsidR="009F1109">
        <w:rPr>
          <w:rFonts w:hint="eastAsia"/>
          <w:lang w:eastAsia="zh-HK"/>
        </w:rPr>
        <w:t>之</w:t>
      </w:r>
      <w:r w:rsidR="00BD70AE" w:rsidRPr="00BD70AE">
        <w:rPr>
          <w:rFonts w:hint="eastAsia"/>
          <w:lang w:eastAsia="zh-HK"/>
        </w:rPr>
        <w:t>137億餘元</w:t>
      </w:r>
      <w:r w:rsidR="00435C3D">
        <w:rPr>
          <w:rFonts w:hint="eastAsia"/>
          <w:lang w:eastAsia="zh-HK"/>
        </w:rPr>
        <w:t>，顯示經營績效亟待提升</w:t>
      </w:r>
      <w:r w:rsidR="00435C3D">
        <w:rPr>
          <w:rFonts w:hint="eastAsia"/>
        </w:rPr>
        <w:t>；</w:t>
      </w:r>
      <w:r w:rsidR="00435C3D">
        <w:rPr>
          <w:rFonts w:hint="eastAsia"/>
          <w:lang w:eastAsia="zh-HK"/>
        </w:rPr>
        <w:t>另</w:t>
      </w:r>
      <w:r w:rsidR="00435C3D" w:rsidRPr="00435C3D">
        <w:rPr>
          <w:rFonts w:hint="eastAsia"/>
          <w:lang w:eastAsia="zh-HK"/>
        </w:rPr>
        <w:t>雖</w:t>
      </w:r>
      <w:r w:rsidR="0013300B">
        <w:rPr>
          <w:rFonts w:hint="eastAsia"/>
          <w:lang w:eastAsia="zh-HK"/>
        </w:rPr>
        <w:t>相關法規已</w:t>
      </w:r>
      <w:r w:rsidR="00493966">
        <w:rPr>
          <w:rFonts w:hint="eastAsia"/>
          <w:lang w:eastAsia="zh-HK"/>
        </w:rPr>
        <w:t>賦予</w:t>
      </w:r>
      <w:r w:rsidR="0013300B">
        <w:rPr>
          <w:rFonts w:hint="eastAsia"/>
          <w:lang w:eastAsia="zh-HK"/>
        </w:rPr>
        <w:t>公司化後</w:t>
      </w:r>
      <w:r w:rsidR="00493966">
        <w:rPr>
          <w:rFonts w:hint="eastAsia"/>
          <w:lang w:eastAsia="zh-HK"/>
        </w:rPr>
        <w:t>附屬事業較</w:t>
      </w:r>
      <w:r w:rsidR="00435C3D" w:rsidRPr="00435C3D">
        <w:rPr>
          <w:rFonts w:hint="eastAsia"/>
          <w:lang w:eastAsia="zh-HK"/>
        </w:rPr>
        <w:t>大</w:t>
      </w:r>
      <w:r w:rsidR="00493966">
        <w:rPr>
          <w:rFonts w:hint="eastAsia"/>
          <w:lang w:eastAsia="zh-HK"/>
        </w:rPr>
        <w:t>之</w:t>
      </w:r>
      <w:r w:rsidR="006A2EA9">
        <w:rPr>
          <w:rFonts w:hint="eastAsia"/>
          <w:lang w:eastAsia="zh-HK"/>
        </w:rPr>
        <w:t>營運</w:t>
      </w:r>
      <w:r w:rsidR="00435C3D" w:rsidRPr="00435C3D">
        <w:rPr>
          <w:rFonts w:hint="eastAsia"/>
          <w:lang w:eastAsia="zh-HK"/>
        </w:rPr>
        <w:t>彈性，</w:t>
      </w:r>
      <w:r w:rsidR="006A2EA9">
        <w:rPr>
          <w:rFonts w:hint="eastAsia"/>
          <w:lang w:eastAsia="zh-HK"/>
        </w:rPr>
        <w:t>然</w:t>
      </w:r>
      <w:r w:rsidR="009F1109">
        <w:rPr>
          <w:rFonts w:hint="eastAsia"/>
          <w:lang w:eastAsia="zh-HK"/>
        </w:rPr>
        <w:t>其</w:t>
      </w:r>
      <w:r w:rsidR="004457DB">
        <w:rPr>
          <w:rFonts w:hint="eastAsia"/>
        </w:rPr>
        <w:t>113</w:t>
      </w:r>
      <w:r w:rsidR="004457DB">
        <w:rPr>
          <w:rFonts w:hint="eastAsia"/>
          <w:lang w:eastAsia="zh-HK"/>
        </w:rPr>
        <w:t>年度</w:t>
      </w:r>
      <w:r w:rsidR="00435C3D" w:rsidRPr="00435C3D">
        <w:rPr>
          <w:rFonts w:hint="eastAsia"/>
          <w:lang w:eastAsia="zh-HK"/>
        </w:rPr>
        <w:t>推動資產開發、商品行銷等措施</w:t>
      </w:r>
      <w:r w:rsidR="006A2EA9">
        <w:rPr>
          <w:rFonts w:hint="eastAsia"/>
          <w:lang w:eastAsia="zh-HK"/>
        </w:rPr>
        <w:t>之</w:t>
      </w:r>
      <w:r w:rsidR="00435C3D" w:rsidRPr="00435C3D">
        <w:rPr>
          <w:rFonts w:hint="eastAsia"/>
          <w:lang w:eastAsia="zh-HK"/>
        </w:rPr>
        <w:t>成效尚未顯著</w:t>
      </w:r>
      <w:r w:rsidR="00435C3D">
        <w:rPr>
          <w:rFonts w:hint="eastAsia"/>
        </w:rPr>
        <w:t>，</w:t>
      </w:r>
      <w:r w:rsidR="00435C3D">
        <w:rPr>
          <w:rFonts w:hint="eastAsia"/>
          <w:lang w:eastAsia="zh-HK"/>
        </w:rPr>
        <w:t>致</w:t>
      </w:r>
      <w:r w:rsidR="00435C3D" w:rsidRPr="00435C3D">
        <w:rPr>
          <w:rFonts w:hint="eastAsia"/>
          <w:lang w:eastAsia="zh-HK"/>
        </w:rPr>
        <w:t>其附屬事業收入</w:t>
      </w:r>
      <w:r w:rsidR="004457DB">
        <w:rPr>
          <w:rFonts w:hint="eastAsia"/>
          <w:lang w:eastAsia="zh-HK"/>
        </w:rPr>
        <w:t>減少</w:t>
      </w:r>
      <w:r w:rsidR="004457DB">
        <w:rPr>
          <w:rFonts w:hint="eastAsia"/>
        </w:rPr>
        <w:t>，</w:t>
      </w:r>
      <w:r w:rsidR="004457DB">
        <w:rPr>
          <w:rFonts w:hint="eastAsia"/>
          <w:lang w:eastAsia="zh-HK"/>
        </w:rPr>
        <w:t>且</w:t>
      </w:r>
      <w:r w:rsidR="00435C3D" w:rsidRPr="00435C3D">
        <w:rPr>
          <w:rFonts w:hint="eastAsia"/>
          <w:lang w:eastAsia="zh-HK"/>
        </w:rPr>
        <w:t>占比亦由</w:t>
      </w:r>
      <w:r w:rsidR="00435C3D">
        <w:rPr>
          <w:rFonts w:hint="eastAsia"/>
        </w:rPr>
        <w:t>111</w:t>
      </w:r>
      <w:r w:rsidR="00435C3D">
        <w:rPr>
          <w:rFonts w:hint="eastAsia"/>
          <w:lang w:eastAsia="zh-HK"/>
        </w:rPr>
        <w:t>年度</w:t>
      </w:r>
      <w:r w:rsidR="00435C3D" w:rsidRPr="00435C3D">
        <w:t>28.84%</w:t>
      </w:r>
      <w:r w:rsidR="00435C3D">
        <w:rPr>
          <w:rFonts w:hint="eastAsia"/>
          <w:lang w:eastAsia="zh-HK"/>
        </w:rPr>
        <w:t>及</w:t>
      </w:r>
      <w:r w:rsidR="00435C3D" w:rsidRPr="00435C3D">
        <w:rPr>
          <w:rFonts w:hint="eastAsia"/>
          <w:lang w:eastAsia="zh-HK"/>
        </w:rPr>
        <w:t>112年度24.34%</w:t>
      </w:r>
      <w:r w:rsidR="00435C3D">
        <w:rPr>
          <w:rFonts w:hint="eastAsia"/>
        </w:rPr>
        <w:t>，</w:t>
      </w:r>
      <w:r w:rsidR="004457DB">
        <w:rPr>
          <w:rFonts w:hint="eastAsia"/>
          <w:lang w:eastAsia="zh-HK"/>
        </w:rPr>
        <w:t>降</w:t>
      </w:r>
      <w:r w:rsidR="00163CBE">
        <w:rPr>
          <w:rFonts w:hint="eastAsia"/>
          <w:lang w:eastAsia="zh-HK"/>
        </w:rPr>
        <w:t>至</w:t>
      </w:r>
      <w:r w:rsidR="00435C3D">
        <w:rPr>
          <w:rFonts w:hint="eastAsia"/>
        </w:rPr>
        <w:t>113</w:t>
      </w:r>
      <w:r w:rsidR="00435C3D">
        <w:rPr>
          <w:rFonts w:hint="eastAsia"/>
          <w:lang w:eastAsia="zh-HK"/>
        </w:rPr>
        <w:t>年度</w:t>
      </w:r>
      <w:r w:rsidR="00435C3D" w:rsidRPr="00435C3D">
        <w:rPr>
          <w:rFonts w:hint="eastAsia"/>
          <w:lang w:eastAsia="zh-HK"/>
        </w:rPr>
        <w:t>21.05%，</w:t>
      </w:r>
      <w:r w:rsidR="00435C3D">
        <w:rPr>
          <w:rFonts w:hint="eastAsia"/>
          <w:lang w:eastAsia="zh-HK"/>
        </w:rPr>
        <w:t>允宜</w:t>
      </w:r>
      <w:r w:rsidR="00435C3D" w:rsidRPr="00435C3D">
        <w:rPr>
          <w:rFonts w:hint="eastAsia"/>
          <w:lang w:eastAsia="zh-HK"/>
        </w:rPr>
        <w:t>持續改善營運效率，</w:t>
      </w:r>
      <w:r w:rsidR="006A2EA9">
        <w:rPr>
          <w:rFonts w:hint="eastAsia"/>
          <w:lang w:eastAsia="zh-HK"/>
        </w:rPr>
        <w:t>並</w:t>
      </w:r>
      <w:r w:rsidR="00435C3D" w:rsidRPr="00435C3D">
        <w:rPr>
          <w:rFonts w:hint="eastAsia"/>
          <w:lang w:eastAsia="zh-HK"/>
        </w:rPr>
        <w:t>加強附屬事業</w:t>
      </w:r>
      <w:r w:rsidR="00493966">
        <w:rPr>
          <w:rFonts w:hint="eastAsia"/>
          <w:lang w:eastAsia="zh-HK"/>
        </w:rPr>
        <w:t>之</w:t>
      </w:r>
      <w:r w:rsidR="00435C3D" w:rsidRPr="00435C3D">
        <w:rPr>
          <w:rFonts w:hint="eastAsia"/>
          <w:lang w:eastAsia="zh-HK"/>
        </w:rPr>
        <w:t>拓展，以確保公司永續發展。</w:t>
      </w:r>
    </w:p>
    <w:bookmarkEnd w:id="2"/>
    <w:bookmarkEnd w:id="3"/>
    <w:bookmarkEnd w:id="4"/>
    <w:bookmarkEnd w:id="5"/>
    <w:bookmarkEnd w:id="6"/>
    <w:bookmarkEnd w:id="7"/>
    <w:bookmarkEnd w:id="8"/>
    <w:bookmarkEnd w:id="0"/>
    <w:bookmarkEnd w:id="9"/>
    <w:bookmarkEnd w:id="10"/>
    <w:bookmarkEnd w:id="11"/>
    <w:bookmarkEnd w:id="12"/>
    <w:sectPr w:rsidR="00F96766"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F94" w:rsidRDefault="00615F94" w:rsidP="00712B70">
      <w:pPr>
        <w:spacing w:line="240" w:lineRule="auto"/>
        <w:ind w:left="560" w:firstLine="560"/>
      </w:pPr>
      <w:r>
        <w:separator/>
      </w:r>
    </w:p>
  </w:endnote>
  <w:endnote w:type="continuationSeparator" w:id="0">
    <w:p w:rsidR="00615F94" w:rsidRDefault="00615F94"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rsidP="00295DD9">
    <w:pPr>
      <w:pStyle w:val="af1"/>
      <w:ind w:leftChars="0" w:left="566" w:firstLineChars="0" w:firstLine="566"/>
      <w:jc w:val="center"/>
    </w:pPr>
    <w:r>
      <w:fldChar w:fldCharType="begin"/>
    </w:r>
    <w:r>
      <w:instrText>PAGE   \* MERGEFORMAT</w:instrText>
    </w:r>
    <w:r>
      <w:fldChar w:fldCharType="separate"/>
    </w:r>
    <w:r w:rsidR="00477A43" w:rsidRPr="00477A4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F94" w:rsidRDefault="00615F94" w:rsidP="00E854DA">
      <w:pPr>
        <w:spacing w:line="240" w:lineRule="auto"/>
        <w:ind w:leftChars="210" w:left="588" w:firstLine="560"/>
      </w:pPr>
      <w:r>
        <w:separator/>
      </w:r>
    </w:p>
  </w:footnote>
  <w:footnote w:type="continuationSeparator" w:id="0">
    <w:p w:rsidR="00615F94" w:rsidRDefault="00615F94" w:rsidP="00712B70">
      <w:pPr>
        <w:spacing w:line="240" w:lineRule="auto"/>
        <w:ind w:left="560" w:firstLine="560"/>
      </w:pPr>
      <w:r>
        <w:continuationSeparator/>
      </w:r>
    </w:p>
  </w:footnote>
  <w:footnote w:id="1">
    <w:p w:rsidR="000E4B1B" w:rsidRPr="00844910" w:rsidRDefault="000E4B1B" w:rsidP="00F96766">
      <w:pPr>
        <w:pStyle w:val="142"/>
        <w:ind w:left="243" w:hangingChars="100" w:hanging="243"/>
        <w:jc w:val="both"/>
        <w:rPr>
          <w:rFonts w:hint="eastAsia"/>
        </w:rPr>
      </w:pPr>
      <w:r>
        <w:rPr>
          <w:rStyle w:val="af6"/>
        </w:rPr>
        <w:footnoteRef/>
      </w:r>
      <w:r>
        <w:t xml:space="preserve"> </w:t>
      </w:r>
      <w:r w:rsidRPr="00844910">
        <w:rPr>
          <w:rFonts w:hint="eastAsia"/>
        </w:rPr>
        <w:t>臺鐵設置條例第3條</w:t>
      </w:r>
      <w:r>
        <w:rPr>
          <w:rFonts w:hint="eastAsia"/>
          <w:lang w:eastAsia="zh-HK"/>
        </w:rPr>
        <w:t>第</w:t>
      </w:r>
      <w:r>
        <w:rPr>
          <w:rFonts w:hint="eastAsia"/>
        </w:rPr>
        <w:t>1</w:t>
      </w:r>
      <w:r>
        <w:rPr>
          <w:rFonts w:hint="eastAsia"/>
          <w:lang w:eastAsia="zh-HK"/>
        </w:rPr>
        <w:t>項</w:t>
      </w:r>
      <w:r w:rsidRPr="00844910">
        <w:rPr>
          <w:rFonts w:hint="eastAsia"/>
        </w:rPr>
        <w:t>規定</w:t>
      </w:r>
      <w:r>
        <w:rPr>
          <w:rFonts w:hint="eastAsia"/>
        </w:rPr>
        <w:t>：「臺鐵公司業務範圍如下：一、經營鐵路客貨運輸。二、辦理鐵路法第21條第1項相關附屬事業。三、投資、轉投資或經營鐵路相關之業務。四、其他經交通部核准或委託之業務。」</w:t>
      </w:r>
    </w:p>
  </w:footnote>
  <w:footnote w:id="2">
    <w:p w:rsidR="000E4B1B" w:rsidRPr="00844910" w:rsidRDefault="000E4B1B" w:rsidP="00F96766">
      <w:pPr>
        <w:pStyle w:val="142"/>
        <w:ind w:left="243" w:hangingChars="100" w:hanging="243"/>
        <w:jc w:val="both"/>
        <w:rPr>
          <w:rFonts w:hint="eastAsia"/>
        </w:rPr>
      </w:pPr>
      <w:r>
        <w:rPr>
          <w:rStyle w:val="af6"/>
        </w:rPr>
        <w:footnoteRef/>
      </w:r>
      <w:r>
        <w:t xml:space="preserve"> </w:t>
      </w:r>
      <w:r>
        <w:rPr>
          <w:rFonts w:hint="eastAsia"/>
          <w:lang w:eastAsia="zh-HK"/>
        </w:rPr>
        <w:t>鐵路法第</w:t>
      </w:r>
      <w:r>
        <w:rPr>
          <w:rFonts w:hint="eastAsia"/>
        </w:rPr>
        <w:t>21</w:t>
      </w:r>
      <w:r>
        <w:rPr>
          <w:rFonts w:hint="eastAsia"/>
          <w:lang w:eastAsia="zh-HK"/>
        </w:rPr>
        <w:t>條第</w:t>
      </w:r>
      <w:r>
        <w:rPr>
          <w:rFonts w:hint="eastAsia"/>
        </w:rPr>
        <w:t>1</w:t>
      </w:r>
      <w:r>
        <w:rPr>
          <w:rFonts w:hint="eastAsia"/>
          <w:lang w:eastAsia="zh-HK"/>
        </w:rPr>
        <w:t>項規定</w:t>
      </w:r>
      <w:r>
        <w:rPr>
          <w:rFonts w:hint="eastAsia"/>
        </w:rPr>
        <w:t>:「國營鐵路，除以客貨運輸為主要業務外，得辦理下列附屬事業：一、鐵路運輸之碼頭及輪渡運輸。二、鐵路運輸之汽車接轉運輸。三、鐵路運輸必需之接送報關及倉儲。四、鐵路運輸與建築所需工具、器材之修理及製造。五、培養、繁榮鐵路運輸及傳承鐵路文化所必需之其他事業。」</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2204"/>
        </w:tabs>
        <w:ind w:left="2204" w:hanging="360"/>
      </w:pPr>
      <w:rPr>
        <w:rFonts w:ascii="標楷體" w:eastAsia="標楷體" w:hAnsi="標楷體" w:cs="Times New Roman" w:hint="eastAsia"/>
      </w:rPr>
    </w:lvl>
    <w:lvl w:ilvl="1" w:tplc="04090003" w:tentative="1">
      <w:start w:val="1"/>
      <w:numFmt w:val="bullet"/>
      <w:lvlText w:val=""/>
      <w:lvlJc w:val="left"/>
      <w:pPr>
        <w:tabs>
          <w:tab w:val="num" w:pos="2804"/>
        </w:tabs>
        <w:ind w:left="2804" w:hanging="480"/>
      </w:pPr>
      <w:rPr>
        <w:rFonts w:ascii="Wingdings" w:hAnsi="Wingdings" w:hint="default"/>
      </w:rPr>
    </w:lvl>
    <w:lvl w:ilvl="2" w:tplc="04090005" w:tentative="1">
      <w:start w:val="1"/>
      <w:numFmt w:val="bullet"/>
      <w:lvlText w:val=""/>
      <w:lvlJc w:val="left"/>
      <w:pPr>
        <w:tabs>
          <w:tab w:val="num" w:pos="3284"/>
        </w:tabs>
        <w:ind w:left="3284" w:hanging="480"/>
      </w:pPr>
      <w:rPr>
        <w:rFonts w:ascii="Wingdings" w:hAnsi="Wingdings" w:hint="default"/>
      </w:rPr>
    </w:lvl>
    <w:lvl w:ilvl="3" w:tplc="04090001" w:tentative="1">
      <w:start w:val="1"/>
      <w:numFmt w:val="bullet"/>
      <w:lvlText w:val=""/>
      <w:lvlJc w:val="left"/>
      <w:pPr>
        <w:tabs>
          <w:tab w:val="num" w:pos="3764"/>
        </w:tabs>
        <w:ind w:left="3764" w:hanging="480"/>
      </w:pPr>
      <w:rPr>
        <w:rFonts w:ascii="Wingdings" w:hAnsi="Wingdings" w:hint="default"/>
      </w:rPr>
    </w:lvl>
    <w:lvl w:ilvl="4" w:tplc="04090003" w:tentative="1">
      <w:start w:val="1"/>
      <w:numFmt w:val="bullet"/>
      <w:lvlText w:val=""/>
      <w:lvlJc w:val="left"/>
      <w:pPr>
        <w:tabs>
          <w:tab w:val="num" w:pos="4244"/>
        </w:tabs>
        <w:ind w:left="4244" w:hanging="480"/>
      </w:pPr>
      <w:rPr>
        <w:rFonts w:ascii="Wingdings" w:hAnsi="Wingdings" w:hint="default"/>
      </w:rPr>
    </w:lvl>
    <w:lvl w:ilvl="5" w:tplc="04090005" w:tentative="1">
      <w:start w:val="1"/>
      <w:numFmt w:val="bullet"/>
      <w:lvlText w:val=""/>
      <w:lvlJc w:val="left"/>
      <w:pPr>
        <w:tabs>
          <w:tab w:val="num" w:pos="4724"/>
        </w:tabs>
        <w:ind w:left="4724" w:hanging="480"/>
      </w:pPr>
      <w:rPr>
        <w:rFonts w:ascii="Wingdings" w:hAnsi="Wingdings" w:hint="default"/>
      </w:rPr>
    </w:lvl>
    <w:lvl w:ilvl="6" w:tplc="04090001" w:tentative="1">
      <w:start w:val="1"/>
      <w:numFmt w:val="bullet"/>
      <w:lvlText w:val=""/>
      <w:lvlJc w:val="left"/>
      <w:pPr>
        <w:tabs>
          <w:tab w:val="num" w:pos="5204"/>
        </w:tabs>
        <w:ind w:left="5204" w:hanging="480"/>
      </w:pPr>
      <w:rPr>
        <w:rFonts w:ascii="Wingdings" w:hAnsi="Wingdings" w:hint="default"/>
      </w:rPr>
    </w:lvl>
    <w:lvl w:ilvl="7" w:tplc="04090003" w:tentative="1">
      <w:start w:val="1"/>
      <w:numFmt w:val="bullet"/>
      <w:lvlText w:val=""/>
      <w:lvlJc w:val="left"/>
      <w:pPr>
        <w:tabs>
          <w:tab w:val="num" w:pos="5684"/>
        </w:tabs>
        <w:ind w:left="5684" w:hanging="480"/>
      </w:pPr>
      <w:rPr>
        <w:rFonts w:ascii="Wingdings" w:hAnsi="Wingdings" w:hint="default"/>
      </w:rPr>
    </w:lvl>
    <w:lvl w:ilvl="8" w:tplc="04090005" w:tentative="1">
      <w:start w:val="1"/>
      <w:numFmt w:val="bullet"/>
      <w:lvlText w:val=""/>
      <w:lvlJc w:val="left"/>
      <w:pPr>
        <w:tabs>
          <w:tab w:val="num" w:pos="6164"/>
        </w:tabs>
        <w:ind w:left="6164" w:hanging="480"/>
      </w:pPr>
      <w:rPr>
        <w:rFonts w:ascii="Wingdings" w:hAnsi="Wingdings" w:hint="default"/>
      </w:rPr>
    </w:lvl>
  </w:abstractNum>
  <w:abstractNum w:abstractNumId="1" w15:restartNumberingAfterBreak="0">
    <w:nsid w:val="14FE161D"/>
    <w:multiLevelType w:val="hybridMultilevel"/>
    <w:tmpl w:val="21F296C6"/>
    <w:lvl w:ilvl="0" w:tplc="664CF9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8"/>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1"/>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3B3"/>
    <w:rsid w:val="00001995"/>
    <w:rsid w:val="00002573"/>
    <w:rsid w:val="000029E0"/>
    <w:rsid w:val="00002F19"/>
    <w:rsid w:val="0000317E"/>
    <w:rsid w:val="00003B05"/>
    <w:rsid w:val="00004BE1"/>
    <w:rsid w:val="00005807"/>
    <w:rsid w:val="00005886"/>
    <w:rsid w:val="000066C9"/>
    <w:rsid w:val="000068DF"/>
    <w:rsid w:val="000074B5"/>
    <w:rsid w:val="000074C1"/>
    <w:rsid w:val="000078C4"/>
    <w:rsid w:val="00007BB1"/>
    <w:rsid w:val="00007D81"/>
    <w:rsid w:val="00010824"/>
    <w:rsid w:val="00010A31"/>
    <w:rsid w:val="00010FE4"/>
    <w:rsid w:val="000110F3"/>
    <w:rsid w:val="0001170D"/>
    <w:rsid w:val="00011BCF"/>
    <w:rsid w:val="00011FB1"/>
    <w:rsid w:val="00012534"/>
    <w:rsid w:val="00012CB4"/>
    <w:rsid w:val="00012F03"/>
    <w:rsid w:val="00013550"/>
    <w:rsid w:val="00013BDE"/>
    <w:rsid w:val="0001609C"/>
    <w:rsid w:val="00016AD5"/>
    <w:rsid w:val="00016C54"/>
    <w:rsid w:val="00016CEB"/>
    <w:rsid w:val="00017892"/>
    <w:rsid w:val="00017A2D"/>
    <w:rsid w:val="00017D36"/>
    <w:rsid w:val="00017E2C"/>
    <w:rsid w:val="000202D8"/>
    <w:rsid w:val="00020A97"/>
    <w:rsid w:val="00020A9F"/>
    <w:rsid w:val="0002125B"/>
    <w:rsid w:val="00021B97"/>
    <w:rsid w:val="0002223D"/>
    <w:rsid w:val="00022701"/>
    <w:rsid w:val="000228E7"/>
    <w:rsid w:val="00022A32"/>
    <w:rsid w:val="00022FBC"/>
    <w:rsid w:val="00023BDA"/>
    <w:rsid w:val="00023F11"/>
    <w:rsid w:val="000243DE"/>
    <w:rsid w:val="000264DA"/>
    <w:rsid w:val="000265DC"/>
    <w:rsid w:val="000277DE"/>
    <w:rsid w:val="00027803"/>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4B6"/>
    <w:rsid w:val="0003693C"/>
    <w:rsid w:val="00037028"/>
    <w:rsid w:val="000378F1"/>
    <w:rsid w:val="00037D39"/>
    <w:rsid w:val="00040FAB"/>
    <w:rsid w:val="000416F5"/>
    <w:rsid w:val="00042A80"/>
    <w:rsid w:val="0004310B"/>
    <w:rsid w:val="000434BB"/>
    <w:rsid w:val="0004387F"/>
    <w:rsid w:val="0004400F"/>
    <w:rsid w:val="00044536"/>
    <w:rsid w:val="00045462"/>
    <w:rsid w:val="00045A42"/>
    <w:rsid w:val="00045C65"/>
    <w:rsid w:val="00046803"/>
    <w:rsid w:val="00046F54"/>
    <w:rsid w:val="00047284"/>
    <w:rsid w:val="00047DF0"/>
    <w:rsid w:val="00047F3F"/>
    <w:rsid w:val="00050390"/>
    <w:rsid w:val="000506C3"/>
    <w:rsid w:val="00050E0A"/>
    <w:rsid w:val="00051032"/>
    <w:rsid w:val="00052216"/>
    <w:rsid w:val="00052D0C"/>
    <w:rsid w:val="00053FE1"/>
    <w:rsid w:val="00054BC7"/>
    <w:rsid w:val="000551D0"/>
    <w:rsid w:val="000558E9"/>
    <w:rsid w:val="00055CFB"/>
    <w:rsid w:val="000567F4"/>
    <w:rsid w:val="0005708A"/>
    <w:rsid w:val="00060503"/>
    <w:rsid w:val="0006064C"/>
    <w:rsid w:val="00060A19"/>
    <w:rsid w:val="00060A40"/>
    <w:rsid w:val="00061087"/>
    <w:rsid w:val="00061761"/>
    <w:rsid w:val="00061AF5"/>
    <w:rsid w:val="00061F64"/>
    <w:rsid w:val="00062BB3"/>
    <w:rsid w:val="00063435"/>
    <w:rsid w:val="00063798"/>
    <w:rsid w:val="00063BE0"/>
    <w:rsid w:val="00063F45"/>
    <w:rsid w:val="000642FC"/>
    <w:rsid w:val="00064441"/>
    <w:rsid w:val="00064554"/>
    <w:rsid w:val="00065B71"/>
    <w:rsid w:val="00065E00"/>
    <w:rsid w:val="00065F2D"/>
    <w:rsid w:val="00066F8B"/>
    <w:rsid w:val="0006781A"/>
    <w:rsid w:val="00067A3D"/>
    <w:rsid w:val="00067ED3"/>
    <w:rsid w:val="0007023C"/>
    <w:rsid w:val="00070DF7"/>
    <w:rsid w:val="000711EA"/>
    <w:rsid w:val="00071CFA"/>
    <w:rsid w:val="00071D0E"/>
    <w:rsid w:val="0007201A"/>
    <w:rsid w:val="00072445"/>
    <w:rsid w:val="00072D3D"/>
    <w:rsid w:val="00073756"/>
    <w:rsid w:val="00073864"/>
    <w:rsid w:val="00073A48"/>
    <w:rsid w:val="00074315"/>
    <w:rsid w:val="00074EE6"/>
    <w:rsid w:val="000752FE"/>
    <w:rsid w:val="000766BA"/>
    <w:rsid w:val="00077E78"/>
    <w:rsid w:val="00080028"/>
    <w:rsid w:val="00080996"/>
    <w:rsid w:val="00080A27"/>
    <w:rsid w:val="00080AF0"/>
    <w:rsid w:val="00080F7B"/>
    <w:rsid w:val="00081339"/>
    <w:rsid w:val="000814D7"/>
    <w:rsid w:val="00081654"/>
    <w:rsid w:val="0008218C"/>
    <w:rsid w:val="00082820"/>
    <w:rsid w:val="00082DD8"/>
    <w:rsid w:val="00083130"/>
    <w:rsid w:val="000834CD"/>
    <w:rsid w:val="00083A5C"/>
    <w:rsid w:val="00083CA0"/>
    <w:rsid w:val="00083E27"/>
    <w:rsid w:val="00084114"/>
    <w:rsid w:val="0008417E"/>
    <w:rsid w:val="000846BE"/>
    <w:rsid w:val="00085408"/>
    <w:rsid w:val="00085F50"/>
    <w:rsid w:val="00086346"/>
    <w:rsid w:val="00086624"/>
    <w:rsid w:val="00086B01"/>
    <w:rsid w:val="00086BEE"/>
    <w:rsid w:val="00086D7A"/>
    <w:rsid w:val="00086F0F"/>
    <w:rsid w:val="00087588"/>
    <w:rsid w:val="000902E2"/>
    <w:rsid w:val="00090A80"/>
    <w:rsid w:val="00090E1B"/>
    <w:rsid w:val="00091273"/>
    <w:rsid w:val="000928DF"/>
    <w:rsid w:val="00093812"/>
    <w:rsid w:val="0009479E"/>
    <w:rsid w:val="00094E25"/>
    <w:rsid w:val="00094ED5"/>
    <w:rsid w:val="00095127"/>
    <w:rsid w:val="00095B49"/>
    <w:rsid w:val="000963E4"/>
    <w:rsid w:val="00096796"/>
    <w:rsid w:val="00097382"/>
    <w:rsid w:val="00097B12"/>
    <w:rsid w:val="00097F17"/>
    <w:rsid w:val="000A0024"/>
    <w:rsid w:val="000A0214"/>
    <w:rsid w:val="000A14AA"/>
    <w:rsid w:val="000A177C"/>
    <w:rsid w:val="000A1CA9"/>
    <w:rsid w:val="000A1CC7"/>
    <w:rsid w:val="000A202B"/>
    <w:rsid w:val="000A2098"/>
    <w:rsid w:val="000A29AA"/>
    <w:rsid w:val="000A2C05"/>
    <w:rsid w:val="000A2CE5"/>
    <w:rsid w:val="000A3033"/>
    <w:rsid w:val="000A376A"/>
    <w:rsid w:val="000A37DD"/>
    <w:rsid w:val="000A3AD7"/>
    <w:rsid w:val="000A3C0A"/>
    <w:rsid w:val="000A42AD"/>
    <w:rsid w:val="000A4B7E"/>
    <w:rsid w:val="000A5465"/>
    <w:rsid w:val="000A5B8D"/>
    <w:rsid w:val="000A5ED4"/>
    <w:rsid w:val="000A6852"/>
    <w:rsid w:val="000A68A8"/>
    <w:rsid w:val="000A6CD9"/>
    <w:rsid w:val="000A6D13"/>
    <w:rsid w:val="000A7EFF"/>
    <w:rsid w:val="000B04E0"/>
    <w:rsid w:val="000B055E"/>
    <w:rsid w:val="000B1C94"/>
    <w:rsid w:val="000B1F39"/>
    <w:rsid w:val="000B2615"/>
    <w:rsid w:val="000B2905"/>
    <w:rsid w:val="000B2F21"/>
    <w:rsid w:val="000B2F8D"/>
    <w:rsid w:val="000B3464"/>
    <w:rsid w:val="000B36B0"/>
    <w:rsid w:val="000B3E2D"/>
    <w:rsid w:val="000B3EC2"/>
    <w:rsid w:val="000B44EB"/>
    <w:rsid w:val="000B467F"/>
    <w:rsid w:val="000B4AE6"/>
    <w:rsid w:val="000B4D9D"/>
    <w:rsid w:val="000B4EDC"/>
    <w:rsid w:val="000B5857"/>
    <w:rsid w:val="000B5A6E"/>
    <w:rsid w:val="000B5BA2"/>
    <w:rsid w:val="000B60B9"/>
    <w:rsid w:val="000B6238"/>
    <w:rsid w:val="000B650D"/>
    <w:rsid w:val="000B6875"/>
    <w:rsid w:val="000B6CE5"/>
    <w:rsid w:val="000B7EF4"/>
    <w:rsid w:val="000C0878"/>
    <w:rsid w:val="000C19B3"/>
    <w:rsid w:val="000C1FD5"/>
    <w:rsid w:val="000C2161"/>
    <w:rsid w:val="000C2FBD"/>
    <w:rsid w:val="000C3961"/>
    <w:rsid w:val="000C3BB5"/>
    <w:rsid w:val="000C3DD5"/>
    <w:rsid w:val="000C516F"/>
    <w:rsid w:val="000C5BD5"/>
    <w:rsid w:val="000C5C01"/>
    <w:rsid w:val="000C6BCF"/>
    <w:rsid w:val="000C7C59"/>
    <w:rsid w:val="000C7D8F"/>
    <w:rsid w:val="000D02F4"/>
    <w:rsid w:val="000D0935"/>
    <w:rsid w:val="000D0BD4"/>
    <w:rsid w:val="000D0E8C"/>
    <w:rsid w:val="000D1055"/>
    <w:rsid w:val="000D12EB"/>
    <w:rsid w:val="000D235E"/>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2EED"/>
    <w:rsid w:val="000E3025"/>
    <w:rsid w:val="000E3712"/>
    <w:rsid w:val="000E4056"/>
    <w:rsid w:val="000E490E"/>
    <w:rsid w:val="000E4A01"/>
    <w:rsid w:val="000E4B1B"/>
    <w:rsid w:val="000E4C12"/>
    <w:rsid w:val="000E4FDD"/>
    <w:rsid w:val="000E57EE"/>
    <w:rsid w:val="000E5B5A"/>
    <w:rsid w:val="000E5E02"/>
    <w:rsid w:val="000E5FC2"/>
    <w:rsid w:val="000E62DD"/>
    <w:rsid w:val="000E6C01"/>
    <w:rsid w:val="000E732E"/>
    <w:rsid w:val="000E755B"/>
    <w:rsid w:val="000E77BD"/>
    <w:rsid w:val="000E7917"/>
    <w:rsid w:val="000E7BB7"/>
    <w:rsid w:val="000E7FB9"/>
    <w:rsid w:val="000F04AB"/>
    <w:rsid w:val="000F088C"/>
    <w:rsid w:val="000F0D78"/>
    <w:rsid w:val="000F15F2"/>
    <w:rsid w:val="000F1899"/>
    <w:rsid w:val="000F1D7A"/>
    <w:rsid w:val="000F27A2"/>
    <w:rsid w:val="000F3956"/>
    <w:rsid w:val="000F3E32"/>
    <w:rsid w:val="000F42AF"/>
    <w:rsid w:val="000F4766"/>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29D"/>
    <w:rsid w:val="001054B0"/>
    <w:rsid w:val="00105E41"/>
    <w:rsid w:val="001070A6"/>
    <w:rsid w:val="0010735C"/>
    <w:rsid w:val="001074EA"/>
    <w:rsid w:val="00107F95"/>
    <w:rsid w:val="001100AD"/>
    <w:rsid w:val="00110888"/>
    <w:rsid w:val="00110BFD"/>
    <w:rsid w:val="0011199B"/>
    <w:rsid w:val="0011343F"/>
    <w:rsid w:val="00113B82"/>
    <w:rsid w:val="0011482E"/>
    <w:rsid w:val="00115023"/>
    <w:rsid w:val="001154AB"/>
    <w:rsid w:val="00115899"/>
    <w:rsid w:val="00116F76"/>
    <w:rsid w:val="00117149"/>
    <w:rsid w:val="00117175"/>
    <w:rsid w:val="00117DB2"/>
    <w:rsid w:val="00117DC8"/>
    <w:rsid w:val="00120004"/>
    <w:rsid w:val="001202B8"/>
    <w:rsid w:val="0012040A"/>
    <w:rsid w:val="00121C28"/>
    <w:rsid w:val="001220ED"/>
    <w:rsid w:val="00122BED"/>
    <w:rsid w:val="00122C1C"/>
    <w:rsid w:val="00122C4D"/>
    <w:rsid w:val="00123D3A"/>
    <w:rsid w:val="00123FD7"/>
    <w:rsid w:val="0012536A"/>
    <w:rsid w:val="00125CC1"/>
    <w:rsid w:val="001260D0"/>
    <w:rsid w:val="001264DB"/>
    <w:rsid w:val="0012773B"/>
    <w:rsid w:val="00130132"/>
    <w:rsid w:val="00130BA4"/>
    <w:rsid w:val="00131555"/>
    <w:rsid w:val="001317F4"/>
    <w:rsid w:val="00131A49"/>
    <w:rsid w:val="00131E7D"/>
    <w:rsid w:val="0013272D"/>
    <w:rsid w:val="00132B40"/>
    <w:rsid w:val="00132C6A"/>
    <w:rsid w:val="0013300B"/>
    <w:rsid w:val="001333E0"/>
    <w:rsid w:val="00133E2C"/>
    <w:rsid w:val="00135792"/>
    <w:rsid w:val="0013587B"/>
    <w:rsid w:val="00135B62"/>
    <w:rsid w:val="00136575"/>
    <w:rsid w:val="00136A8C"/>
    <w:rsid w:val="001372F7"/>
    <w:rsid w:val="00137737"/>
    <w:rsid w:val="0014053F"/>
    <w:rsid w:val="0014058D"/>
    <w:rsid w:val="00141073"/>
    <w:rsid w:val="0014174E"/>
    <w:rsid w:val="00141FCE"/>
    <w:rsid w:val="00142CBA"/>
    <w:rsid w:val="00143347"/>
    <w:rsid w:val="001441FE"/>
    <w:rsid w:val="00145800"/>
    <w:rsid w:val="001461EA"/>
    <w:rsid w:val="0014686E"/>
    <w:rsid w:val="0014689D"/>
    <w:rsid w:val="00147347"/>
    <w:rsid w:val="00150176"/>
    <w:rsid w:val="00150DCA"/>
    <w:rsid w:val="001513CA"/>
    <w:rsid w:val="00151A70"/>
    <w:rsid w:val="00151CBC"/>
    <w:rsid w:val="00151E20"/>
    <w:rsid w:val="0015225E"/>
    <w:rsid w:val="001524AF"/>
    <w:rsid w:val="001527C0"/>
    <w:rsid w:val="0015321C"/>
    <w:rsid w:val="001534B7"/>
    <w:rsid w:val="00153A84"/>
    <w:rsid w:val="00153B3D"/>
    <w:rsid w:val="00154CF5"/>
    <w:rsid w:val="00155A7F"/>
    <w:rsid w:val="00157004"/>
    <w:rsid w:val="001574CC"/>
    <w:rsid w:val="001576F3"/>
    <w:rsid w:val="001578D4"/>
    <w:rsid w:val="0016047C"/>
    <w:rsid w:val="00160BFC"/>
    <w:rsid w:val="001613E3"/>
    <w:rsid w:val="00162580"/>
    <w:rsid w:val="00162A6E"/>
    <w:rsid w:val="0016312C"/>
    <w:rsid w:val="00163489"/>
    <w:rsid w:val="00163A04"/>
    <w:rsid w:val="00163CBE"/>
    <w:rsid w:val="0016425D"/>
    <w:rsid w:val="00164355"/>
    <w:rsid w:val="0016454D"/>
    <w:rsid w:val="001645A3"/>
    <w:rsid w:val="001646B0"/>
    <w:rsid w:val="00164735"/>
    <w:rsid w:val="0016486D"/>
    <w:rsid w:val="00165437"/>
    <w:rsid w:val="00165ECF"/>
    <w:rsid w:val="00166FA0"/>
    <w:rsid w:val="0016718B"/>
    <w:rsid w:val="00167616"/>
    <w:rsid w:val="00167739"/>
    <w:rsid w:val="00167969"/>
    <w:rsid w:val="0017064E"/>
    <w:rsid w:val="00170852"/>
    <w:rsid w:val="001709FB"/>
    <w:rsid w:val="0017229B"/>
    <w:rsid w:val="00172D0E"/>
    <w:rsid w:val="00172DF0"/>
    <w:rsid w:val="00173961"/>
    <w:rsid w:val="00173A1A"/>
    <w:rsid w:val="001759BE"/>
    <w:rsid w:val="00175A8A"/>
    <w:rsid w:val="001764CC"/>
    <w:rsid w:val="0017664B"/>
    <w:rsid w:val="00177198"/>
    <w:rsid w:val="00177592"/>
    <w:rsid w:val="00177790"/>
    <w:rsid w:val="001803C0"/>
    <w:rsid w:val="00180A61"/>
    <w:rsid w:val="00180CA6"/>
    <w:rsid w:val="00180FD2"/>
    <w:rsid w:val="00181103"/>
    <w:rsid w:val="0018151F"/>
    <w:rsid w:val="00183435"/>
    <w:rsid w:val="0018367D"/>
    <w:rsid w:val="001838FD"/>
    <w:rsid w:val="001848FC"/>
    <w:rsid w:val="0018587F"/>
    <w:rsid w:val="00185BDA"/>
    <w:rsid w:val="001863DC"/>
    <w:rsid w:val="0018672D"/>
    <w:rsid w:val="001914D6"/>
    <w:rsid w:val="0019178E"/>
    <w:rsid w:val="00191DC6"/>
    <w:rsid w:val="001926D2"/>
    <w:rsid w:val="00192A62"/>
    <w:rsid w:val="00192FBB"/>
    <w:rsid w:val="001933FE"/>
    <w:rsid w:val="001949A5"/>
    <w:rsid w:val="00195044"/>
    <w:rsid w:val="00195062"/>
    <w:rsid w:val="0019546B"/>
    <w:rsid w:val="00195BA0"/>
    <w:rsid w:val="00196026"/>
    <w:rsid w:val="001960AD"/>
    <w:rsid w:val="001967C4"/>
    <w:rsid w:val="00196992"/>
    <w:rsid w:val="00196D57"/>
    <w:rsid w:val="0019711B"/>
    <w:rsid w:val="001978E5"/>
    <w:rsid w:val="001A014D"/>
    <w:rsid w:val="001A02D1"/>
    <w:rsid w:val="001A1168"/>
    <w:rsid w:val="001A118D"/>
    <w:rsid w:val="001A120F"/>
    <w:rsid w:val="001A16B8"/>
    <w:rsid w:val="001A3291"/>
    <w:rsid w:val="001A329D"/>
    <w:rsid w:val="001A346B"/>
    <w:rsid w:val="001A34CC"/>
    <w:rsid w:val="001A34FD"/>
    <w:rsid w:val="001A3C73"/>
    <w:rsid w:val="001A417E"/>
    <w:rsid w:val="001A4551"/>
    <w:rsid w:val="001A4DAC"/>
    <w:rsid w:val="001A54E3"/>
    <w:rsid w:val="001A5548"/>
    <w:rsid w:val="001A5792"/>
    <w:rsid w:val="001A5B11"/>
    <w:rsid w:val="001A5B69"/>
    <w:rsid w:val="001A5BF0"/>
    <w:rsid w:val="001A62B5"/>
    <w:rsid w:val="001A64E0"/>
    <w:rsid w:val="001A7B2E"/>
    <w:rsid w:val="001B00B3"/>
    <w:rsid w:val="001B0630"/>
    <w:rsid w:val="001B0AD7"/>
    <w:rsid w:val="001B0D1D"/>
    <w:rsid w:val="001B10E3"/>
    <w:rsid w:val="001B117A"/>
    <w:rsid w:val="001B21CB"/>
    <w:rsid w:val="001B25AE"/>
    <w:rsid w:val="001B292D"/>
    <w:rsid w:val="001B2EA9"/>
    <w:rsid w:val="001B2ED7"/>
    <w:rsid w:val="001B41A4"/>
    <w:rsid w:val="001B466F"/>
    <w:rsid w:val="001B4E0E"/>
    <w:rsid w:val="001B5140"/>
    <w:rsid w:val="001B5401"/>
    <w:rsid w:val="001B5AC2"/>
    <w:rsid w:val="001B618E"/>
    <w:rsid w:val="001B664B"/>
    <w:rsid w:val="001B6D3A"/>
    <w:rsid w:val="001B6D82"/>
    <w:rsid w:val="001B6F9C"/>
    <w:rsid w:val="001B7010"/>
    <w:rsid w:val="001B75FE"/>
    <w:rsid w:val="001C1AF2"/>
    <w:rsid w:val="001C243E"/>
    <w:rsid w:val="001C26AB"/>
    <w:rsid w:val="001C34D6"/>
    <w:rsid w:val="001C36BB"/>
    <w:rsid w:val="001C4015"/>
    <w:rsid w:val="001C43A2"/>
    <w:rsid w:val="001C4551"/>
    <w:rsid w:val="001C549A"/>
    <w:rsid w:val="001C55B9"/>
    <w:rsid w:val="001C592A"/>
    <w:rsid w:val="001C6757"/>
    <w:rsid w:val="001C6A89"/>
    <w:rsid w:val="001C72F4"/>
    <w:rsid w:val="001C7B51"/>
    <w:rsid w:val="001C7F57"/>
    <w:rsid w:val="001D0113"/>
    <w:rsid w:val="001D09B6"/>
    <w:rsid w:val="001D0B6D"/>
    <w:rsid w:val="001D13AC"/>
    <w:rsid w:val="001D1771"/>
    <w:rsid w:val="001D1D62"/>
    <w:rsid w:val="001D215D"/>
    <w:rsid w:val="001D2162"/>
    <w:rsid w:val="001D2F79"/>
    <w:rsid w:val="001D38C1"/>
    <w:rsid w:val="001D3B19"/>
    <w:rsid w:val="001D3C83"/>
    <w:rsid w:val="001D3CE3"/>
    <w:rsid w:val="001D43C9"/>
    <w:rsid w:val="001D45F3"/>
    <w:rsid w:val="001D48B2"/>
    <w:rsid w:val="001D4F75"/>
    <w:rsid w:val="001D5271"/>
    <w:rsid w:val="001D5360"/>
    <w:rsid w:val="001D558E"/>
    <w:rsid w:val="001D5AB0"/>
    <w:rsid w:val="001D5DC1"/>
    <w:rsid w:val="001D6565"/>
    <w:rsid w:val="001D6732"/>
    <w:rsid w:val="001D6C11"/>
    <w:rsid w:val="001D723E"/>
    <w:rsid w:val="001D7E78"/>
    <w:rsid w:val="001E0784"/>
    <w:rsid w:val="001E0AF8"/>
    <w:rsid w:val="001E1EAB"/>
    <w:rsid w:val="001E25E1"/>
    <w:rsid w:val="001E2769"/>
    <w:rsid w:val="001E3BDD"/>
    <w:rsid w:val="001E3E03"/>
    <w:rsid w:val="001E4BDB"/>
    <w:rsid w:val="001E4D42"/>
    <w:rsid w:val="001E4F9E"/>
    <w:rsid w:val="001E5107"/>
    <w:rsid w:val="001E5533"/>
    <w:rsid w:val="001E58FF"/>
    <w:rsid w:val="001E59E9"/>
    <w:rsid w:val="001E5BBC"/>
    <w:rsid w:val="001E5CC1"/>
    <w:rsid w:val="001E6D91"/>
    <w:rsid w:val="001E7313"/>
    <w:rsid w:val="001E75E7"/>
    <w:rsid w:val="001E7CAF"/>
    <w:rsid w:val="001E7F0F"/>
    <w:rsid w:val="001E7FD0"/>
    <w:rsid w:val="001F03EC"/>
    <w:rsid w:val="001F0BF8"/>
    <w:rsid w:val="001F1363"/>
    <w:rsid w:val="001F139A"/>
    <w:rsid w:val="001F1C66"/>
    <w:rsid w:val="001F1F48"/>
    <w:rsid w:val="001F2B5E"/>
    <w:rsid w:val="001F2FE7"/>
    <w:rsid w:val="001F3373"/>
    <w:rsid w:val="001F33F1"/>
    <w:rsid w:val="001F38D0"/>
    <w:rsid w:val="001F3E8F"/>
    <w:rsid w:val="001F486B"/>
    <w:rsid w:val="001F4896"/>
    <w:rsid w:val="001F5CA7"/>
    <w:rsid w:val="001F5EA7"/>
    <w:rsid w:val="001F635F"/>
    <w:rsid w:val="001F6FD3"/>
    <w:rsid w:val="001F7753"/>
    <w:rsid w:val="001F7C82"/>
    <w:rsid w:val="001F7DE2"/>
    <w:rsid w:val="0020015F"/>
    <w:rsid w:val="0020046E"/>
    <w:rsid w:val="0020077F"/>
    <w:rsid w:val="00200AA8"/>
    <w:rsid w:val="00200BA8"/>
    <w:rsid w:val="0020123C"/>
    <w:rsid w:val="002012E3"/>
    <w:rsid w:val="0020198F"/>
    <w:rsid w:val="0020222E"/>
    <w:rsid w:val="002022F0"/>
    <w:rsid w:val="002023CB"/>
    <w:rsid w:val="00203F0F"/>
    <w:rsid w:val="002042C1"/>
    <w:rsid w:val="0020445F"/>
    <w:rsid w:val="00204F41"/>
    <w:rsid w:val="00205DB4"/>
    <w:rsid w:val="00206AF3"/>
    <w:rsid w:val="00206DAD"/>
    <w:rsid w:val="00207017"/>
    <w:rsid w:val="002074E7"/>
    <w:rsid w:val="0020755F"/>
    <w:rsid w:val="002104BF"/>
    <w:rsid w:val="0021055B"/>
    <w:rsid w:val="0021058F"/>
    <w:rsid w:val="00210A6E"/>
    <w:rsid w:val="00211818"/>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468"/>
    <w:rsid w:val="002226AC"/>
    <w:rsid w:val="002226CF"/>
    <w:rsid w:val="00222B75"/>
    <w:rsid w:val="002238F2"/>
    <w:rsid w:val="00224097"/>
    <w:rsid w:val="002245B7"/>
    <w:rsid w:val="0022513D"/>
    <w:rsid w:val="00225411"/>
    <w:rsid w:val="002258B8"/>
    <w:rsid w:val="00226C6C"/>
    <w:rsid w:val="00227190"/>
    <w:rsid w:val="00227EF6"/>
    <w:rsid w:val="0023000E"/>
    <w:rsid w:val="0023017B"/>
    <w:rsid w:val="00230976"/>
    <w:rsid w:val="00231685"/>
    <w:rsid w:val="00231DE5"/>
    <w:rsid w:val="0023224E"/>
    <w:rsid w:val="00232F43"/>
    <w:rsid w:val="002335BE"/>
    <w:rsid w:val="0023362B"/>
    <w:rsid w:val="002336A5"/>
    <w:rsid w:val="002337EB"/>
    <w:rsid w:val="002344C2"/>
    <w:rsid w:val="0023499B"/>
    <w:rsid w:val="00234A43"/>
    <w:rsid w:val="002356F3"/>
    <w:rsid w:val="00235936"/>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873"/>
    <w:rsid w:val="00243A20"/>
    <w:rsid w:val="00244106"/>
    <w:rsid w:val="00244417"/>
    <w:rsid w:val="00244981"/>
    <w:rsid w:val="00244F65"/>
    <w:rsid w:val="00245146"/>
    <w:rsid w:val="002454BD"/>
    <w:rsid w:val="00246301"/>
    <w:rsid w:val="0024659C"/>
    <w:rsid w:val="00246ADD"/>
    <w:rsid w:val="00247919"/>
    <w:rsid w:val="00247B72"/>
    <w:rsid w:val="00247C44"/>
    <w:rsid w:val="002505F6"/>
    <w:rsid w:val="002510CC"/>
    <w:rsid w:val="00251401"/>
    <w:rsid w:val="00252951"/>
    <w:rsid w:val="002537E1"/>
    <w:rsid w:val="002538F8"/>
    <w:rsid w:val="00254138"/>
    <w:rsid w:val="00254980"/>
    <w:rsid w:val="00254AAB"/>
    <w:rsid w:val="00254D83"/>
    <w:rsid w:val="00254E2B"/>
    <w:rsid w:val="00255750"/>
    <w:rsid w:val="00255F18"/>
    <w:rsid w:val="00256144"/>
    <w:rsid w:val="00256DF5"/>
    <w:rsid w:val="00256DFF"/>
    <w:rsid w:val="00256EA8"/>
    <w:rsid w:val="00257062"/>
    <w:rsid w:val="002572D5"/>
    <w:rsid w:val="00257F1F"/>
    <w:rsid w:val="0026022E"/>
    <w:rsid w:val="00260ACC"/>
    <w:rsid w:val="00260CD9"/>
    <w:rsid w:val="00261CEA"/>
    <w:rsid w:val="00261EE6"/>
    <w:rsid w:val="00262F12"/>
    <w:rsid w:val="0026319D"/>
    <w:rsid w:val="0026357A"/>
    <w:rsid w:val="00263923"/>
    <w:rsid w:val="00263C09"/>
    <w:rsid w:val="00263D18"/>
    <w:rsid w:val="00263F6B"/>
    <w:rsid w:val="002641AA"/>
    <w:rsid w:val="0026431A"/>
    <w:rsid w:val="0026469D"/>
    <w:rsid w:val="002647C6"/>
    <w:rsid w:val="002649C4"/>
    <w:rsid w:val="00264D77"/>
    <w:rsid w:val="002654C9"/>
    <w:rsid w:val="00265C35"/>
    <w:rsid w:val="00265CA2"/>
    <w:rsid w:val="0026702F"/>
    <w:rsid w:val="00267AD7"/>
    <w:rsid w:val="00270A96"/>
    <w:rsid w:val="00270EFC"/>
    <w:rsid w:val="002716D2"/>
    <w:rsid w:val="00271968"/>
    <w:rsid w:val="00271CF1"/>
    <w:rsid w:val="00271E8B"/>
    <w:rsid w:val="002721F0"/>
    <w:rsid w:val="00272B71"/>
    <w:rsid w:val="00273CB5"/>
    <w:rsid w:val="002748A9"/>
    <w:rsid w:val="00274A3A"/>
    <w:rsid w:val="00274BCC"/>
    <w:rsid w:val="002750F3"/>
    <w:rsid w:val="00275493"/>
    <w:rsid w:val="00275846"/>
    <w:rsid w:val="00275FB4"/>
    <w:rsid w:val="002763B3"/>
    <w:rsid w:val="00277219"/>
    <w:rsid w:val="002777EC"/>
    <w:rsid w:val="002778E1"/>
    <w:rsid w:val="0027792C"/>
    <w:rsid w:val="002779C8"/>
    <w:rsid w:val="00281260"/>
    <w:rsid w:val="00281668"/>
    <w:rsid w:val="00281B1D"/>
    <w:rsid w:val="00281B72"/>
    <w:rsid w:val="00281D5E"/>
    <w:rsid w:val="00282C5A"/>
    <w:rsid w:val="00283445"/>
    <w:rsid w:val="00283641"/>
    <w:rsid w:val="0028494D"/>
    <w:rsid w:val="002850D8"/>
    <w:rsid w:val="002859A7"/>
    <w:rsid w:val="00285DC6"/>
    <w:rsid w:val="00286A67"/>
    <w:rsid w:val="00286A7E"/>
    <w:rsid w:val="00286B87"/>
    <w:rsid w:val="00286D24"/>
    <w:rsid w:val="00286D32"/>
    <w:rsid w:val="00286F31"/>
    <w:rsid w:val="0029104F"/>
    <w:rsid w:val="002915F2"/>
    <w:rsid w:val="00291F70"/>
    <w:rsid w:val="0029286B"/>
    <w:rsid w:val="00292ED7"/>
    <w:rsid w:val="002939DB"/>
    <w:rsid w:val="00293BDB"/>
    <w:rsid w:val="00293F29"/>
    <w:rsid w:val="00294304"/>
    <w:rsid w:val="00294F1C"/>
    <w:rsid w:val="0029522B"/>
    <w:rsid w:val="00295DD9"/>
    <w:rsid w:val="0029605D"/>
    <w:rsid w:val="00296082"/>
    <w:rsid w:val="002960DD"/>
    <w:rsid w:val="00296A04"/>
    <w:rsid w:val="002A00E6"/>
    <w:rsid w:val="002A13E5"/>
    <w:rsid w:val="002A2123"/>
    <w:rsid w:val="002A247E"/>
    <w:rsid w:val="002A2560"/>
    <w:rsid w:val="002A413F"/>
    <w:rsid w:val="002A4428"/>
    <w:rsid w:val="002A4C94"/>
    <w:rsid w:val="002A4E1B"/>
    <w:rsid w:val="002A59BC"/>
    <w:rsid w:val="002A63F6"/>
    <w:rsid w:val="002A6889"/>
    <w:rsid w:val="002A6919"/>
    <w:rsid w:val="002A69FA"/>
    <w:rsid w:val="002A7AA3"/>
    <w:rsid w:val="002A7DE4"/>
    <w:rsid w:val="002B0889"/>
    <w:rsid w:val="002B1171"/>
    <w:rsid w:val="002B2393"/>
    <w:rsid w:val="002B282C"/>
    <w:rsid w:val="002B2901"/>
    <w:rsid w:val="002B2C6B"/>
    <w:rsid w:val="002B2E72"/>
    <w:rsid w:val="002B332B"/>
    <w:rsid w:val="002B41EC"/>
    <w:rsid w:val="002B5517"/>
    <w:rsid w:val="002B58AD"/>
    <w:rsid w:val="002B6C07"/>
    <w:rsid w:val="002B6E30"/>
    <w:rsid w:val="002B7155"/>
    <w:rsid w:val="002B7B3D"/>
    <w:rsid w:val="002C0389"/>
    <w:rsid w:val="002C1121"/>
    <w:rsid w:val="002C189C"/>
    <w:rsid w:val="002C1EA4"/>
    <w:rsid w:val="002C254C"/>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C97"/>
    <w:rsid w:val="002D3D6E"/>
    <w:rsid w:val="002D408A"/>
    <w:rsid w:val="002D564A"/>
    <w:rsid w:val="002D5ACE"/>
    <w:rsid w:val="002D5E1C"/>
    <w:rsid w:val="002D5E4F"/>
    <w:rsid w:val="002D61E1"/>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F15"/>
    <w:rsid w:val="002E3AFD"/>
    <w:rsid w:val="002E45EE"/>
    <w:rsid w:val="002E4B97"/>
    <w:rsid w:val="002E5BD8"/>
    <w:rsid w:val="002E68A6"/>
    <w:rsid w:val="002E6926"/>
    <w:rsid w:val="002E6B1B"/>
    <w:rsid w:val="002F047A"/>
    <w:rsid w:val="002F0800"/>
    <w:rsid w:val="002F0DFB"/>
    <w:rsid w:val="002F17A6"/>
    <w:rsid w:val="002F2683"/>
    <w:rsid w:val="002F2699"/>
    <w:rsid w:val="002F272B"/>
    <w:rsid w:val="002F2B08"/>
    <w:rsid w:val="002F2BCA"/>
    <w:rsid w:val="002F33F1"/>
    <w:rsid w:val="002F3425"/>
    <w:rsid w:val="002F36C8"/>
    <w:rsid w:val="002F3B58"/>
    <w:rsid w:val="002F422C"/>
    <w:rsid w:val="002F428D"/>
    <w:rsid w:val="002F4736"/>
    <w:rsid w:val="002F4F02"/>
    <w:rsid w:val="002F56B2"/>
    <w:rsid w:val="002F571D"/>
    <w:rsid w:val="002F5F6C"/>
    <w:rsid w:val="002F7A05"/>
    <w:rsid w:val="003000AB"/>
    <w:rsid w:val="003000EC"/>
    <w:rsid w:val="00300B5E"/>
    <w:rsid w:val="003014D2"/>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1022"/>
    <w:rsid w:val="00311AFE"/>
    <w:rsid w:val="00312582"/>
    <w:rsid w:val="003126FD"/>
    <w:rsid w:val="00312794"/>
    <w:rsid w:val="003129DA"/>
    <w:rsid w:val="00312EB4"/>
    <w:rsid w:val="0031311F"/>
    <w:rsid w:val="00313468"/>
    <w:rsid w:val="003134D4"/>
    <w:rsid w:val="00313F27"/>
    <w:rsid w:val="003143C1"/>
    <w:rsid w:val="00314437"/>
    <w:rsid w:val="0031473D"/>
    <w:rsid w:val="00314C85"/>
    <w:rsid w:val="00314DA3"/>
    <w:rsid w:val="00314F5E"/>
    <w:rsid w:val="00315C86"/>
    <w:rsid w:val="00315F03"/>
    <w:rsid w:val="003163D8"/>
    <w:rsid w:val="00317049"/>
    <w:rsid w:val="0031723A"/>
    <w:rsid w:val="00317285"/>
    <w:rsid w:val="00317292"/>
    <w:rsid w:val="00317FBF"/>
    <w:rsid w:val="00320066"/>
    <w:rsid w:val="003201A3"/>
    <w:rsid w:val="003206F6"/>
    <w:rsid w:val="00320891"/>
    <w:rsid w:val="003208C6"/>
    <w:rsid w:val="0032096B"/>
    <w:rsid w:val="00320EEF"/>
    <w:rsid w:val="003211DB"/>
    <w:rsid w:val="0032183B"/>
    <w:rsid w:val="00321866"/>
    <w:rsid w:val="00322153"/>
    <w:rsid w:val="00322771"/>
    <w:rsid w:val="00322A96"/>
    <w:rsid w:val="003230E8"/>
    <w:rsid w:val="0032350B"/>
    <w:rsid w:val="0032356F"/>
    <w:rsid w:val="003235AF"/>
    <w:rsid w:val="003237D1"/>
    <w:rsid w:val="00323A8E"/>
    <w:rsid w:val="00323BF6"/>
    <w:rsid w:val="00323FD7"/>
    <w:rsid w:val="00324322"/>
    <w:rsid w:val="00324493"/>
    <w:rsid w:val="003249A6"/>
    <w:rsid w:val="00324F29"/>
    <w:rsid w:val="003258AF"/>
    <w:rsid w:val="00326209"/>
    <w:rsid w:val="00326483"/>
    <w:rsid w:val="003264C5"/>
    <w:rsid w:val="0032705E"/>
    <w:rsid w:val="003274D1"/>
    <w:rsid w:val="0033065C"/>
    <w:rsid w:val="00330B6B"/>
    <w:rsid w:val="00330D08"/>
    <w:rsid w:val="00331208"/>
    <w:rsid w:val="0033123E"/>
    <w:rsid w:val="003318BB"/>
    <w:rsid w:val="00331F3C"/>
    <w:rsid w:val="00332182"/>
    <w:rsid w:val="00332448"/>
    <w:rsid w:val="0033263D"/>
    <w:rsid w:val="003328A3"/>
    <w:rsid w:val="003329FF"/>
    <w:rsid w:val="003332EB"/>
    <w:rsid w:val="00333347"/>
    <w:rsid w:val="0033364C"/>
    <w:rsid w:val="003338C7"/>
    <w:rsid w:val="0033439A"/>
    <w:rsid w:val="00334485"/>
    <w:rsid w:val="00334EE7"/>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CD5"/>
    <w:rsid w:val="003438A7"/>
    <w:rsid w:val="003438CF"/>
    <w:rsid w:val="00343C25"/>
    <w:rsid w:val="00345860"/>
    <w:rsid w:val="00345DEE"/>
    <w:rsid w:val="00345F6E"/>
    <w:rsid w:val="00346D88"/>
    <w:rsid w:val="003475FB"/>
    <w:rsid w:val="00347E67"/>
    <w:rsid w:val="00347FE1"/>
    <w:rsid w:val="003509AF"/>
    <w:rsid w:val="00350B1C"/>
    <w:rsid w:val="00351181"/>
    <w:rsid w:val="003517AC"/>
    <w:rsid w:val="00351AE3"/>
    <w:rsid w:val="00351F43"/>
    <w:rsid w:val="0035234D"/>
    <w:rsid w:val="003523FE"/>
    <w:rsid w:val="00352CDD"/>
    <w:rsid w:val="003533A2"/>
    <w:rsid w:val="0035424F"/>
    <w:rsid w:val="00354436"/>
    <w:rsid w:val="00354892"/>
    <w:rsid w:val="00354C0D"/>
    <w:rsid w:val="00354F81"/>
    <w:rsid w:val="00356A6F"/>
    <w:rsid w:val="003571A1"/>
    <w:rsid w:val="0035737A"/>
    <w:rsid w:val="003573AD"/>
    <w:rsid w:val="00357896"/>
    <w:rsid w:val="00357A5E"/>
    <w:rsid w:val="003600D1"/>
    <w:rsid w:val="00360363"/>
    <w:rsid w:val="00361723"/>
    <w:rsid w:val="00361B3E"/>
    <w:rsid w:val="00361B5E"/>
    <w:rsid w:val="003637F8"/>
    <w:rsid w:val="00364048"/>
    <w:rsid w:val="003647FD"/>
    <w:rsid w:val="00364B36"/>
    <w:rsid w:val="00364CE4"/>
    <w:rsid w:val="00364DFE"/>
    <w:rsid w:val="0036656D"/>
    <w:rsid w:val="00366694"/>
    <w:rsid w:val="00366DC3"/>
    <w:rsid w:val="00367311"/>
    <w:rsid w:val="003673CC"/>
    <w:rsid w:val="003706F3"/>
    <w:rsid w:val="00370B18"/>
    <w:rsid w:val="00370C43"/>
    <w:rsid w:val="003718D4"/>
    <w:rsid w:val="0037214A"/>
    <w:rsid w:val="00372BA0"/>
    <w:rsid w:val="003734AD"/>
    <w:rsid w:val="00373FDE"/>
    <w:rsid w:val="00374A53"/>
    <w:rsid w:val="00374D8C"/>
    <w:rsid w:val="003754DB"/>
    <w:rsid w:val="00375E53"/>
    <w:rsid w:val="00376529"/>
    <w:rsid w:val="00376A64"/>
    <w:rsid w:val="00376DC2"/>
    <w:rsid w:val="0037736B"/>
    <w:rsid w:val="0037753F"/>
    <w:rsid w:val="00377805"/>
    <w:rsid w:val="00377EB8"/>
    <w:rsid w:val="00380AF1"/>
    <w:rsid w:val="00380AF2"/>
    <w:rsid w:val="00380F13"/>
    <w:rsid w:val="00380FD5"/>
    <w:rsid w:val="0038106B"/>
    <w:rsid w:val="003813C4"/>
    <w:rsid w:val="003824FA"/>
    <w:rsid w:val="00382807"/>
    <w:rsid w:val="0038300C"/>
    <w:rsid w:val="003832F9"/>
    <w:rsid w:val="00383585"/>
    <w:rsid w:val="00383D40"/>
    <w:rsid w:val="00384C41"/>
    <w:rsid w:val="00384E8D"/>
    <w:rsid w:val="00384F02"/>
    <w:rsid w:val="0038607D"/>
    <w:rsid w:val="00386123"/>
    <w:rsid w:val="00386395"/>
    <w:rsid w:val="003865C0"/>
    <w:rsid w:val="003868D2"/>
    <w:rsid w:val="0038780F"/>
    <w:rsid w:val="00387D64"/>
    <w:rsid w:val="003904EF"/>
    <w:rsid w:val="003912FC"/>
    <w:rsid w:val="00391451"/>
    <w:rsid w:val="00391746"/>
    <w:rsid w:val="003917D8"/>
    <w:rsid w:val="00391C39"/>
    <w:rsid w:val="003927A7"/>
    <w:rsid w:val="00392ABB"/>
    <w:rsid w:val="00392C43"/>
    <w:rsid w:val="00392CD4"/>
    <w:rsid w:val="00392D13"/>
    <w:rsid w:val="0039379D"/>
    <w:rsid w:val="003940A4"/>
    <w:rsid w:val="003942D5"/>
    <w:rsid w:val="0039476F"/>
    <w:rsid w:val="00394EAF"/>
    <w:rsid w:val="00396361"/>
    <w:rsid w:val="003968FB"/>
    <w:rsid w:val="00396E88"/>
    <w:rsid w:val="00396EFB"/>
    <w:rsid w:val="003973F4"/>
    <w:rsid w:val="00397AEA"/>
    <w:rsid w:val="00397B51"/>
    <w:rsid w:val="00397CC5"/>
    <w:rsid w:val="003A0081"/>
    <w:rsid w:val="003A0A22"/>
    <w:rsid w:val="003A0BD7"/>
    <w:rsid w:val="003A0C5F"/>
    <w:rsid w:val="003A243C"/>
    <w:rsid w:val="003A26CB"/>
    <w:rsid w:val="003A2E76"/>
    <w:rsid w:val="003A2F0C"/>
    <w:rsid w:val="003A32EB"/>
    <w:rsid w:val="003A3309"/>
    <w:rsid w:val="003A35F7"/>
    <w:rsid w:val="003A3FEE"/>
    <w:rsid w:val="003A4289"/>
    <w:rsid w:val="003A4312"/>
    <w:rsid w:val="003A4B5B"/>
    <w:rsid w:val="003A53C6"/>
    <w:rsid w:val="003A57EF"/>
    <w:rsid w:val="003A699F"/>
    <w:rsid w:val="003A7EEB"/>
    <w:rsid w:val="003A7F4C"/>
    <w:rsid w:val="003B041F"/>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6BCC"/>
    <w:rsid w:val="003B7FB3"/>
    <w:rsid w:val="003C02B0"/>
    <w:rsid w:val="003C0BFC"/>
    <w:rsid w:val="003C10F2"/>
    <w:rsid w:val="003C2307"/>
    <w:rsid w:val="003C310C"/>
    <w:rsid w:val="003C3369"/>
    <w:rsid w:val="003C36BB"/>
    <w:rsid w:val="003C3835"/>
    <w:rsid w:val="003C38A5"/>
    <w:rsid w:val="003C3B26"/>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E039D"/>
    <w:rsid w:val="003E14FD"/>
    <w:rsid w:val="003E1EC5"/>
    <w:rsid w:val="003E2566"/>
    <w:rsid w:val="003E258A"/>
    <w:rsid w:val="003E262C"/>
    <w:rsid w:val="003E3184"/>
    <w:rsid w:val="003E33B8"/>
    <w:rsid w:val="003E358D"/>
    <w:rsid w:val="003E3877"/>
    <w:rsid w:val="003E38C4"/>
    <w:rsid w:val="003E4144"/>
    <w:rsid w:val="003E41B9"/>
    <w:rsid w:val="003E4CF4"/>
    <w:rsid w:val="003E52CB"/>
    <w:rsid w:val="003E5E1F"/>
    <w:rsid w:val="003E6365"/>
    <w:rsid w:val="003E7386"/>
    <w:rsid w:val="003E7A86"/>
    <w:rsid w:val="003E7C4F"/>
    <w:rsid w:val="003E7D9A"/>
    <w:rsid w:val="003E7F48"/>
    <w:rsid w:val="003F0114"/>
    <w:rsid w:val="003F04A1"/>
    <w:rsid w:val="003F0992"/>
    <w:rsid w:val="003F1081"/>
    <w:rsid w:val="003F1DBB"/>
    <w:rsid w:val="003F213C"/>
    <w:rsid w:val="003F22A4"/>
    <w:rsid w:val="003F24A4"/>
    <w:rsid w:val="003F30FA"/>
    <w:rsid w:val="003F39C5"/>
    <w:rsid w:val="003F4002"/>
    <w:rsid w:val="003F424A"/>
    <w:rsid w:val="003F470C"/>
    <w:rsid w:val="003F49F5"/>
    <w:rsid w:val="003F518C"/>
    <w:rsid w:val="003F6326"/>
    <w:rsid w:val="003F63C9"/>
    <w:rsid w:val="003F64EA"/>
    <w:rsid w:val="003F650F"/>
    <w:rsid w:val="003F6553"/>
    <w:rsid w:val="003F715F"/>
    <w:rsid w:val="003F746D"/>
    <w:rsid w:val="003F7A63"/>
    <w:rsid w:val="004002CB"/>
    <w:rsid w:val="004004E9"/>
    <w:rsid w:val="004009E9"/>
    <w:rsid w:val="00400F34"/>
    <w:rsid w:val="00400FEA"/>
    <w:rsid w:val="00401AFF"/>
    <w:rsid w:val="004023CC"/>
    <w:rsid w:val="004025EE"/>
    <w:rsid w:val="004027A5"/>
    <w:rsid w:val="00402977"/>
    <w:rsid w:val="00403AFE"/>
    <w:rsid w:val="00403D07"/>
    <w:rsid w:val="004046C6"/>
    <w:rsid w:val="004046F6"/>
    <w:rsid w:val="00404CB5"/>
    <w:rsid w:val="0040509B"/>
    <w:rsid w:val="00405182"/>
    <w:rsid w:val="004059FE"/>
    <w:rsid w:val="00405E3A"/>
    <w:rsid w:val="00406799"/>
    <w:rsid w:val="00406FF7"/>
    <w:rsid w:val="004070A0"/>
    <w:rsid w:val="004077F4"/>
    <w:rsid w:val="00407D4C"/>
    <w:rsid w:val="00410340"/>
    <w:rsid w:val="00410A08"/>
    <w:rsid w:val="00410B67"/>
    <w:rsid w:val="00411248"/>
    <w:rsid w:val="00411317"/>
    <w:rsid w:val="00412135"/>
    <w:rsid w:val="0041293F"/>
    <w:rsid w:val="00412B72"/>
    <w:rsid w:val="00412F7D"/>
    <w:rsid w:val="0041366F"/>
    <w:rsid w:val="0041399F"/>
    <w:rsid w:val="00413F27"/>
    <w:rsid w:val="004148DB"/>
    <w:rsid w:val="00414A1C"/>
    <w:rsid w:val="004152DA"/>
    <w:rsid w:val="0041555B"/>
    <w:rsid w:val="00415E12"/>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3D19"/>
    <w:rsid w:val="00424297"/>
    <w:rsid w:val="00424434"/>
    <w:rsid w:val="004248FC"/>
    <w:rsid w:val="00424D49"/>
    <w:rsid w:val="004250E1"/>
    <w:rsid w:val="00425766"/>
    <w:rsid w:val="0042578D"/>
    <w:rsid w:val="00426A53"/>
    <w:rsid w:val="00430221"/>
    <w:rsid w:val="00430296"/>
    <w:rsid w:val="00430CFB"/>
    <w:rsid w:val="004321CF"/>
    <w:rsid w:val="00432CBB"/>
    <w:rsid w:val="00432CE7"/>
    <w:rsid w:val="0043480E"/>
    <w:rsid w:val="00434E0F"/>
    <w:rsid w:val="00435C3D"/>
    <w:rsid w:val="004365F6"/>
    <w:rsid w:val="00436611"/>
    <w:rsid w:val="00436D88"/>
    <w:rsid w:val="0043732E"/>
    <w:rsid w:val="0043735B"/>
    <w:rsid w:val="0043737D"/>
    <w:rsid w:val="0044090B"/>
    <w:rsid w:val="00441234"/>
    <w:rsid w:val="0044268E"/>
    <w:rsid w:val="00442779"/>
    <w:rsid w:val="00442F9A"/>
    <w:rsid w:val="00443501"/>
    <w:rsid w:val="00443D70"/>
    <w:rsid w:val="00443F22"/>
    <w:rsid w:val="0044419D"/>
    <w:rsid w:val="004441DC"/>
    <w:rsid w:val="00444B16"/>
    <w:rsid w:val="00444C22"/>
    <w:rsid w:val="004457DB"/>
    <w:rsid w:val="00445A45"/>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4B58"/>
    <w:rsid w:val="004559D0"/>
    <w:rsid w:val="00455BBA"/>
    <w:rsid w:val="00455CF1"/>
    <w:rsid w:val="00455DEC"/>
    <w:rsid w:val="0045601D"/>
    <w:rsid w:val="004561DB"/>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4AD"/>
    <w:rsid w:val="00462FAD"/>
    <w:rsid w:val="0046382B"/>
    <w:rsid w:val="004648B3"/>
    <w:rsid w:val="004648DA"/>
    <w:rsid w:val="004657B6"/>
    <w:rsid w:val="00465924"/>
    <w:rsid w:val="00465F82"/>
    <w:rsid w:val="00466802"/>
    <w:rsid w:val="00466EE3"/>
    <w:rsid w:val="00467997"/>
    <w:rsid w:val="00467F8E"/>
    <w:rsid w:val="004708BF"/>
    <w:rsid w:val="00470EAF"/>
    <w:rsid w:val="00470FCA"/>
    <w:rsid w:val="00471305"/>
    <w:rsid w:val="004713AC"/>
    <w:rsid w:val="004714B4"/>
    <w:rsid w:val="0047163C"/>
    <w:rsid w:val="00472114"/>
    <w:rsid w:val="00472774"/>
    <w:rsid w:val="00472ABA"/>
    <w:rsid w:val="00473111"/>
    <w:rsid w:val="004733B5"/>
    <w:rsid w:val="004737FA"/>
    <w:rsid w:val="0047381A"/>
    <w:rsid w:val="00473CCA"/>
    <w:rsid w:val="00473DEA"/>
    <w:rsid w:val="004747A1"/>
    <w:rsid w:val="00474B56"/>
    <w:rsid w:val="004752DC"/>
    <w:rsid w:val="004757E4"/>
    <w:rsid w:val="00475880"/>
    <w:rsid w:val="004764F1"/>
    <w:rsid w:val="00477325"/>
    <w:rsid w:val="0047765B"/>
    <w:rsid w:val="00477A43"/>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21B0"/>
    <w:rsid w:val="0049251D"/>
    <w:rsid w:val="00492A00"/>
    <w:rsid w:val="00492D67"/>
    <w:rsid w:val="00493491"/>
    <w:rsid w:val="00493966"/>
    <w:rsid w:val="00493F25"/>
    <w:rsid w:val="00494114"/>
    <w:rsid w:val="00494F12"/>
    <w:rsid w:val="004950BC"/>
    <w:rsid w:val="00495718"/>
    <w:rsid w:val="004957C3"/>
    <w:rsid w:val="0049590E"/>
    <w:rsid w:val="0049603F"/>
    <w:rsid w:val="00496072"/>
    <w:rsid w:val="0049678D"/>
    <w:rsid w:val="004974DA"/>
    <w:rsid w:val="0049793D"/>
    <w:rsid w:val="00497D38"/>
    <w:rsid w:val="00497D7B"/>
    <w:rsid w:val="00497DEC"/>
    <w:rsid w:val="00497E30"/>
    <w:rsid w:val="004A0339"/>
    <w:rsid w:val="004A03B5"/>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E80"/>
    <w:rsid w:val="004B52AD"/>
    <w:rsid w:val="004B59B8"/>
    <w:rsid w:val="004B5FE0"/>
    <w:rsid w:val="004B6C90"/>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4B5"/>
    <w:rsid w:val="004C34CC"/>
    <w:rsid w:val="004C34CF"/>
    <w:rsid w:val="004C3597"/>
    <w:rsid w:val="004C35D6"/>
    <w:rsid w:val="004C3600"/>
    <w:rsid w:val="004C36E0"/>
    <w:rsid w:val="004C3C5C"/>
    <w:rsid w:val="004C3D99"/>
    <w:rsid w:val="004C5291"/>
    <w:rsid w:val="004C581E"/>
    <w:rsid w:val="004C60CE"/>
    <w:rsid w:val="004C60ED"/>
    <w:rsid w:val="004D1E50"/>
    <w:rsid w:val="004D2C35"/>
    <w:rsid w:val="004D2F3D"/>
    <w:rsid w:val="004D354F"/>
    <w:rsid w:val="004D3CC4"/>
    <w:rsid w:val="004D3F1B"/>
    <w:rsid w:val="004D47C5"/>
    <w:rsid w:val="004D4A63"/>
    <w:rsid w:val="004D4F64"/>
    <w:rsid w:val="004D5CB6"/>
    <w:rsid w:val="004D6097"/>
    <w:rsid w:val="004D7BEB"/>
    <w:rsid w:val="004D7D3E"/>
    <w:rsid w:val="004E05D7"/>
    <w:rsid w:val="004E06B8"/>
    <w:rsid w:val="004E0EEE"/>
    <w:rsid w:val="004E1738"/>
    <w:rsid w:val="004E1E0E"/>
    <w:rsid w:val="004E263E"/>
    <w:rsid w:val="004E2B5A"/>
    <w:rsid w:val="004E3516"/>
    <w:rsid w:val="004E431D"/>
    <w:rsid w:val="004E44C2"/>
    <w:rsid w:val="004E5139"/>
    <w:rsid w:val="004E5802"/>
    <w:rsid w:val="004E5B27"/>
    <w:rsid w:val="004E5F6F"/>
    <w:rsid w:val="004E613B"/>
    <w:rsid w:val="004E625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3D3C"/>
    <w:rsid w:val="004F41F0"/>
    <w:rsid w:val="004F49D8"/>
    <w:rsid w:val="004F4D61"/>
    <w:rsid w:val="004F5028"/>
    <w:rsid w:val="004F5463"/>
    <w:rsid w:val="004F5BED"/>
    <w:rsid w:val="004F5C5C"/>
    <w:rsid w:val="004F6359"/>
    <w:rsid w:val="004F688A"/>
    <w:rsid w:val="004F6A01"/>
    <w:rsid w:val="004F70D8"/>
    <w:rsid w:val="004F7323"/>
    <w:rsid w:val="004F7482"/>
    <w:rsid w:val="004F7B7F"/>
    <w:rsid w:val="00500B4D"/>
    <w:rsid w:val="0050125F"/>
    <w:rsid w:val="0050137F"/>
    <w:rsid w:val="005018E2"/>
    <w:rsid w:val="00501AB6"/>
    <w:rsid w:val="00501DF3"/>
    <w:rsid w:val="00502382"/>
    <w:rsid w:val="00502703"/>
    <w:rsid w:val="00502C95"/>
    <w:rsid w:val="00503B98"/>
    <w:rsid w:val="00503D12"/>
    <w:rsid w:val="00504373"/>
    <w:rsid w:val="00504AE3"/>
    <w:rsid w:val="0050603A"/>
    <w:rsid w:val="00506169"/>
    <w:rsid w:val="00506907"/>
    <w:rsid w:val="00507A79"/>
    <w:rsid w:val="00510288"/>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0F07"/>
    <w:rsid w:val="00521784"/>
    <w:rsid w:val="00521D4F"/>
    <w:rsid w:val="0052233C"/>
    <w:rsid w:val="00523C15"/>
    <w:rsid w:val="00523D5B"/>
    <w:rsid w:val="005250B4"/>
    <w:rsid w:val="005250CE"/>
    <w:rsid w:val="005253BD"/>
    <w:rsid w:val="005258E8"/>
    <w:rsid w:val="00525916"/>
    <w:rsid w:val="00525AE1"/>
    <w:rsid w:val="00525E98"/>
    <w:rsid w:val="00525FD5"/>
    <w:rsid w:val="005261F1"/>
    <w:rsid w:val="00526ADD"/>
    <w:rsid w:val="00526BD0"/>
    <w:rsid w:val="00527127"/>
    <w:rsid w:val="005278CC"/>
    <w:rsid w:val="005278F4"/>
    <w:rsid w:val="005305D1"/>
    <w:rsid w:val="00531471"/>
    <w:rsid w:val="00531ABE"/>
    <w:rsid w:val="00531DA4"/>
    <w:rsid w:val="00531EF1"/>
    <w:rsid w:val="00532474"/>
    <w:rsid w:val="00532612"/>
    <w:rsid w:val="005332AA"/>
    <w:rsid w:val="005332F4"/>
    <w:rsid w:val="005337C6"/>
    <w:rsid w:val="00533B7A"/>
    <w:rsid w:val="0053542D"/>
    <w:rsid w:val="00535B26"/>
    <w:rsid w:val="0053642A"/>
    <w:rsid w:val="0053645C"/>
    <w:rsid w:val="00536B25"/>
    <w:rsid w:val="00537E3C"/>
    <w:rsid w:val="00540C81"/>
    <w:rsid w:val="00541973"/>
    <w:rsid w:val="00541DC1"/>
    <w:rsid w:val="00542FFE"/>
    <w:rsid w:val="005435EA"/>
    <w:rsid w:val="00543A9C"/>
    <w:rsid w:val="00543FBA"/>
    <w:rsid w:val="00544029"/>
    <w:rsid w:val="00544286"/>
    <w:rsid w:val="00544AF0"/>
    <w:rsid w:val="00545186"/>
    <w:rsid w:val="005454B2"/>
    <w:rsid w:val="0054614A"/>
    <w:rsid w:val="00546977"/>
    <w:rsid w:val="00550274"/>
    <w:rsid w:val="00550490"/>
    <w:rsid w:val="00550A0E"/>
    <w:rsid w:val="00550FF7"/>
    <w:rsid w:val="00551B19"/>
    <w:rsid w:val="0055204A"/>
    <w:rsid w:val="005521DC"/>
    <w:rsid w:val="005524DB"/>
    <w:rsid w:val="005529B9"/>
    <w:rsid w:val="00552A25"/>
    <w:rsid w:val="00553070"/>
    <w:rsid w:val="00553A0E"/>
    <w:rsid w:val="0055444A"/>
    <w:rsid w:val="00554991"/>
    <w:rsid w:val="00555000"/>
    <w:rsid w:val="00555272"/>
    <w:rsid w:val="00555335"/>
    <w:rsid w:val="005553B2"/>
    <w:rsid w:val="0055584F"/>
    <w:rsid w:val="005563F9"/>
    <w:rsid w:val="00556434"/>
    <w:rsid w:val="005567BE"/>
    <w:rsid w:val="00556AF8"/>
    <w:rsid w:val="005572EA"/>
    <w:rsid w:val="00557347"/>
    <w:rsid w:val="00557E38"/>
    <w:rsid w:val="005608A5"/>
    <w:rsid w:val="00561BD7"/>
    <w:rsid w:val="00561E14"/>
    <w:rsid w:val="00562047"/>
    <w:rsid w:val="00563112"/>
    <w:rsid w:val="005631D3"/>
    <w:rsid w:val="0056321C"/>
    <w:rsid w:val="0056330E"/>
    <w:rsid w:val="005641EF"/>
    <w:rsid w:val="00565D56"/>
    <w:rsid w:val="005664B7"/>
    <w:rsid w:val="00566AA3"/>
    <w:rsid w:val="00567015"/>
    <w:rsid w:val="00567794"/>
    <w:rsid w:val="00570622"/>
    <w:rsid w:val="005707E4"/>
    <w:rsid w:val="005707F6"/>
    <w:rsid w:val="00570AB0"/>
    <w:rsid w:val="00570F8D"/>
    <w:rsid w:val="00571373"/>
    <w:rsid w:val="0057181D"/>
    <w:rsid w:val="00572019"/>
    <w:rsid w:val="00572147"/>
    <w:rsid w:val="005721D9"/>
    <w:rsid w:val="005723AC"/>
    <w:rsid w:val="005725E4"/>
    <w:rsid w:val="00572618"/>
    <w:rsid w:val="00573959"/>
    <w:rsid w:val="00573C2C"/>
    <w:rsid w:val="005740A9"/>
    <w:rsid w:val="005740E0"/>
    <w:rsid w:val="005747F1"/>
    <w:rsid w:val="00574C1F"/>
    <w:rsid w:val="00574CD8"/>
    <w:rsid w:val="00575CB6"/>
    <w:rsid w:val="00575E48"/>
    <w:rsid w:val="00576578"/>
    <w:rsid w:val="00576D59"/>
    <w:rsid w:val="005770BE"/>
    <w:rsid w:val="0057748B"/>
    <w:rsid w:val="00577958"/>
    <w:rsid w:val="00577FA9"/>
    <w:rsid w:val="00580131"/>
    <w:rsid w:val="00580491"/>
    <w:rsid w:val="00580D9C"/>
    <w:rsid w:val="00581AE1"/>
    <w:rsid w:val="00582248"/>
    <w:rsid w:val="0058240B"/>
    <w:rsid w:val="00582C48"/>
    <w:rsid w:val="00582C73"/>
    <w:rsid w:val="005833B0"/>
    <w:rsid w:val="00583E5D"/>
    <w:rsid w:val="005840D2"/>
    <w:rsid w:val="005855B4"/>
    <w:rsid w:val="0058577B"/>
    <w:rsid w:val="00585C38"/>
    <w:rsid w:val="005860FB"/>
    <w:rsid w:val="00586A17"/>
    <w:rsid w:val="00586C88"/>
    <w:rsid w:val="0058734F"/>
    <w:rsid w:val="00587357"/>
    <w:rsid w:val="005876E6"/>
    <w:rsid w:val="00587705"/>
    <w:rsid w:val="00587C4F"/>
    <w:rsid w:val="00591E5A"/>
    <w:rsid w:val="00592717"/>
    <w:rsid w:val="00592899"/>
    <w:rsid w:val="00592A58"/>
    <w:rsid w:val="005931BD"/>
    <w:rsid w:val="0059346F"/>
    <w:rsid w:val="00593499"/>
    <w:rsid w:val="00593D5B"/>
    <w:rsid w:val="00594D44"/>
    <w:rsid w:val="00594DCD"/>
    <w:rsid w:val="00595644"/>
    <w:rsid w:val="00595674"/>
    <w:rsid w:val="005957DB"/>
    <w:rsid w:val="005958C3"/>
    <w:rsid w:val="0059604C"/>
    <w:rsid w:val="005969EE"/>
    <w:rsid w:val="00596A28"/>
    <w:rsid w:val="00596FB1"/>
    <w:rsid w:val="00597A70"/>
    <w:rsid w:val="00597BD7"/>
    <w:rsid w:val="00597D28"/>
    <w:rsid w:val="00597DF7"/>
    <w:rsid w:val="005A036C"/>
    <w:rsid w:val="005A0EF8"/>
    <w:rsid w:val="005A113D"/>
    <w:rsid w:val="005A130E"/>
    <w:rsid w:val="005A150F"/>
    <w:rsid w:val="005A1926"/>
    <w:rsid w:val="005A287D"/>
    <w:rsid w:val="005A2B65"/>
    <w:rsid w:val="005A2C4A"/>
    <w:rsid w:val="005A2DBF"/>
    <w:rsid w:val="005A2F7D"/>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6CC"/>
    <w:rsid w:val="005B6B7A"/>
    <w:rsid w:val="005B6C1E"/>
    <w:rsid w:val="005B6DA3"/>
    <w:rsid w:val="005B6FEC"/>
    <w:rsid w:val="005B7A95"/>
    <w:rsid w:val="005C08E1"/>
    <w:rsid w:val="005C0C9E"/>
    <w:rsid w:val="005C1138"/>
    <w:rsid w:val="005C1C3A"/>
    <w:rsid w:val="005C1EE7"/>
    <w:rsid w:val="005C2386"/>
    <w:rsid w:val="005C246D"/>
    <w:rsid w:val="005C2760"/>
    <w:rsid w:val="005C3426"/>
    <w:rsid w:val="005C3A33"/>
    <w:rsid w:val="005C3B1A"/>
    <w:rsid w:val="005C3B58"/>
    <w:rsid w:val="005C41D1"/>
    <w:rsid w:val="005C438C"/>
    <w:rsid w:val="005C44B7"/>
    <w:rsid w:val="005C4B94"/>
    <w:rsid w:val="005C4CBB"/>
    <w:rsid w:val="005C5797"/>
    <w:rsid w:val="005C5E03"/>
    <w:rsid w:val="005C64A3"/>
    <w:rsid w:val="005C72F1"/>
    <w:rsid w:val="005D05A7"/>
    <w:rsid w:val="005D133F"/>
    <w:rsid w:val="005D1745"/>
    <w:rsid w:val="005D1965"/>
    <w:rsid w:val="005D1A6A"/>
    <w:rsid w:val="005D1C56"/>
    <w:rsid w:val="005D1CE4"/>
    <w:rsid w:val="005D28F3"/>
    <w:rsid w:val="005D42AA"/>
    <w:rsid w:val="005D4632"/>
    <w:rsid w:val="005D4D81"/>
    <w:rsid w:val="005D4F4C"/>
    <w:rsid w:val="005D5863"/>
    <w:rsid w:val="005D5C90"/>
    <w:rsid w:val="005D6A60"/>
    <w:rsid w:val="005D709B"/>
    <w:rsid w:val="005D7F3A"/>
    <w:rsid w:val="005E037F"/>
    <w:rsid w:val="005E0655"/>
    <w:rsid w:val="005E0AD4"/>
    <w:rsid w:val="005E0CE2"/>
    <w:rsid w:val="005E10ED"/>
    <w:rsid w:val="005E11A9"/>
    <w:rsid w:val="005E2231"/>
    <w:rsid w:val="005E258A"/>
    <w:rsid w:val="005E25F0"/>
    <w:rsid w:val="005E28AF"/>
    <w:rsid w:val="005E2DEC"/>
    <w:rsid w:val="005E31FE"/>
    <w:rsid w:val="005E3270"/>
    <w:rsid w:val="005E47A8"/>
    <w:rsid w:val="005E4818"/>
    <w:rsid w:val="005E49CB"/>
    <w:rsid w:val="005E522B"/>
    <w:rsid w:val="005E52CE"/>
    <w:rsid w:val="005E58A5"/>
    <w:rsid w:val="005E5BD3"/>
    <w:rsid w:val="005E5DAA"/>
    <w:rsid w:val="005E5ED7"/>
    <w:rsid w:val="005E712C"/>
    <w:rsid w:val="005E7136"/>
    <w:rsid w:val="005E7E9B"/>
    <w:rsid w:val="005E7FFC"/>
    <w:rsid w:val="005F1ACA"/>
    <w:rsid w:val="005F28AE"/>
    <w:rsid w:val="005F2928"/>
    <w:rsid w:val="005F2E6A"/>
    <w:rsid w:val="005F3D2D"/>
    <w:rsid w:val="005F468C"/>
    <w:rsid w:val="005F49D2"/>
    <w:rsid w:val="005F4F66"/>
    <w:rsid w:val="005F56EC"/>
    <w:rsid w:val="005F69D8"/>
    <w:rsid w:val="005F6BA3"/>
    <w:rsid w:val="005F6E7E"/>
    <w:rsid w:val="005F737A"/>
    <w:rsid w:val="005F788F"/>
    <w:rsid w:val="005F78DF"/>
    <w:rsid w:val="005F7AF5"/>
    <w:rsid w:val="00600134"/>
    <w:rsid w:val="00600515"/>
    <w:rsid w:val="006017A9"/>
    <w:rsid w:val="00601D81"/>
    <w:rsid w:val="006029A8"/>
    <w:rsid w:val="0060307B"/>
    <w:rsid w:val="0060310A"/>
    <w:rsid w:val="006036F0"/>
    <w:rsid w:val="00603B52"/>
    <w:rsid w:val="00604383"/>
    <w:rsid w:val="006045A4"/>
    <w:rsid w:val="00604C51"/>
    <w:rsid w:val="00604F09"/>
    <w:rsid w:val="006052EB"/>
    <w:rsid w:val="00605834"/>
    <w:rsid w:val="00605BA2"/>
    <w:rsid w:val="00605C8B"/>
    <w:rsid w:val="00605CB2"/>
    <w:rsid w:val="00606041"/>
    <w:rsid w:val="00606167"/>
    <w:rsid w:val="006067E0"/>
    <w:rsid w:val="006074E0"/>
    <w:rsid w:val="0060760A"/>
    <w:rsid w:val="00610356"/>
    <w:rsid w:val="00610CA6"/>
    <w:rsid w:val="00610FD2"/>
    <w:rsid w:val="00611601"/>
    <w:rsid w:val="006121CB"/>
    <w:rsid w:val="00612C7E"/>
    <w:rsid w:val="00612FDF"/>
    <w:rsid w:val="00613066"/>
    <w:rsid w:val="006134ED"/>
    <w:rsid w:val="006147EB"/>
    <w:rsid w:val="00614A4D"/>
    <w:rsid w:val="006152A0"/>
    <w:rsid w:val="00615DF6"/>
    <w:rsid w:val="00615E0B"/>
    <w:rsid w:val="00615F94"/>
    <w:rsid w:val="00616076"/>
    <w:rsid w:val="006160C5"/>
    <w:rsid w:val="00616EE9"/>
    <w:rsid w:val="00616FFB"/>
    <w:rsid w:val="0061755D"/>
    <w:rsid w:val="00617E13"/>
    <w:rsid w:val="00620134"/>
    <w:rsid w:val="00620E5E"/>
    <w:rsid w:val="00621C64"/>
    <w:rsid w:val="00621C94"/>
    <w:rsid w:val="00621E6F"/>
    <w:rsid w:val="00621F36"/>
    <w:rsid w:val="0062211B"/>
    <w:rsid w:val="0062219C"/>
    <w:rsid w:val="00622A41"/>
    <w:rsid w:val="00623B37"/>
    <w:rsid w:val="006242CA"/>
    <w:rsid w:val="006243AF"/>
    <w:rsid w:val="00624BDC"/>
    <w:rsid w:val="00625657"/>
    <w:rsid w:val="006260E2"/>
    <w:rsid w:val="00626251"/>
    <w:rsid w:val="00626C63"/>
    <w:rsid w:val="00627019"/>
    <w:rsid w:val="0062741D"/>
    <w:rsid w:val="006276E0"/>
    <w:rsid w:val="00627990"/>
    <w:rsid w:val="00627D7B"/>
    <w:rsid w:val="00630B72"/>
    <w:rsid w:val="00630DAE"/>
    <w:rsid w:val="00631135"/>
    <w:rsid w:val="0063163A"/>
    <w:rsid w:val="00631742"/>
    <w:rsid w:val="00631F8B"/>
    <w:rsid w:val="006320BB"/>
    <w:rsid w:val="006321F1"/>
    <w:rsid w:val="00632B30"/>
    <w:rsid w:val="00632E8C"/>
    <w:rsid w:val="006336E6"/>
    <w:rsid w:val="0063374C"/>
    <w:rsid w:val="00633B98"/>
    <w:rsid w:val="00633F86"/>
    <w:rsid w:val="0063513C"/>
    <w:rsid w:val="006352DF"/>
    <w:rsid w:val="006360D4"/>
    <w:rsid w:val="0063769C"/>
    <w:rsid w:val="00637C85"/>
    <w:rsid w:val="00637F1D"/>
    <w:rsid w:val="006402B3"/>
    <w:rsid w:val="00640A05"/>
    <w:rsid w:val="00641E26"/>
    <w:rsid w:val="00642186"/>
    <w:rsid w:val="00642CB7"/>
    <w:rsid w:val="00643C78"/>
    <w:rsid w:val="006442A5"/>
    <w:rsid w:val="0064451D"/>
    <w:rsid w:val="00644BFE"/>
    <w:rsid w:val="006451F8"/>
    <w:rsid w:val="0064533B"/>
    <w:rsid w:val="006465BD"/>
    <w:rsid w:val="00647439"/>
    <w:rsid w:val="006474B6"/>
    <w:rsid w:val="006508F5"/>
    <w:rsid w:val="00650DA4"/>
    <w:rsid w:val="006511BD"/>
    <w:rsid w:val="00651F8E"/>
    <w:rsid w:val="0065299A"/>
    <w:rsid w:val="0065323B"/>
    <w:rsid w:val="0065364E"/>
    <w:rsid w:val="00655A93"/>
    <w:rsid w:val="00656EDF"/>
    <w:rsid w:val="00657300"/>
    <w:rsid w:val="00657387"/>
    <w:rsid w:val="00657C7D"/>
    <w:rsid w:val="00660A59"/>
    <w:rsid w:val="006610CB"/>
    <w:rsid w:val="0066133E"/>
    <w:rsid w:val="00662126"/>
    <w:rsid w:val="00662137"/>
    <w:rsid w:val="006635E2"/>
    <w:rsid w:val="00663C1C"/>
    <w:rsid w:val="00664056"/>
    <w:rsid w:val="006640B4"/>
    <w:rsid w:val="006644F5"/>
    <w:rsid w:val="00665760"/>
    <w:rsid w:val="00665ECF"/>
    <w:rsid w:val="006661E5"/>
    <w:rsid w:val="0066699E"/>
    <w:rsid w:val="006670A2"/>
    <w:rsid w:val="00667172"/>
    <w:rsid w:val="00667512"/>
    <w:rsid w:val="00667734"/>
    <w:rsid w:val="00667CC0"/>
    <w:rsid w:val="00670DEF"/>
    <w:rsid w:val="00670ECB"/>
    <w:rsid w:val="00670F8B"/>
    <w:rsid w:val="00672375"/>
    <w:rsid w:val="0067252B"/>
    <w:rsid w:val="00672CAE"/>
    <w:rsid w:val="0067302B"/>
    <w:rsid w:val="006732D2"/>
    <w:rsid w:val="00673750"/>
    <w:rsid w:val="00673A0C"/>
    <w:rsid w:val="0067431C"/>
    <w:rsid w:val="006746E8"/>
    <w:rsid w:val="0067537B"/>
    <w:rsid w:val="00675C25"/>
    <w:rsid w:val="00676372"/>
    <w:rsid w:val="0067675E"/>
    <w:rsid w:val="00676940"/>
    <w:rsid w:val="00677530"/>
    <w:rsid w:val="00680464"/>
    <w:rsid w:val="006807E4"/>
    <w:rsid w:val="00680C2B"/>
    <w:rsid w:val="00680DBF"/>
    <w:rsid w:val="00680EBD"/>
    <w:rsid w:val="00681150"/>
    <w:rsid w:val="00681934"/>
    <w:rsid w:val="0068237C"/>
    <w:rsid w:val="0068238E"/>
    <w:rsid w:val="00682644"/>
    <w:rsid w:val="00682889"/>
    <w:rsid w:val="006839EE"/>
    <w:rsid w:val="00683AA4"/>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CDE"/>
    <w:rsid w:val="00692D6C"/>
    <w:rsid w:val="00692F3A"/>
    <w:rsid w:val="00693AA9"/>
    <w:rsid w:val="00693CFD"/>
    <w:rsid w:val="00693F64"/>
    <w:rsid w:val="0069466F"/>
    <w:rsid w:val="00694679"/>
    <w:rsid w:val="00694EAD"/>
    <w:rsid w:val="006953EE"/>
    <w:rsid w:val="0069546E"/>
    <w:rsid w:val="00695B76"/>
    <w:rsid w:val="00695FF6"/>
    <w:rsid w:val="006960C9"/>
    <w:rsid w:val="00696A5E"/>
    <w:rsid w:val="00696AAC"/>
    <w:rsid w:val="00696B01"/>
    <w:rsid w:val="00696FE1"/>
    <w:rsid w:val="006977A9"/>
    <w:rsid w:val="00697B22"/>
    <w:rsid w:val="00697D25"/>
    <w:rsid w:val="006A0BBB"/>
    <w:rsid w:val="006A24EB"/>
    <w:rsid w:val="006A2A2E"/>
    <w:rsid w:val="006A2DD7"/>
    <w:rsid w:val="006A2EA9"/>
    <w:rsid w:val="006A3031"/>
    <w:rsid w:val="006A36BF"/>
    <w:rsid w:val="006A3FEB"/>
    <w:rsid w:val="006A4128"/>
    <w:rsid w:val="006A4AB4"/>
    <w:rsid w:val="006A500B"/>
    <w:rsid w:val="006A5485"/>
    <w:rsid w:val="006A5E4F"/>
    <w:rsid w:val="006A6147"/>
    <w:rsid w:val="006A62AA"/>
    <w:rsid w:val="006A690C"/>
    <w:rsid w:val="006A7FDF"/>
    <w:rsid w:val="006B01D4"/>
    <w:rsid w:val="006B0635"/>
    <w:rsid w:val="006B0754"/>
    <w:rsid w:val="006B09EE"/>
    <w:rsid w:val="006B0B4B"/>
    <w:rsid w:val="006B0E5C"/>
    <w:rsid w:val="006B144C"/>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D5"/>
    <w:rsid w:val="006C1C2D"/>
    <w:rsid w:val="006C2EA7"/>
    <w:rsid w:val="006C30FB"/>
    <w:rsid w:val="006C32B8"/>
    <w:rsid w:val="006C33BD"/>
    <w:rsid w:val="006C4B4E"/>
    <w:rsid w:val="006C4C35"/>
    <w:rsid w:val="006C5110"/>
    <w:rsid w:val="006C52B6"/>
    <w:rsid w:val="006C5717"/>
    <w:rsid w:val="006C57B5"/>
    <w:rsid w:val="006C5B55"/>
    <w:rsid w:val="006C5BEC"/>
    <w:rsid w:val="006C6D51"/>
    <w:rsid w:val="006C6DF1"/>
    <w:rsid w:val="006C756D"/>
    <w:rsid w:val="006C76F7"/>
    <w:rsid w:val="006C7811"/>
    <w:rsid w:val="006C7B21"/>
    <w:rsid w:val="006D06E6"/>
    <w:rsid w:val="006D0700"/>
    <w:rsid w:val="006D08D6"/>
    <w:rsid w:val="006D0D49"/>
    <w:rsid w:val="006D0DD1"/>
    <w:rsid w:val="006D0E3C"/>
    <w:rsid w:val="006D10CB"/>
    <w:rsid w:val="006D136D"/>
    <w:rsid w:val="006D1429"/>
    <w:rsid w:val="006D19BF"/>
    <w:rsid w:val="006D22A3"/>
    <w:rsid w:val="006D2350"/>
    <w:rsid w:val="006D238F"/>
    <w:rsid w:val="006D27A2"/>
    <w:rsid w:val="006D2AEA"/>
    <w:rsid w:val="006D3DF9"/>
    <w:rsid w:val="006D435D"/>
    <w:rsid w:val="006D50CC"/>
    <w:rsid w:val="006D5103"/>
    <w:rsid w:val="006D525F"/>
    <w:rsid w:val="006D6326"/>
    <w:rsid w:val="006D64C5"/>
    <w:rsid w:val="006D7208"/>
    <w:rsid w:val="006D7555"/>
    <w:rsid w:val="006D76B4"/>
    <w:rsid w:val="006D77EB"/>
    <w:rsid w:val="006D7864"/>
    <w:rsid w:val="006E00EC"/>
    <w:rsid w:val="006E017F"/>
    <w:rsid w:val="006E0473"/>
    <w:rsid w:val="006E198B"/>
    <w:rsid w:val="006E26E8"/>
    <w:rsid w:val="006E36E0"/>
    <w:rsid w:val="006E3D6E"/>
    <w:rsid w:val="006E427F"/>
    <w:rsid w:val="006E46F3"/>
    <w:rsid w:val="006E47CF"/>
    <w:rsid w:val="006E4ECB"/>
    <w:rsid w:val="006E5722"/>
    <w:rsid w:val="006E5754"/>
    <w:rsid w:val="006E5859"/>
    <w:rsid w:val="006E5C32"/>
    <w:rsid w:val="006E6607"/>
    <w:rsid w:val="006E6687"/>
    <w:rsid w:val="006E6913"/>
    <w:rsid w:val="006E6F86"/>
    <w:rsid w:val="006E7920"/>
    <w:rsid w:val="006F0B89"/>
    <w:rsid w:val="006F12DE"/>
    <w:rsid w:val="006F13F3"/>
    <w:rsid w:val="006F1C49"/>
    <w:rsid w:val="006F1E10"/>
    <w:rsid w:val="006F1EF4"/>
    <w:rsid w:val="006F2024"/>
    <w:rsid w:val="006F243D"/>
    <w:rsid w:val="006F2543"/>
    <w:rsid w:val="006F3346"/>
    <w:rsid w:val="006F3735"/>
    <w:rsid w:val="006F37A6"/>
    <w:rsid w:val="006F3ECA"/>
    <w:rsid w:val="006F46AE"/>
    <w:rsid w:val="006F4FE1"/>
    <w:rsid w:val="006F5562"/>
    <w:rsid w:val="006F5914"/>
    <w:rsid w:val="006F59B2"/>
    <w:rsid w:val="006F66DA"/>
    <w:rsid w:val="006F6EB5"/>
    <w:rsid w:val="006F6FBA"/>
    <w:rsid w:val="006F6FD5"/>
    <w:rsid w:val="006F7AB0"/>
    <w:rsid w:val="00700215"/>
    <w:rsid w:val="007006E9"/>
    <w:rsid w:val="00700C57"/>
    <w:rsid w:val="00700C6E"/>
    <w:rsid w:val="00701010"/>
    <w:rsid w:val="007015A1"/>
    <w:rsid w:val="007016A3"/>
    <w:rsid w:val="00702195"/>
    <w:rsid w:val="007021D2"/>
    <w:rsid w:val="0070360E"/>
    <w:rsid w:val="00703641"/>
    <w:rsid w:val="00704B00"/>
    <w:rsid w:val="00704B77"/>
    <w:rsid w:val="00705AE5"/>
    <w:rsid w:val="007060D0"/>
    <w:rsid w:val="00706706"/>
    <w:rsid w:val="00707431"/>
    <w:rsid w:val="007103CE"/>
    <w:rsid w:val="0071059E"/>
    <w:rsid w:val="00710DF8"/>
    <w:rsid w:val="007114B7"/>
    <w:rsid w:val="00711D96"/>
    <w:rsid w:val="00711EAB"/>
    <w:rsid w:val="007120E7"/>
    <w:rsid w:val="00712B70"/>
    <w:rsid w:val="00712F62"/>
    <w:rsid w:val="00713971"/>
    <w:rsid w:val="007139C8"/>
    <w:rsid w:val="00713A85"/>
    <w:rsid w:val="00713AEC"/>
    <w:rsid w:val="00714C0E"/>
    <w:rsid w:val="00715445"/>
    <w:rsid w:val="00715DBC"/>
    <w:rsid w:val="00715F08"/>
    <w:rsid w:val="00715FEA"/>
    <w:rsid w:val="007162E3"/>
    <w:rsid w:val="00716BED"/>
    <w:rsid w:val="00717A27"/>
    <w:rsid w:val="00717C53"/>
    <w:rsid w:val="00717CDB"/>
    <w:rsid w:val="00720010"/>
    <w:rsid w:val="00720A71"/>
    <w:rsid w:val="00720DEB"/>
    <w:rsid w:val="00721B07"/>
    <w:rsid w:val="00721B69"/>
    <w:rsid w:val="0072251F"/>
    <w:rsid w:val="00722782"/>
    <w:rsid w:val="00722EC4"/>
    <w:rsid w:val="0072380F"/>
    <w:rsid w:val="00723C76"/>
    <w:rsid w:val="007255F2"/>
    <w:rsid w:val="00725CEB"/>
    <w:rsid w:val="0072649E"/>
    <w:rsid w:val="0072660B"/>
    <w:rsid w:val="00726622"/>
    <w:rsid w:val="00726B4E"/>
    <w:rsid w:val="00726E37"/>
    <w:rsid w:val="00726F80"/>
    <w:rsid w:val="00727F2C"/>
    <w:rsid w:val="0073010D"/>
    <w:rsid w:val="0073086B"/>
    <w:rsid w:val="00730A30"/>
    <w:rsid w:val="00730AD1"/>
    <w:rsid w:val="00730CC0"/>
    <w:rsid w:val="00731E92"/>
    <w:rsid w:val="00731EF2"/>
    <w:rsid w:val="00732629"/>
    <w:rsid w:val="00732926"/>
    <w:rsid w:val="00733694"/>
    <w:rsid w:val="007339C7"/>
    <w:rsid w:val="00733DE6"/>
    <w:rsid w:val="00733EC3"/>
    <w:rsid w:val="00733EE3"/>
    <w:rsid w:val="007350D9"/>
    <w:rsid w:val="007352C9"/>
    <w:rsid w:val="0073567B"/>
    <w:rsid w:val="007357AD"/>
    <w:rsid w:val="0073639D"/>
    <w:rsid w:val="00736F51"/>
    <w:rsid w:val="0073736E"/>
    <w:rsid w:val="00737A19"/>
    <w:rsid w:val="00740249"/>
    <w:rsid w:val="00740452"/>
    <w:rsid w:val="00740A2C"/>
    <w:rsid w:val="0074100E"/>
    <w:rsid w:val="0074176D"/>
    <w:rsid w:val="00743DE5"/>
    <w:rsid w:val="00744408"/>
    <w:rsid w:val="007447FD"/>
    <w:rsid w:val="00744C75"/>
    <w:rsid w:val="00745204"/>
    <w:rsid w:val="0074595F"/>
    <w:rsid w:val="007464AE"/>
    <w:rsid w:val="007468C1"/>
    <w:rsid w:val="00746E01"/>
    <w:rsid w:val="00746F35"/>
    <w:rsid w:val="007471AA"/>
    <w:rsid w:val="00747268"/>
    <w:rsid w:val="007475F6"/>
    <w:rsid w:val="007477FA"/>
    <w:rsid w:val="00747D69"/>
    <w:rsid w:val="00747FAC"/>
    <w:rsid w:val="0075089C"/>
    <w:rsid w:val="00750E0A"/>
    <w:rsid w:val="0075135A"/>
    <w:rsid w:val="00751531"/>
    <w:rsid w:val="00751AA6"/>
    <w:rsid w:val="00751F5C"/>
    <w:rsid w:val="007531D3"/>
    <w:rsid w:val="007534C5"/>
    <w:rsid w:val="00753BDA"/>
    <w:rsid w:val="00753CF2"/>
    <w:rsid w:val="00754587"/>
    <w:rsid w:val="00755673"/>
    <w:rsid w:val="00755964"/>
    <w:rsid w:val="00755B55"/>
    <w:rsid w:val="00755CF2"/>
    <w:rsid w:val="00756857"/>
    <w:rsid w:val="00756C72"/>
    <w:rsid w:val="007571FB"/>
    <w:rsid w:val="00757889"/>
    <w:rsid w:val="00760706"/>
    <w:rsid w:val="0076134B"/>
    <w:rsid w:val="007613FE"/>
    <w:rsid w:val="00761B30"/>
    <w:rsid w:val="007628BF"/>
    <w:rsid w:val="00762E2C"/>
    <w:rsid w:val="00762F85"/>
    <w:rsid w:val="00763175"/>
    <w:rsid w:val="0076337C"/>
    <w:rsid w:val="00765AED"/>
    <w:rsid w:val="00765D75"/>
    <w:rsid w:val="00766590"/>
    <w:rsid w:val="007667B3"/>
    <w:rsid w:val="007668A3"/>
    <w:rsid w:val="00766F57"/>
    <w:rsid w:val="00767C10"/>
    <w:rsid w:val="00767E7F"/>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803F3"/>
    <w:rsid w:val="007806E0"/>
    <w:rsid w:val="00780C68"/>
    <w:rsid w:val="00780F3E"/>
    <w:rsid w:val="00780F9E"/>
    <w:rsid w:val="00781822"/>
    <w:rsid w:val="007820BE"/>
    <w:rsid w:val="00782139"/>
    <w:rsid w:val="007823AC"/>
    <w:rsid w:val="0078282B"/>
    <w:rsid w:val="00782A9A"/>
    <w:rsid w:val="00782AD3"/>
    <w:rsid w:val="00782CD2"/>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F49"/>
    <w:rsid w:val="007978D5"/>
    <w:rsid w:val="007A1007"/>
    <w:rsid w:val="007A13F8"/>
    <w:rsid w:val="007A16FE"/>
    <w:rsid w:val="007A1F5C"/>
    <w:rsid w:val="007A2763"/>
    <w:rsid w:val="007A3260"/>
    <w:rsid w:val="007A3422"/>
    <w:rsid w:val="007A3CA4"/>
    <w:rsid w:val="007A3E31"/>
    <w:rsid w:val="007A422B"/>
    <w:rsid w:val="007A4859"/>
    <w:rsid w:val="007A522A"/>
    <w:rsid w:val="007A5C5B"/>
    <w:rsid w:val="007A6906"/>
    <w:rsid w:val="007A71C3"/>
    <w:rsid w:val="007A7759"/>
    <w:rsid w:val="007A7A71"/>
    <w:rsid w:val="007B0244"/>
    <w:rsid w:val="007B061E"/>
    <w:rsid w:val="007B07E0"/>
    <w:rsid w:val="007B0C5C"/>
    <w:rsid w:val="007B0D2D"/>
    <w:rsid w:val="007B1064"/>
    <w:rsid w:val="007B1A49"/>
    <w:rsid w:val="007B2208"/>
    <w:rsid w:val="007B2ABA"/>
    <w:rsid w:val="007B3010"/>
    <w:rsid w:val="007B3A2A"/>
    <w:rsid w:val="007B4271"/>
    <w:rsid w:val="007B432A"/>
    <w:rsid w:val="007B48B1"/>
    <w:rsid w:val="007B4905"/>
    <w:rsid w:val="007B498C"/>
    <w:rsid w:val="007B514D"/>
    <w:rsid w:val="007B52F1"/>
    <w:rsid w:val="007B57C7"/>
    <w:rsid w:val="007B584A"/>
    <w:rsid w:val="007B5CAC"/>
    <w:rsid w:val="007B5EDA"/>
    <w:rsid w:val="007B6F53"/>
    <w:rsid w:val="007C05D9"/>
    <w:rsid w:val="007C1609"/>
    <w:rsid w:val="007C1F24"/>
    <w:rsid w:val="007C206A"/>
    <w:rsid w:val="007C2AAA"/>
    <w:rsid w:val="007C2CAB"/>
    <w:rsid w:val="007C2F07"/>
    <w:rsid w:val="007C2F46"/>
    <w:rsid w:val="007C319F"/>
    <w:rsid w:val="007C44EB"/>
    <w:rsid w:val="007C5545"/>
    <w:rsid w:val="007C59F7"/>
    <w:rsid w:val="007C64EF"/>
    <w:rsid w:val="007C68ED"/>
    <w:rsid w:val="007C712C"/>
    <w:rsid w:val="007D0594"/>
    <w:rsid w:val="007D06AC"/>
    <w:rsid w:val="007D11BB"/>
    <w:rsid w:val="007D1346"/>
    <w:rsid w:val="007D1393"/>
    <w:rsid w:val="007D206F"/>
    <w:rsid w:val="007D22F7"/>
    <w:rsid w:val="007D2A66"/>
    <w:rsid w:val="007D35B0"/>
    <w:rsid w:val="007D431F"/>
    <w:rsid w:val="007D4E6C"/>
    <w:rsid w:val="007D52CF"/>
    <w:rsid w:val="007D537B"/>
    <w:rsid w:val="007D539F"/>
    <w:rsid w:val="007D5420"/>
    <w:rsid w:val="007D588C"/>
    <w:rsid w:val="007E0021"/>
    <w:rsid w:val="007E008C"/>
    <w:rsid w:val="007E1053"/>
    <w:rsid w:val="007E1C18"/>
    <w:rsid w:val="007E1C6F"/>
    <w:rsid w:val="007E1F5C"/>
    <w:rsid w:val="007E2FA0"/>
    <w:rsid w:val="007E3585"/>
    <w:rsid w:val="007E3CC2"/>
    <w:rsid w:val="007E4385"/>
    <w:rsid w:val="007E47DD"/>
    <w:rsid w:val="007E4C4E"/>
    <w:rsid w:val="007E609A"/>
    <w:rsid w:val="007E6831"/>
    <w:rsid w:val="007E6B10"/>
    <w:rsid w:val="007E6DBE"/>
    <w:rsid w:val="007F0433"/>
    <w:rsid w:val="007F0600"/>
    <w:rsid w:val="007F06DB"/>
    <w:rsid w:val="007F06EA"/>
    <w:rsid w:val="007F11C5"/>
    <w:rsid w:val="007F13D4"/>
    <w:rsid w:val="007F14ED"/>
    <w:rsid w:val="007F1E60"/>
    <w:rsid w:val="007F28D4"/>
    <w:rsid w:val="007F2B44"/>
    <w:rsid w:val="007F32D3"/>
    <w:rsid w:val="007F3691"/>
    <w:rsid w:val="007F4DF3"/>
    <w:rsid w:val="007F571F"/>
    <w:rsid w:val="007F5AFD"/>
    <w:rsid w:val="007F61CA"/>
    <w:rsid w:val="007F6353"/>
    <w:rsid w:val="007F6485"/>
    <w:rsid w:val="007F6EAE"/>
    <w:rsid w:val="007F750E"/>
    <w:rsid w:val="007F78C7"/>
    <w:rsid w:val="008018A8"/>
    <w:rsid w:val="00801AA6"/>
    <w:rsid w:val="00801DD2"/>
    <w:rsid w:val="008024A9"/>
    <w:rsid w:val="00802BA7"/>
    <w:rsid w:val="00802E63"/>
    <w:rsid w:val="008031FE"/>
    <w:rsid w:val="00803987"/>
    <w:rsid w:val="0080471A"/>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DB9"/>
    <w:rsid w:val="008132B5"/>
    <w:rsid w:val="008133F5"/>
    <w:rsid w:val="0081414C"/>
    <w:rsid w:val="00814297"/>
    <w:rsid w:val="0081460E"/>
    <w:rsid w:val="008148C3"/>
    <w:rsid w:val="00814DAF"/>
    <w:rsid w:val="00815959"/>
    <w:rsid w:val="00815C8B"/>
    <w:rsid w:val="00815F8E"/>
    <w:rsid w:val="00816321"/>
    <w:rsid w:val="00816D8C"/>
    <w:rsid w:val="00817274"/>
    <w:rsid w:val="00820167"/>
    <w:rsid w:val="00820CE1"/>
    <w:rsid w:val="00820F26"/>
    <w:rsid w:val="0082217C"/>
    <w:rsid w:val="00822898"/>
    <w:rsid w:val="0082389C"/>
    <w:rsid w:val="00824032"/>
    <w:rsid w:val="0082432F"/>
    <w:rsid w:val="008246F7"/>
    <w:rsid w:val="008248FB"/>
    <w:rsid w:val="0082490F"/>
    <w:rsid w:val="0082495A"/>
    <w:rsid w:val="008266BE"/>
    <w:rsid w:val="008269B8"/>
    <w:rsid w:val="0082720F"/>
    <w:rsid w:val="00827452"/>
    <w:rsid w:val="0082789D"/>
    <w:rsid w:val="00827975"/>
    <w:rsid w:val="008301BF"/>
    <w:rsid w:val="008304BF"/>
    <w:rsid w:val="00830D40"/>
    <w:rsid w:val="00830EF4"/>
    <w:rsid w:val="008313DB"/>
    <w:rsid w:val="0083278E"/>
    <w:rsid w:val="0083364D"/>
    <w:rsid w:val="00833E31"/>
    <w:rsid w:val="00834BC8"/>
    <w:rsid w:val="00834BDE"/>
    <w:rsid w:val="00834CAB"/>
    <w:rsid w:val="00835497"/>
    <w:rsid w:val="00835949"/>
    <w:rsid w:val="00835B1E"/>
    <w:rsid w:val="00835E77"/>
    <w:rsid w:val="00835EA1"/>
    <w:rsid w:val="00836AE3"/>
    <w:rsid w:val="008373D9"/>
    <w:rsid w:val="0083752F"/>
    <w:rsid w:val="00840287"/>
    <w:rsid w:val="008408FE"/>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14"/>
    <w:rsid w:val="00847E3F"/>
    <w:rsid w:val="00847F6D"/>
    <w:rsid w:val="00850B1B"/>
    <w:rsid w:val="00850D10"/>
    <w:rsid w:val="0085115C"/>
    <w:rsid w:val="008514A3"/>
    <w:rsid w:val="008519FB"/>
    <w:rsid w:val="008524B0"/>
    <w:rsid w:val="0085285C"/>
    <w:rsid w:val="00852C9C"/>
    <w:rsid w:val="00853014"/>
    <w:rsid w:val="00853921"/>
    <w:rsid w:val="00853A53"/>
    <w:rsid w:val="00854059"/>
    <w:rsid w:val="00855C2F"/>
    <w:rsid w:val="00855EE3"/>
    <w:rsid w:val="00856029"/>
    <w:rsid w:val="008560A8"/>
    <w:rsid w:val="00856119"/>
    <w:rsid w:val="0086044F"/>
    <w:rsid w:val="00860FB9"/>
    <w:rsid w:val="0086103A"/>
    <w:rsid w:val="008617B3"/>
    <w:rsid w:val="0086225D"/>
    <w:rsid w:val="008628EE"/>
    <w:rsid w:val="00862D22"/>
    <w:rsid w:val="00862DF3"/>
    <w:rsid w:val="00862F28"/>
    <w:rsid w:val="00864F82"/>
    <w:rsid w:val="00865388"/>
    <w:rsid w:val="00865541"/>
    <w:rsid w:val="008655E1"/>
    <w:rsid w:val="00865CB7"/>
    <w:rsid w:val="00865D04"/>
    <w:rsid w:val="008673D3"/>
    <w:rsid w:val="0086792D"/>
    <w:rsid w:val="008700EA"/>
    <w:rsid w:val="0087124E"/>
    <w:rsid w:val="008717D9"/>
    <w:rsid w:val="00871D1B"/>
    <w:rsid w:val="008721B4"/>
    <w:rsid w:val="00872431"/>
    <w:rsid w:val="008725A9"/>
    <w:rsid w:val="00873244"/>
    <w:rsid w:val="00873A38"/>
    <w:rsid w:val="008740FC"/>
    <w:rsid w:val="00874612"/>
    <w:rsid w:val="008748D6"/>
    <w:rsid w:val="00875CA9"/>
    <w:rsid w:val="0087601A"/>
    <w:rsid w:val="008762C0"/>
    <w:rsid w:val="00876385"/>
    <w:rsid w:val="00876AA0"/>
    <w:rsid w:val="00876B68"/>
    <w:rsid w:val="00877750"/>
    <w:rsid w:val="00877CB5"/>
    <w:rsid w:val="008807E2"/>
    <w:rsid w:val="00880EC9"/>
    <w:rsid w:val="00880F0D"/>
    <w:rsid w:val="008810FE"/>
    <w:rsid w:val="008817E0"/>
    <w:rsid w:val="00883467"/>
    <w:rsid w:val="008835B8"/>
    <w:rsid w:val="00884388"/>
    <w:rsid w:val="00884671"/>
    <w:rsid w:val="00884B97"/>
    <w:rsid w:val="00884BE7"/>
    <w:rsid w:val="00884F3D"/>
    <w:rsid w:val="008850C2"/>
    <w:rsid w:val="00885198"/>
    <w:rsid w:val="00885867"/>
    <w:rsid w:val="00886408"/>
    <w:rsid w:val="00886559"/>
    <w:rsid w:val="00886B0B"/>
    <w:rsid w:val="00887170"/>
    <w:rsid w:val="0088722E"/>
    <w:rsid w:val="008877BE"/>
    <w:rsid w:val="008878A8"/>
    <w:rsid w:val="00887E60"/>
    <w:rsid w:val="00890809"/>
    <w:rsid w:val="0089108B"/>
    <w:rsid w:val="00891142"/>
    <w:rsid w:val="008917D7"/>
    <w:rsid w:val="008923D7"/>
    <w:rsid w:val="0089293B"/>
    <w:rsid w:val="00893C52"/>
    <w:rsid w:val="00894C83"/>
    <w:rsid w:val="00894D03"/>
    <w:rsid w:val="0089515C"/>
    <w:rsid w:val="008957E6"/>
    <w:rsid w:val="008961E8"/>
    <w:rsid w:val="00896816"/>
    <w:rsid w:val="008972FB"/>
    <w:rsid w:val="00897821"/>
    <w:rsid w:val="00897E32"/>
    <w:rsid w:val="008A037B"/>
    <w:rsid w:val="008A09BF"/>
    <w:rsid w:val="008A114D"/>
    <w:rsid w:val="008A16C4"/>
    <w:rsid w:val="008A20B2"/>
    <w:rsid w:val="008A2511"/>
    <w:rsid w:val="008A25A0"/>
    <w:rsid w:val="008A25C9"/>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1493"/>
    <w:rsid w:val="008C1496"/>
    <w:rsid w:val="008C16F5"/>
    <w:rsid w:val="008C19ED"/>
    <w:rsid w:val="008C1D6D"/>
    <w:rsid w:val="008C2409"/>
    <w:rsid w:val="008C29CA"/>
    <w:rsid w:val="008C2A38"/>
    <w:rsid w:val="008C382A"/>
    <w:rsid w:val="008C4116"/>
    <w:rsid w:val="008C47C6"/>
    <w:rsid w:val="008C52A5"/>
    <w:rsid w:val="008C54A1"/>
    <w:rsid w:val="008C5681"/>
    <w:rsid w:val="008C615E"/>
    <w:rsid w:val="008C6514"/>
    <w:rsid w:val="008C68AF"/>
    <w:rsid w:val="008C730D"/>
    <w:rsid w:val="008C7885"/>
    <w:rsid w:val="008C79E0"/>
    <w:rsid w:val="008D07A4"/>
    <w:rsid w:val="008D0B11"/>
    <w:rsid w:val="008D120D"/>
    <w:rsid w:val="008D1744"/>
    <w:rsid w:val="008D22B7"/>
    <w:rsid w:val="008D2AB5"/>
    <w:rsid w:val="008D4EAB"/>
    <w:rsid w:val="008D4EFD"/>
    <w:rsid w:val="008D52CD"/>
    <w:rsid w:val="008D6E39"/>
    <w:rsid w:val="008D71A3"/>
    <w:rsid w:val="008D7EE4"/>
    <w:rsid w:val="008E050E"/>
    <w:rsid w:val="008E07C1"/>
    <w:rsid w:val="008E09BD"/>
    <w:rsid w:val="008E0C4B"/>
    <w:rsid w:val="008E150C"/>
    <w:rsid w:val="008E349A"/>
    <w:rsid w:val="008E372A"/>
    <w:rsid w:val="008E3730"/>
    <w:rsid w:val="008E39C1"/>
    <w:rsid w:val="008E4C0F"/>
    <w:rsid w:val="008E5562"/>
    <w:rsid w:val="008E5BEE"/>
    <w:rsid w:val="008E5DDE"/>
    <w:rsid w:val="008E60CF"/>
    <w:rsid w:val="008E770E"/>
    <w:rsid w:val="008E788D"/>
    <w:rsid w:val="008E796D"/>
    <w:rsid w:val="008E7A43"/>
    <w:rsid w:val="008F04B5"/>
    <w:rsid w:val="008F0CDE"/>
    <w:rsid w:val="008F13FC"/>
    <w:rsid w:val="008F1662"/>
    <w:rsid w:val="008F21ED"/>
    <w:rsid w:val="008F29CC"/>
    <w:rsid w:val="008F2B21"/>
    <w:rsid w:val="008F3518"/>
    <w:rsid w:val="008F35E0"/>
    <w:rsid w:val="008F38B8"/>
    <w:rsid w:val="008F3E13"/>
    <w:rsid w:val="008F43C8"/>
    <w:rsid w:val="008F4CC8"/>
    <w:rsid w:val="008F537E"/>
    <w:rsid w:val="008F53F4"/>
    <w:rsid w:val="008F5787"/>
    <w:rsid w:val="008F61A2"/>
    <w:rsid w:val="008F61E2"/>
    <w:rsid w:val="008F78AC"/>
    <w:rsid w:val="00901024"/>
    <w:rsid w:val="009010C0"/>
    <w:rsid w:val="009016B9"/>
    <w:rsid w:val="00901CA1"/>
    <w:rsid w:val="00902EED"/>
    <w:rsid w:val="00902FCF"/>
    <w:rsid w:val="00902FD2"/>
    <w:rsid w:val="00903854"/>
    <w:rsid w:val="00903B51"/>
    <w:rsid w:val="00903DF4"/>
    <w:rsid w:val="0090429F"/>
    <w:rsid w:val="0090447C"/>
    <w:rsid w:val="0090469C"/>
    <w:rsid w:val="009046E3"/>
    <w:rsid w:val="009047BE"/>
    <w:rsid w:val="00904D11"/>
    <w:rsid w:val="00904FE7"/>
    <w:rsid w:val="00905C17"/>
    <w:rsid w:val="00906A27"/>
    <w:rsid w:val="00906A38"/>
    <w:rsid w:val="00906F2D"/>
    <w:rsid w:val="009078A8"/>
    <w:rsid w:val="009079C5"/>
    <w:rsid w:val="00907C78"/>
    <w:rsid w:val="00907E4B"/>
    <w:rsid w:val="00910068"/>
    <w:rsid w:val="0091029B"/>
    <w:rsid w:val="009104EB"/>
    <w:rsid w:val="00911444"/>
    <w:rsid w:val="00911E7E"/>
    <w:rsid w:val="00912828"/>
    <w:rsid w:val="009132A6"/>
    <w:rsid w:val="009139B6"/>
    <w:rsid w:val="00913E53"/>
    <w:rsid w:val="00913F5A"/>
    <w:rsid w:val="00914670"/>
    <w:rsid w:val="00915059"/>
    <w:rsid w:val="00915544"/>
    <w:rsid w:val="009161D6"/>
    <w:rsid w:val="009165C3"/>
    <w:rsid w:val="00916724"/>
    <w:rsid w:val="0091754C"/>
    <w:rsid w:val="009177EB"/>
    <w:rsid w:val="00917CB2"/>
    <w:rsid w:val="009201E8"/>
    <w:rsid w:val="00920310"/>
    <w:rsid w:val="009218DE"/>
    <w:rsid w:val="00921A6C"/>
    <w:rsid w:val="00922836"/>
    <w:rsid w:val="009229FA"/>
    <w:rsid w:val="00923573"/>
    <w:rsid w:val="009238CB"/>
    <w:rsid w:val="00924059"/>
    <w:rsid w:val="00924604"/>
    <w:rsid w:val="0092520D"/>
    <w:rsid w:val="009257B4"/>
    <w:rsid w:val="00925D59"/>
    <w:rsid w:val="00926A31"/>
    <w:rsid w:val="00926C20"/>
    <w:rsid w:val="0092760A"/>
    <w:rsid w:val="009277BD"/>
    <w:rsid w:val="00930536"/>
    <w:rsid w:val="009305B5"/>
    <w:rsid w:val="00931277"/>
    <w:rsid w:val="009314CC"/>
    <w:rsid w:val="0093152B"/>
    <w:rsid w:val="00931667"/>
    <w:rsid w:val="00931BD4"/>
    <w:rsid w:val="00931F17"/>
    <w:rsid w:val="009327A2"/>
    <w:rsid w:val="009327CD"/>
    <w:rsid w:val="009339A0"/>
    <w:rsid w:val="00933BB1"/>
    <w:rsid w:val="00933F10"/>
    <w:rsid w:val="00934037"/>
    <w:rsid w:val="009361DF"/>
    <w:rsid w:val="009374BD"/>
    <w:rsid w:val="00940398"/>
    <w:rsid w:val="00940635"/>
    <w:rsid w:val="00941676"/>
    <w:rsid w:val="00942069"/>
    <w:rsid w:val="009426B9"/>
    <w:rsid w:val="00942767"/>
    <w:rsid w:val="009429F2"/>
    <w:rsid w:val="00942A62"/>
    <w:rsid w:val="009437AC"/>
    <w:rsid w:val="009440C3"/>
    <w:rsid w:val="009448AA"/>
    <w:rsid w:val="00944A7D"/>
    <w:rsid w:val="00944C85"/>
    <w:rsid w:val="009455D7"/>
    <w:rsid w:val="00945CE8"/>
    <w:rsid w:val="009460CB"/>
    <w:rsid w:val="00946FFE"/>
    <w:rsid w:val="00947032"/>
    <w:rsid w:val="00947260"/>
    <w:rsid w:val="009472E1"/>
    <w:rsid w:val="00947428"/>
    <w:rsid w:val="0094744E"/>
    <w:rsid w:val="00947F1D"/>
    <w:rsid w:val="0095013F"/>
    <w:rsid w:val="0095027D"/>
    <w:rsid w:val="00950D3A"/>
    <w:rsid w:val="00950EEB"/>
    <w:rsid w:val="0095174E"/>
    <w:rsid w:val="0095190D"/>
    <w:rsid w:val="00951A02"/>
    <w:rsid w:val="00952377"/>
    <w:rsid w:val="00952AD9"/>
    <w:rsid w:val="00953184"/>
    <w:rsid w:val="0095374E"/>
    <w:rsid w:val="009545B7"/>
    <w:rsid w:val="00954C49"/>
    <w:rsid w:val="00955B54"/>
    <w:rsid w:val="00955E32"/>
    <w:rsid w:val="00956B64"/>
    <w:rsid w:val="00956E5D"/>
    <w:rsid w:val="0095772E"/>
    <w:rsid w:val="009577F0"/>
    <w:rsid w:val="00960A55"/>
    <w:rsid w:val="009618C1"/>
    <w:rsid w:val="00961D57"/>
    <w:rsid w:val="00963935"/>
    <w:rsid w:val="009641D6"/>
    <w:rsid w:val="00964476"/>
    <w:rsid w:val="0096465B"/>
    <w:rsid w:val="00964C6C"/>
    <w:rsid w:val="0096550E"/>
    <w:rsid w:val="00965513"/>
    <w:rsid w:val="00965724"/>
    <w:rsid w:val="00965799"/>
    <w:rsid w:val="009664DF"/>
    <w:rsid w:val="00966CA1"/>
    <w:rsid w:val="00966F2A"/>
    <w:rsid w:val="009674BA"/>
    <w:rsid w:val="009678B7"/>
    <w:rsid w:val="009678DD"/>
    <w:rsid w:val="00970171"/>
    <w:rsid w:val="009702FB"/>
    <w:rsid w:val="009708C7"/>
    <w:rsid w:val="0097111B"/>
    <w:rsid w:val="00971A24"/>
    <w:rsid w:val="00971C12"/>
    <w:rsid w:val="00971D2E"/>
    <w:rsid w:val="0097272C"/>
    <w:rsid w:val="00972DB0"/>
    <w:rsid w:val="00973E98"/>
    <w:rsid w:val="0097569B"/>
    <w:rsid w:val="009764D0"/>
    <w:rsid w:val="009766AC"/>
    <w:rsid w:val="00977054"/>
    <w:rsid w:val="0098051F"/>
    <w:rsid w:val="00982687"/>
    <w:rsid w:val="0098284D"/>
    <w:rsid w:val="00982B49"/>
    <w:rsid w:val="00982D40"/>
    <w:rsid w:val="00982D83"/>
    <w:rsid w:val="00984109"/>
    <w:rsid w:val="00984214"/>
    <w:rsid w:val="00984514"/>
    <w:rsid w:val="00984BEC"/>
    <w:rsid w:val="0098597A"/>
    <w:rsid w:val="009859EF"/>
    <w:rsid w:val="0098672B"/>
    <w:rsid w:val="00986AFC"/>
    <w:rsid w:val="00986E1B"/>
    <w:rsid w:val="00987056"/>
    <w:rsid w:val="009874FF"/>
    <w:rsid w:val="00987545"/>
    <w:rsid w:val="00990071"/>
    <w:rsid w:val="00990647"/>
    <w:rsid w:val="009919D4"/>
    <w:rsid w:val="00991F2F"/>
    <w:rsid w:val="00991FCD"/>
    <w:rsid w:val="0099248A"/>
    <w:rsid w:val="009925AF"/>
    <w:rsid w:val="00993A5B"/>
    <w:rsid w:val="00993EE5"/>
    <w:rsid w:val="009946A4"/>
    <w:rsid w:val="00994F11"/>
    <w:rsid w:val="00994F53"/>
    <w:rsid w:val="00995468"/>
    <w:rsid w:val="0099558E"/>
    <w:rsid w:val="009957FE"/>
    <w:rsid w:val="009961E4"/>
    <w:rsid w:val="009965A1"/>
    <w:rsid w:val="00996CDD"/>
    <w:rsid w:val="009973BF"/>
    <w:rsid w:val="0099761C"/>
    <w:rsid w:val="00997D84"/>
    <w:rsid w:val="009A0613"/>
    <w:rsid w:val="009A06DC"/>
    <w:rsid w:val="009A2114"/>
    <w:rsid w:val="009A29AC"/>
    <w:rsid w:val="009A2D1F"/>
    <w:rsid w:val="009A2DB2"/>
    <w:rsid w:val="009A379F"/>
    <w:rsid w:val="009A3AAD"/>
    <w:rsid w:val="009A3F4D"/>
    <w:rsid w:val="009A432E"/>
    <w:rsid w:val="009A4909"/>
    <w:rsid w:val="009A5570"/>
    <w:rsid w:val="009A576F"/>
    <w:rsid w:val="009A613F"/>
    <w:rsid w:val="009A7D81"/>
    <w:rsid w:val="009B13F2"/>
    <w:rsid w:val="009B3442"/>
    <w:rsid w:val="009B34E5"/>
    <w:rsid w:val="009B36ED"/>
    <w:rsid w:val="009B3868"/>
    <w:rsid w:val="009B42B4"/>
    <w:rsid w:val="009B4E5D"/>
    <w:rsid w:val="009B5885"/>
    <w:rsid w:val="009B59F5"/>
    <w:rsid w:val="009B6500"/>
    <w:rsid w:val="009B708D"/>
    <w:rsid w:val="009C0658"/>
    <w:rsid w:val="009C0AF2"/>
    <w:rsid w:val="009C0B75"/>
    <w:rsid w:val="009C0CC4"/>
    <w:rsid w:val="009C108B"/>
    <w:rsid w:val="009C1335"/>
    <w:rsid w:val="009C2091"/>
    <w:rsid w:val="009C2530"/>
    <w:rsid w:val="009C2644"/>
    <w:rsid w:val="009C312E"/>
    <w:rsid w:val="009C38A5"/>
    <w:rsid w:val="009C3E52"/>
    <w:rsid w:val="009C3F57"/>
    <w:rsid w:val="009C4A36"/>
    <w:rsid w:val="009C4DE4"/>
    <w:rsid w:val="009C564B"/>
    <w:rsid w:val="009C56B9"/>
    <w:rsid w:val="009C5826"/>
    <w:rsid w:val="009C5A4A"/>
    <w:rsid w:val="009C5BBD"/>
    <w:rsid w:val="009C5E60"/>
    <w:rsid w:val="009C6044"/>
    <w:rsid w:val="009C68C0"/>
    <w:rsid w:val="009C6919"/>
    <w:rsid w:val="009C7B20"/>
    <w:rsid w:val="009C7ED3"/>
    <w:rsid w:val="009D06ED"/>
    <w:rsid w:val="009D0C62"/>
    <w:rsid w:val="009D1A67"/>
    <w:rsid w:val="009D1DA6"/>
    <w:rsid w:val="009D2A6D"/>
    <w:rsid w:val="009D2C24"/>
    <w:rsid w:val="009D31F2"/>
    <w:rsid w:val="009D40E8"/>
    <w:rsid w:val="009D42EF"/>
    <w:rsid w:val="009D509A"/>
    <w:rsid w:val="009D527E"/>
    <w:rsid w:val="009D5324"/>
    <w:rsid w:val="009D5457"/>
    <w:rsid w:val="009D550A"/>
    <w:rsid w:val="009D6007"/>
    <w:rsid w:val="009D627C"/>
    <w:rsid w:val="009D62E4"/>
    <w:rsid w:val="009D6B6A"/>
    <w:rsid w:val="009D73A0"/>
    <w:rsid w:val="009D74AD"/>
    <w:rsid w:val="009D79D5"/>
    <w:rsid w:val="009D7C65"/>
    <w:rsid w:val="009D7C82"/>
    <w:rsid w:val="009E0128"/>
    <w:rsid w:val="009E15D1"/>
    <w:rsid w:val="009E16B0"/>
    <w:rsid w:val="009E17EC"/>
    <w:rsid w:val="009E1EDD"/>
    <w:rsid w:val="009E2A67"/>
    <w:rsid w:val="009E2AE5"/>
    <w:rsid w:val="009E2DD9"/>
    <w:rsid w:val="009E2E38"/>
    <w:rsid w:val="009E3431"/>
    <w:rsid w:val="009E3A3E"/>
    <w:rsid w:val="009E435C"/>
    <w:rsid w:val="009E4A86"/>
    <w:rsid w:val="009E4C53"/>
    <w:rsid w:val="009E4D58"/>
    <w:rsid w:val="009E4F52"/>
    <w:rsid w:val="009E5B5C"/>
    <w:rsid w:val="009E5CE1"/>
    <w:rsid w:val="009E63D6"/>
    <w:rsid w:val="009E698A"/>
    <w:rsid w:val="009F028C"/>
    <w:rsid w:val="009F064B"/>
    <w:rsid w:val="009F0AFB"/>
    <w:rsid w:val="009F1109"/>
    <w:rsid w:val="009F1364"/>
    <w:rsid w:val="009F167C"/>
    <w:rsid w:val="009F1A54"/>
    <w:rsid w:val="009F22B4"/>
    <w:rsid w:val="009F2B8E"/>
    <w:rsid w:val="009F3075"/>
    <w:rsid w:val="009F3A4F"/>
    <w:rsid w:val="009F3D29"/>
    <w:rsid w:val="009F407C"/>
    <w:rsid w:val="009F4487"/>
    <w:rsid w:val="009F44A4"/>
    <w:rsid w:val="009F452E"/>
    <w:rsid w:val="009F49B7"/>
    <w:rsid w:val="009F4AEE"/>
    <w:rsid w:val="009F4E68"/>
    <w:rsid w:val="009F4FBC"/>
    <w:rsid w:val="009F5A72"/>
    <w:rsid w:val="009F610B"/>
    <w:rsid w:val="009F6A28"/>
    <w:rsid w:val="009F6F2B"/>
    <w:rsid w:val="009F7344"/>
    <w:rsid w:val="009F7679"/>
    <w:rsid w:val="009F77D4"/>
    <w:rsid w:val="009F7A33"/>
    <w:rsid w:val="009F7B0D"/>
    <w:rsid w:val="009F7CE7"/>
    <w:rsid w:val="009F7EEF"/>
    <w:rsid w:val="00A007F0"/>
    <w:rsid w:val="00A009CC"/>
    <w:rsid w:val="00A00C52"/>
    <w:rsid w:val="00A015EF"/>
    <w:rsid w:val="00A019EC"/>
    <w:rsid w:val="00A01CF7"/>
    <w:rsid w:val="00A023E6"/>
    <w:rsid w:val="00A0294E"/>
    <w:rsid w:val="00A039BB"/>
    <w:rsid w:val="00A03A43"/>
    <w:rsid w:val="00A03C91"/>
    <w:rsid w:val="00A04A8D"/>
    <w:rsid w:val="00A0588D"/>
    <w:rsid w:val="00A05E0B"/>
    <w:rsid w:val="00A05FAE"/>
    <w:rsid w:val="00A06145"/>
    <w:rsid w:val="00A0619A"/>
    <w:rsid w:val="00A06E60"/>
    <w:rsid w:val="00A07495"/>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20035"/>
    <w:rsid w:val="00A2008F"/>
    <w:rsid w:val="00A20C77"/>
    <w:rsid w:val="00A20CDF"/>
    <w:rsid w:val="00A21936"/>
    <w:rsid w:val="00A2293F"/>
    <w:rsid w:val="00A22DC6"/>
    <w:rsid w:val="00A230DA"/>
    <w:rsid w:val="00A23152"/>
    <w:rsid w:val="00A23376"/>
    <w:rsid w:val="00A2337B"/>
    <w:rsid w:val="00A23458"/>
    <w:rsid w:val="00A23B5A"/>
    <w:rsid w:val="00A23E3F"/>
    <w:rsid w:val="00A23EE6"/>
    <w:rsid w:val="00A25671"/>
    <w:rsid w:val="00A257E5"/>
    <w:rsid w:val="00A263D6"/>
    <w:rsid w:val="00A26B73"/>
    <w:rsid w:val="00A27237"/>
    <w:rsid w:val="00A2725E"/>
    <w:rsid w:val="00A276CB"/>
    <w:rsid w:val="00A27FCC"/>
    <w:rsid w:val="00A307E8"/>
    <w:rsid w:val="00A30A2E"/>
    <w:rsid w:val="00A30B1A"/>
    <w:rsid w:val="00A30F34"/>
    <w:rsid w:val="00A313E1"/>
    <w:rsid w:val="00A318E7"/>
    <w:rsid w:val="00A318F7"/>
    <w:rsid w:val="00A32231"/>
    <w:rsid w:val="00A32AE5"/>
    <w:rsid w:val="00A32C09"/>
    <w:rsid w:val="00A334B1"/>
    <w:rsid w:val="00A337A3"/>
    <w:rsid w:val="00A34114"/>
    <w:rsid w:val="00A34284"/>
    <w:rsid w:val="00A34408"/>
    <w:rsid w:val="00A34AAA"/>
    <w:rsid w:val="00A35668"/>
    <w:rsid w:val="00A36590"/>
    <w:rsid w:val="00A370D0"/>
    <w:rsid w:val="00A3781F"/>
    <w:rsid w:val="00A40613"/>
    <w:rsid w:val="00A40AA0"/>
    <w:rsid w:val="00A41019"/>
    <w:rsid w:val="00A4243A"/>
    <w:rsid w:val="00A4248A"/>
    <w:rsid w:val="00A4347C"/>
    <w:rsid w:val="00A436DC"/>
    <w:rsid w:val="00A43879"/>
    <w:rsid w:val="00A43D51"/>
    <w:rsid w:val="00A443D6"/>
    <w:rsid w:val="00A44E00"/>
    <w:rsid w:val="00A45DE2"/>
    <w:rsid w:val="00A45E16"/>
    <w:rsid w:val="00A4617F"/>
    <w:rsid w:val="00A47354"/>
    <w:rsid w:val="00A476EA"/>
    <w:rsid w:val="00A47877"/>
    <w:rsid w:val="00A479AE"/>
    <w:rsid w:val="00A50915"/>
    <w:rsid w:val="00A5141F"/>
    <w:rsid w:val="00A51513"/>
    <w:rsid w:val="00A527C1"/>
    <w:rsid w:val="00A52F31"/>
    <w:rsid w:val="00A531FE"/>
    <w:rsid w:val="00A53A69"/>
    <w:rsid w:val="00A53C9D"/>
    <w:rsid w:val="00A540F7"/>
    <w:rsid w:val="00A54F1A"/>
    <w:rsid w:val="00A556E1"/>
    <w:rsid w:val="00A557A1"/>
    <w:rsid w:val="00A56B0A"/>
    <w:rsid w:val="00A5754A"/>
    <w:rsid w:val="00A6075F"/>
    <w:rsid w:val="00A607A4"/>
    <w:rsid w:val="00A60A24"/>
    <w:rsid w:val="00A60C24"/>
    <w:rsid w:val="00A61806"/>
    <w:rsid w:val="00A6182E"/>
    <w:rsid w:val="00A62488"/>
    <w:rsid w:val="00A62B70"/>
    <w:rsid w:val="00A62F5C"/>
    <w:rsid w:val="00A62FDD"/>
    <w:rsid w:val="00A63141"/>
    <w:rsid w:val="00A63FD5"/>
    <w:rsid w:val="00A6423B"/>
    <w:rsid w:val="00A645D1"/>
    <w:rsid w:val="00A64AE6"/>
    <w:rsid w:val="00A64B0A"/>
    <w:rsid w:val="00A66A30"/>
    <w:rsid w:val="00A66DFF"/>
    <w:rsid w:val="00A67AB2"/>
    <w:rsid w:val="00A67F0E"/>
    <w:rsid w:val="00A7000A"/>
    <w:rsid w:val="00A702A8"/>
    <w:rsid w:val="00A7091C"/>
    <w:rsid w:val="00A71232"/>
    <w:rsid w:val="00A72350"/>
    <w:rsid w:val="00A72574"/>
    <w:rsid w:val="00A728B3"/>
    <w:rsid w:val="00A7294A"/>
    <w:rsid w:val="00A732C8"/>
    <w:rsid w:val="00A73336"/>
    <w:rsid w:val="00A739BE"/>
    <w:rsid w:val="00A73A89"/>
    <w:rsid w:val="00A7424A"/>
    <w:rsid w:val="00A74338"/>
    <w:rsid w:val="00A7456C"/>
    <w:rsid w:val="00A749B5"/>
    <w:rsid w:val="00A751C6"/>
    <w:rsid w:val="00A7575F"/>
    <w:rsid w:val="00A7584D"/>
    <w:rsid w:val="00A7589D"/>
    <w:rsid w:val="00A75E17"/>
    <w:rsid w:val="00A7642F"/>
    <w:rsid w:val="00A774F5"/>
    <w:rsid w:val="00A77BA1"/>
    <w:rsid w:val="00A77F81"/>
    <w:rsid w:val="00A807FB"/>
    <w:rsid w:val="00A8104F"/>
    <w:rsid w:val="00A8149F"/>
    <w:rsid w:val="00A814D4"/>
    <w:rsid w:val="00A825A9"/>
    <w:rsid w:val="00A82688"/>
    <w:rsid w:val="00A82A2E"/>
    <w:rsid w:val="00A82F03"/>
    <w:rsid w:val="00A8327E"/>
    <w:rsid w:val="00A83B07"/>
    <w:rsid w:val="00A844E7"/>
    <w:rsid w:val="00A84BB1"/>
    <w:rsid w:val="00A8517B"/>
    <w:rsid w:val="00A857B0"/>
    <w:rsid w:val="00A862A5"/>
    <w:rsid w:val="00A8654F"/>
    <w:rsid w:val="00A86E89"/>
    <w:rsid w:val="00A877DC"/>
    <w:rsid w:val="00A87AF9"/>
    <w:rsid w:val="00A87D12"/>
    <w:rsid w:val="00A9042E"/>
    <w:rsid w:val="00A9095A"/>
    <w:rsid w:val="00A90B30"/>
    <w:rsid w:val="00A92D97"/>
    <w:rsid w:val="00A931E1"/>
    <w:rsid w:val="00A9341E"/>
    <w:rsid w:val="00A93433"/>
    <w:rsid w:val="00A935E4"/>
    <w:rsid w:val="00A94315"/>
    <w:rsid w:val="00A94941"/>
    <w:rsid w:val="00A954C9"/>
    <w:rsid w:val="00A968B2"/>
    <w:rsid w:val="00A96BA6"/>
    <w:rsid w:val="00A971C1"/>
    <w:rsid w:val="00A97890"/>
    <w:rsid w:val="00AA010C"/>
    <w:rsid w:val="00AA0689"/>
    <w:rsid w:val="00AA161A"/>
    <w:rsid w:val="00AA1F98"/>
    <w:rsid w:val="00AA2294"/>
    <w:rsid w:val="00AA2838"/>
    <w:rsid w:val="00AA2D49"/>
    <w:rsid w:val="00AA3291"/>
    <w:rsid w:val="00AA34E7"/>
    <w:rsid w:val="00AA3AE7"/>
    <w:rsid w:val="00AA508F"/>
    <w:rsid w:val="00AA56D5"/>
    <w:rsid w:val="00AA59A9"/>
    <w:rsid w:val="00AA6722"/>
    <w:rsid w:val="00AA67BA"/>
    <w:rsid w:val="00AA6A29"/>
    <w:rsid w:val="00AA6CC9"/>
    <w:rsid w:val="00AA71EA"/>
    <w:rsid w:val="00AA7966"/>
    <w:rsid w:val="00AB073F"/>
    <w:rsid w:val="00AB0B30"/>
    <w:rsid w:val="00AB1203"/>
    <w:rsid w:val="00AB153B"/>
    <w:rsid w:val="00AB18FF"/>
    <w:rsid w:val="00AB1AE9"/>
    <w:rsid w:val="00AB2494"/>
    <w:rsid w:val="00AB278B"/>
    <w:rsid w:val="00AB28AB"/>
    <w:rsid w:val="00AB3371"/>
    <w:rsid w:val="00AB3C7E"/>
    <w:rsid w:val="00AB42B6"/>
    <w:rsid w:val="00AB43E3"/>
    <w:rsid w:val="00AB4BF8"/>
    <w:rsid w:val="00AB4DD3"/>
    <w:rsid w:val="00AB51B6"/>
    <w:rsid w:val="00AB597C"/>
    <w:rsid w:val="00AB5E40"/>
    <w:rsid w:val="00AB60B1"/>
    <w:rsid w:val="00AB614B"/>
    <w:rsid w:val="00AB6C5B"/>
    <w:rsid w:val="00AB6D67"/>
    <w:rsid w:val="00AB6DC2"/>
    <w:rsid w:val="00AB7C17"/>
    <w:rsid w:val="00AB7E27"/>
    <w:rsid w:val="00AC0798"/>
    <w:rsid w:val="00AC1163"/>
    <w:rsid w:val="00AC145A"/>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28E"/>
    <w:rsid w:val="00AC67F7"/>
    <w:rsid w:val="00AC7192"/>
    <w:rsid w:val="00AC7403"/>
    <w:rsid w:val="00AC7678"/>
    <w:rsid w:val="00AC7CD5"/>
    <w:rsid w:val="00AD013A"/>
    <w:rsid w:val="00AD080F"/>
    <w:rsid w:val="00AD153E"/>
    <w:rsid w:val="00AD184C"/>
    <w:rsid w:val="00AD214A"/>
    <w:rsid w:val="00AD2CBB"/>
    <w:rsid w:val="00AD2E21"/>
    <w:rsid w:val="00AD4470"/>
    <w:rsid w:val="00AD448B"/>
    <w:rsid w:val="00AD489C"/>
    <w:rsid w:val="00AD4DB2"/>
    <w:rsid w:val="00AD5786"/>
    <w:rsid w:val="00AD5852"/>
    <w:rsid w:val="00AD5AC9"/>
    <w:rsid w:val="00AD5D06"/>
    <w:rsid w:val="00AD60BB"/>
    <w:rsid w:val="00AD6A61"/>
    <w:rsid w:val="00AD6AF6"/>
    <w:rsid w:val="00AD7DB8"/>
    <w:rsid w:val="00AE1C33"/>
    <w:rsid w:val="00AE1E13"/>
    <w:rsid w:val="00AE2539"/>
    <w:rsid w:val="00AE2E92"/>
    <w:rsid w:val="00AE3A5B"/>
    <w:rsid w:val="00AE3C60"/>
    <w:rsid w:val="00AE3D39"/>
    <w:rsid w:val="00AE4B35"/>
    <w:rsid w:val="00AE5118"/>
    <w:rsid w:val="00AE55FB"/>
    <w:rsid w:val="00AE589C"/>
    <w:rsid w:val="00AE5B99"/>
    <w:rsid w:val="00AE7ABE"/>
    <w:rsid w:val="00AE7C52"/>
    <w:rsid w:val="00AF0144"/>
    <w:rsid w:val="00AF05D2"/>
    <w:rsid w:val="00AF068A"/>
    <w:rsid w:val="00AF122C"/>
    <w:rsid w:val="00AF123E"/>
    <w:rsid w:val="00AF16C0"/>
    <w:rsid w:val="00AF31F4"/>
    <w:rsid w:val="00AF3283"/>
    <w:rsid w:val="00AF3BFE"/>
    <w:rsid w:val="00AF52AD"/>
    <w:rsid w:val="00AF52DF"/>
    <w:rsid w:val="00AF55C1"/>
    <w:rsid w:val="00AF56F5"/>
    <w:rsid w:val="00AF59BF"/>
    <w:rsid w:val="00AF5EE3"/>
    <w:rsid w:val="00AF61B5"/>
    <w:rsid w:val="00AF6A3E"/>
    <w:rsid w:val="00AF6D38"/>
    <w:rsid w:val="00AF730D"/>
    <w:rsid w:val="00AF7B2B"/>
    <w:rsid w:val="00AF7D6B"/>
    <w:rsid w:val="00B000CC"/>
    <w:rsid w:val="00B005DD"/>
    <w:rsid w:val="00B0085F"/>
    <w:rsid w:val="00B00CDA"/>
    <w:rsid w:val="00B00F7C"/>
    <w:rsid w:val="00B012E2"/>
    <w:rsid w:val="00B01F4A"/>
    <w:rsid w:val="00B0209F"/>
    <w:rsid w:val="00B02402"/>
    <w:rsid w:val="00B0246C"/>
    <w:rsid w:val="00B024FE"/>
    <w:rsid w:val="00B02C27"/>
    <w:rsid w:val="00B03011"/>
    <w:rsid w:val="00B03748"/>
    <w:rsid w:val="00B041DF"/>
    <w:rsid w:val="00B04200"/>
    <w:rsid w:val="00B044F7"/>
    <w:rsid w:val="00B046A6"/>
    <w:rsid w:val="00B0518B"/>
    <w:rsid w:val="00B05579"/>
    <w:rsid w:val="00B05C84"/>
    <w:rsid w:val="00B05D85"/>
    <w:rsid w:val="00B0667A"/>
    <w:rsid w:val="00B06D3A"/>
    <w:rsid w:val="00B06EF9"/>
    <w:rsid w:val="00B076D2"/>
    <w:rsid w:val="00B07A73"/>
    <w:rsid w:val="00B104A4"/>
    <w:rsid w:val="00B1100D"/>
    <w:rsid w:val="00B1131A"/>
    <w:rsid w:val="00B1157B"/>
    <w:rsid w:val="00B116B8"/>
    <w:rsid w:val="00B11921"/>
    <w:rsid w:val="00B11C44"/>
    <w:rsid w:val="00B11CE2"/>
    <w:rsid w:val="00B12282"/>
    <w:rsid w:val="00B12779"/>
    <w:rsid w:val="00B1281E"/>
    <w:rsid w:val="00B141B1"/>
    <w:rsid w:val="00B14D25"/>
    <w:rsid w:val="00B150D6"/>
    <w:rsid w:val="00B15A66"/>
    <w:rsid w:val="00B160F5"/>
    <w:rsid w:val="00B1630D"/>
    <w:rsid w:val="00B165F0"/>
    <w:rsid w:val="00B1691C"/>
    <w:rsid w:val="00B16F35"/>
    <w:rsid w:val="00B17DF5"/>
    <w:rsid w:val="00B17F14"/>
    <w:rsid w:val="00B20059"/>
    <w:rsid w:val="00B204B4"/>
    <w:rsid w:val="00B20B70"/>
    <w:rsid w:val="00B2171B"/>
    <w:rsid w:val="00B217AE"/>
    <w:rsid w:val="00B22496"/>
    <w:rsid w:val="00B231A0"/>
    <w:rsid w:val="00B23DAD"/>
    <w:rsid w:val="00B23ECB"/>
    <w:rsid w:val="00B24171"/>
    <w:rsid w:val="00B24523"/>
    <w:rsid w:val="00B24B08"/>
    <w:rsid w:val="00B24C7A"/>
    <w:rsid w:val="00B25E3A"/>
    <w:rsid w:val="00B26E97"/>
    <w:rsid w:val="00B274DC"/>
    <w:rsid w:val="00B302E7"/>
    <w:rsid w:val="00B31180"/>
    <w:rsid w:val="00B31921"/>
    <w:rsid w:val="00B32E27"/>
    <w:rsid w:val="00B35666"/>
    <w:rsid w:val="00B35F14"/>
    <w:rsid w:val="00B3618A"/>
    <w:rsid w:val="00B36F72"/>
    <w:rsid w:val="00B3798A"/>
    <w:rsid w:val="00B37CE2"/>
    <w:rsid w:val="00B40A21"/>
    <w:rsid w:val="00B41072"/>
    <w:rsid w:val="00B419CF"/>
    <w:rsid w:val="00B42A8D"/>
    <w:rsid w:val="00B42D46"/>
    <w:rsid w:val="00B42F9C"/>
    <w:rsid w:val="00B43486"/>
    <w:rsid w:val="00B437A0"/>
    <w:rsid w:val="00B4386D"/>
    <w:rsid w:val="00B4403A"/>
    <w:rsid w:val="00B44384"/>
    <w:rsid w:val="00B44585"/>
    <w:rsid w:val="00B4478C"/>
    <w:rsid w:val="00B4572D"/>
    <w:rsid w:val="00B4574C"/>
    <w:rsid w:val="00B45809"/>
    <w:rsid w:val="00B45A71"/>
    <w:rsid w:val="00B46853"/>
    <w:rsid w:val="00B46957"/>
    <w:rsid w:val="00B46A69"/>
    <w:rsid w:val="00B46B00"/>
    <w:rsid w:val="00B47B9F"/>
    <w:rsid w:val="00B47E97"/>
    <w:rsid w:val="00B5033E"/>
    <w:rsid w:val="00B508E2"/>
    <w:rsid w:val="00B5091C"/>
    <w:rsid w:val="00B509E1"/>
    <w:rsid w:val="00B50E76"/>
    <w:rsid w:val="00B50FA9"/>
    <w:rsid w:val="00B51539"/>
    <w:rsid w:val="00B51DB3"/>
    <w:rsid w:val="00B522CA"/>
    <w:rsid w:val="00B522FF"/>
    <w:rsid w:val="00B5260B"/>
    <w:rsid w:val="00B5268A"/>
    <w:rsid w:val="00B52763"/>
    <w:rsid w:val="00B534EB"/>
    <w:rsid w:val="00B54060"/>
    <w:rsid w:val="00B54465"/>
    <w:rsid w:val="00B54FBC"/>
    <w:rsid w:val="00B5514B"/>
    <w:rsid w:val="00B556AB"/>
    <w:rsid w:val="00B55713"/>
    <w:rsid w:val="00B5668A"/>
    <w:rsid w:val="00B56B2E"/>
    <w:rsid w:val="00B56C11"/>
    <w:rsid w:val="00B57700"/>
    <w:rsid w:val="00B60557"/>
    <w:rsid w:val="00B60F59"/>
    <w:rsid w:val="00B6121B"/>
    <w:rsid w:val="00B619CC"/>
    <w:rsid w:val="00B620D3"/>
    <w:rsid w:val="00B62531"/>
    <w:rsid w:val="00B62B74"/>
    <w:rsid w:val="00B62F25"/>
    <w:rsid w:val="00B63402"/>
    <w:rsid w:val="00B6361A"/>
    <w:rsid w:val="00B63700"/>
    <w:rsid w:val="00B64119"/>
    <w:rsid w:val="00B64859"/>
    <w:rsid w:val="00B65FA8"/>
    <w:rsid w:val="00B661D4"/>
    <w:rsid w:val="00B6787E"/>
    <w:rsid w:val="00B67AF5"/>
    <w:rsid w:val="00B70C0B"/>
    <w:rsid w:val="00B70E8D"/>
    <w:rsid w:val="00B710B7"/>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24C"/>
    <w:rsid w:val="00B83334"/>
    <w:rsid w:val="00B83ADC"/>
    <w:rsid w:val="00B84579"/>
    <w:rsid w:val="00B848D1"/>
    <w:rsid w:val="00B84ADE"/>
    <w:rsid w:val="00B84C75"/>
    <w:rsid w:val="00B84F1B"/>
    <w:rsid w:val="00B857A0"/>
    <w:rsid w:val="00B859F0"/>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50"/>
    <w:rsid w:val="00B95EDB"/>
    <w:rsid w:val="00B95F97"/>
    <w:rsid w:val="00B963D9"/>
    <w:rsid w:val="00B96AE8"/>
    <w:rsid w:val="00B977AA"/>
    <w:rsid w:val="00BA06E1"/>
    <w:rsid w:val="00BA13C9"/>
    <w:rsid w:val="00BA20F2"/>
    <w:rsid w:val="00BA256F"/>
    <w:rsid w:val="00BA28CD"/>
    <w:rsid w:val="00BA32DE"/>
    <w:rsid w:val="00BA46D0"/>
    <w:rsid w:val="00BA4B21"/>
    <w:rsid w:val="00BA4F4F"/>
    <w:rsid w:val="00BA5ED7"/>
    <w:rsid w:val="00BA61BA"/>
    <w:rsid w:val="00BA62AA"/>
    <w:rsid w:val="00BA69C9"/>
    <w:rsid w:val="00BA7054"/>
    <w:rsid w:val="00BA7055"/>
    <w:rsid w:val="00BA77B5"/>
    <w:rsid w:val="00BA79C4"/>
    <w:rsid w:val="00BB0065"/>
    <w:rsid w:val="00BB0C1C"/>
    <w:rsid w:val="00BB0D2D"/>
    <w:rsid w:val="00BB0DB5"/>
    <w:rsid w:val="00BB1248"/>
    <w:rsid w:val="00BB12F2"/>
    <w:rsid w:val="00BB17EF"/>
    <w:rsid w:val="00BB1867"/>
    <w:rsid w:val="00BB269C"/>
    <w:rsid w:val="00BB2A59"/>
    <w:rsid w:val="00BB2E2A"/>
    <w:rsid w:val="00BB2FC5"/>
    <w:rsid w:val="00BB3863"/>
    <w:rsid w:val="00BB4E1E"/>
    <w:rsid w:val="00BB532D"/>
    <w:rsid w:val="00BB5746"/>
    <w:rsid w:val="00BB576B"/>
    <w:rsid w:val="00BB58ED"/>
    <w:rsid w:val="00BB6A45"/>
    <w:rsid w:val="00BB6A75"/>
    <w:rsid w:val="00BB6AD1"/>
    <w:rsid w:val="00BB6B84"/>
    <w:rsid w:val="00BB6D42"/>
    <w:rsid w:val="00BB6DA8"/>
    <w:rsid w:val="00BB6E25"/>
    <w:rsid w:val="00BB714A"/>
    <w:rsid w:val="00BB76CE"/>
    <w:rsid w:val="00BB7E6C"/>
    <w:rsid w:val="00BC0C63"/>
    <w:rsid w:val="00BC0E03"/>
    <w:rsid w:val="00BC1102"/>
    <w:rsid w:val="00BC154A"/>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E02"/>
    <w:rsid w:val="00BD70AE"/>
    <w:rsid w:val="00BD7E4C"/>
    <w:rsid w:val="00BD7E66"/>
    <w:rsid w:val="00BD7EE1"/>
    <w:rsid w:val="00BE04CB"/>
    <w:rsid w:val="00BE06A3"/>
    <w:rsid w:val="00BE0887"/>
    <w:rsid w:val="00BE128D"/>
    <w:rsid w:val="00BE146B"/>
    <w:rsid w:val="00BE1C19"/>
    <w:rsid w:val="00BE29D2"/>
    <w:rsid w:val="00BE2CAB"/>
    <w:rsid w:val="00BE34B3"/>
    <w:rsid w:val="00BE374B"/>
    <w:rsid w:val="00BE3D98"/>
    <w:rsid w:val="00BE4EFF"/>
    <w:rsid w:val="00BE5965"/>
    <w:rsid w:val="00BE6416"/>
    <w:rsid w:val="00BE67FF"/>
    <w:rsid w:val="00BE7DFD"/>
    <w:rsid w:val="00BF00C6"/>
    <w:rsid w:val="00BF03A4"/>
    <w:rsid w:val="00BF120E"/>
    <w:rsid w:val="00BF123B"/>
    <w:rsid w:val="00BF1A26"/>
    <w:rsid w:val="00BF2FDD"/>
    <w:rsid w:val="00BF34B3"/>
    <w:rsid w:val="00BF35D5"/>
    <w:rsid w:val="00BF5255"/>
    <w:rsid w:val="00BF56A7"/>
    <w:rsid w:val="00BF5A8A"/>
    <w:rsid w:val="00BF5F1A"/>
    <w:rsid w:val="00BF5FFA"/>
    <w:rsid w:val="00BF617A"/>
    <w:rsid w:val="00BF61FD"/>
    <w:rsid w:val="00BF65A6"/>
    <w:rsid w:val="00BF6AD9"/>
    <w:rsid w:val="00C0226D"/>
    <w:rsid w:val="00C0291C"/>
    <w:rsid w:val="00C029FD"/>
    <w:rsid w:val="00C02DF5"/>
    <w:rsid w:val="00C0368A"/>
    <w:rsid w:val="00C03CDD"/>
    <w:rsid w:val="00C04872"/>
    <w:rsid w:val="00C04912"/>
    <w:rsid w:val="00C04F46"/>
    <w:rsid w:val="00C051F1"/>
    <w:rsid w:val="00C05582"/>
    <w:rsid w:val="00C05F15"/>
    <w:rsid w:val="00C06321"/>
    <w:rsid w:val="00C06389"/>
    <w:rsid w:val="00C06433"/>
    <w:rsid w:val="00C066E8"/>
    <w:rsid w:val="00C06B0F"/>
    <w:rsid w:val="00C06BCA"/>
    <w:rsid w:val="00C06DEC"/>
    <w:rsid w:val="00C072C7"/>
    <w:rsid w:val="00C0779B"/>
    <w:rsid w:val="00C107BC"/>
    <w:rsid w:val="00C109C6"/>
    <w:rsid w:val="00C113AE"/>
    <w:rsid w:val="00C11ACC"/>
    <w:rsid w:val="00C126D3"/>
    <w:rsid w:val="00C12D9D"/>
    <w:rsid w:val="00C12F8A"/>
    <w:rsid w:val="00C142A4"/>
    <w:rsid w:val="00C143DE"/>
    <w:rsid w:val="00C145BE"/>
    <w:rsid w:val="00C14BB1"/>
    <w:rsid w:val="00C14DD6"/>
    <w:rsid w:val="00C15379"/>
    <w:rsid w:val="00C15656"/>
    <w:rsid w:val="00C15779"/>
    <w:rsid w:val="00C160FC"/>
    <w:rsid w:val="00C161F0"/>
    <w:rsid w:val="00C162AE"/>
    <w:rsid w:val="00C16839"/>
    <w:rsid w:val="00C168D5"/>
    <w:rsid w:val="00C16AFF"/>
    <w:rsid w:val="00C1741B"/>
    <w:rsid w:val="00C17565"/>
    <w:rsid w:val="00C1777C"/>
    <w:rsid w:val="00C178DC"/>
    <w:rsid w:val="00C2004C"/>
    <w:rsid w:val="00C209A7"/>
    <w:rsid w:val="00C20BFF"/>
    <w:rsid w:val="00C20F6A"/>
    <w:rsid w:val="00C21965"/>
    <w:rsid w:val="00C221FC"/>
    <w:rsid w:val="00C2322F"/>
    <w:rsid w:val="00C233D9"/>
    <w:rsid w:val="00C23CF2"/>
    <w:rsid w:val="00C24211"/>
    <w:rsid w:val="00C24E2D"/>
    <w:rsid w:val="00C24E2E"/>
    <w:rsid w:val="00C250DF"/>
    <w:rsid w:val="00C251EF"/>
    <w:rsid w:val="00C2551F"/>
    <w:rsid w:val="00C257BD"/>
    <w:rsid w:val="00C2625A"/>
    <w:rsid w:val="00C26A6D"/>
    <w:rsid w:val="00C272BD"/>
    <w:rsid w:val="00C273E2"/>
    <w:rsid w:val="00C2776D"/>
    <w:rsid w:val="00C27B64"/>
    <w:rsid w:val="00C27E0E"/>
    <w:rsid w:val="00C30746"/>
    <w:rsid w:val="00C307C9"/>
    <w:rsid w:val="00C312A1"/>
    <w:rsid w:val="00C31951"/>
    <w:rsid w:val="00C31DE0"/>
    <w:rsid w:val="00C31F0C"/>
    <w:rsid w:val="00C325E3"/>
    <w:rsid w:val="00C32E3E"/>
    <w:rsid w:val="00C33641"/>
    <w:rsid w:val="00C341A2"/>
    <w:rsid w:val="00C34BBE"/>
    <w:rsid w:val="00C34FFD"/>
    <w:rsid w:val="00C3596C"/>
    <w:rsid w:val="00C35AC8"/>
    <w:rsid w:val="00C35BEC"/>
    <w:rsid w:val="00C365C9"/>
    <w:rsid w:val="00C37844"/>
    <w:rsid w:val="00C3793C"/>
    <w:rsid w:val="00C379CF"/>
    <w:rsid w:val="00C40281"/>
    <w:rsid w:val="00C40543"/>
    <w:rsid w:val="00C406D8"/>
    <w:rsid w:val="00C40D06"/>
    <w:rsid w:val="00C40F55"/>
    <w:rsid w:val="00C411B1"/>
    <w:rsid w:val="00C4186E"/>
    <w:rsid w:val="00C41BD3"/>
    <w:rsid w:val="00C432B1"/>
    <w:rsid w:val="00C4334F"/>
    <w:rsid w:val="00C437A1"/>
    <w:rsid w:val="00C4396B"/>
    <w:rsid w:val="00C43B25"/>
    <w:rsid w:val="00C44806"/>
    <w:rsid w:val="00C453C6"/>
    <w:rsid w:val="00C45ACD"/>
    <w:rsid w:val="00C473EC"/>
    <w:rsid w:val="00C47653"/>
    <w:rsid w:val="00C50691"/>
    <w:rsid w:val="00C5097F"/>
    <w:rsid w:val="00C50DF7"/>
    <w:rsid w:val="00C50F79"/>
    <w:rsid w:val="00C51078"/>
    <w:rsid w:val="00C51701"/>
    <w:rsid w:val="00C524DA"/>
    <w:rsid w:val="00C5273E"/>
    <w:rsid w:val="00C52DBB"/>
    <w:rsid w:val="00C52E71"/>
    <w:rsid w:val="00C533F3"/>
    <w:rsid w:val="00C535B6"/>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C89"/>
    <w:rsid w:val="00C63ED8"/>
    <w:rsid w:val="00C64150"/>
    <w:rsid w:val="00C641A0"/>
    <w:rsid w:val="00C641B2"/>
    <w:rsid w:val="00C641E6"/>
    <w:rsid w:val="00C64A11"/>
    <w:rsid w:val="00C64B73"/>
    <w:rsid w:val="00C65B38"/>
    <w:rsid w:val="00C666BE"/>
    <w:rsid w:val="00C66ACF"/>
    <w:rsid w:val="00C66F63"/>
    <w:rsid w:val="00C7029F"/>
    <w:rsid w:val="00C7033D"/>
    <w:rsid w:val="00C70803"/>
    <w:rsid w:val="00C71148"/>
    <w:rsid w:val="00C7165F"/>
    <w:rsid w:val="00C72093"/>
    <w:rsid w:val="00C725B0"/>
    <w:rsid w:val="00C727B5"/>
    <w:rsid w:val="00C72B25"/>
    <w:rsid w:val="00C72B7B"/>
    <w:rsid w:val="00C72C66"/>
    <w:rsid w:val="00C72D0A"/>
    <w:rsid w:val="00C73807"/>
    <w:rsid w:val="00C73D69"/>
    <w:rsid w:val="00C7422B"/>
    <w:rsid w:val="00C74720"/>
    <w:rsid w:val="00C75CFB"/>
    <w:rsid w:val="00C764C5"/>
    <w:rsid w:val="00C7762C"/>
    <w:rsid w:val="00C77ED8"/>
    <w:rsid w:val="00C80726"/>
    <w:rsid w:val="00C808BE"/>
    <w:rsid w:val="00C811D8"/>
    <w:rsid w:val="00C81758"/>
    <w:rsid w:val="00C818A4"/>
    <w:rsid w:val="00C818FB"/>
    <w:rsid w:val="00C821A5"/>
    <w:rsid w:val="00C82553"/>
    <w:rsid w:val="00C82743"/>
    <w:rsid w:val="00C82A8F"/>
    <w:rsid w:val="00C8341C"/>
    <w:rsid w:val="00C84EEB"/>
    <w:rsid w:val="00C85700"/>
    <w:rsid w:val="00C85709"/>
    <w:rsid w:val="00C85A8C"/>
    <w:rsid w:val="00C861AF"/>
    <w:rsid w:val="00C86934"/>
    <w:rsid w:val="00C86CF9"/>
    <w:rsid w:val="00C86F35"/>
    <w:rsid w:val="00C8703D"/>
    <w:rsid w:val="00C87E70"/>
    <w:rsid w:val="00C87FE2"/>
    <w:rsid w:val="00C90128"/>
    <w:rsid w:val="00C90147"/>
    <w:rsid w:val="00C90924"/>
    <w:rsid w:val="00C90FBB"/>
    <w:rsid w:val="00C91754"/>
    <w:rsid w:val="00C91925"/>
    <w:rsid w:val="00C91CBC"/>
    <w:rsid w:val="00C91D23"/>
    <w:rsid w:val="00C931DB"/>
    <w:rsid w:val="00C93457"/>
    <w:rsid w:val="00C93936"/>
    <w:rsid w:val="00C93D7E"/>
    <w:rsid w:val="00C93FB8"/>
    <w:rsid w:val="00C95AB7"/>
    <w:rsid w:val="00C95C7E"/>
    <w:rsid w:val="00C95DD9"/>
    <w:rsid w:val="00C96EF0"/>
    <w:rsid w:val="00C97F7E"/>
    <w:rsid w:val="00CA0710"/>
    <w:rsid w:val="00CA0F36"/>
    <w:rsid w:val="00CA1B90"/>
    <w:rsid w:val="00CA2665"/>
    <w:rsid w:val="00CA2C0B"/>
    <w:rsid w:val="00CA31AA"/>
    <w:rsid w:val="00CA3398"/>
    <w:rsid w:val="00CA3FF3"/>
    <w:rsid w:val="00CA4294"/>
    <w:rsid w:val="00CA535A"/>
    <w:rsid w:val="00CA5926"/>
    <w:rsid w:val="00CA5AF0"/>
    <w:rsid w:val="00CA5E20"/>
    <w:rsid w:val="00CA5F80"/>
    <w:rsid w:val="00CA6B13"/>
    <w:rsid w:val="00CA7620"/>
    <w:rsid w:val="00CA784F"/>
    <w:rsid w:val="00CB0537"/>
    <w:rsid w:val="00CB13B3"/>
    <w:rsid w:val="00CB13C4"/>
    <w:rsid w:val="00CB2D32"/>
    <w:rsid w:val="00CB317A"/>
    <w:rsid w:val="00CB38A7"/>
    <w:rsid w:val="00CB4A49"/>
    <w:rsid w:val="00CB4F5C"/>
    <w:rsid w:val="00CB5323"/>
    <w:rsid w:val="00CB5ABE"/>
    <w:rsid w:val="00CB5C61"/>
    <w:rsid w:val="00CB6AAB"/>
    <w:rsid w:val="00CB754B"/>
    <w:rsid w:val="00CB7616"/>
    <w:rsid w:val="00CB7B15"/>
    <w:rsid w:val="00CB7D8D"/>
    <w:rsid w:val="00CC00C2"/>
    <w:rsid w:val="00CC0997"/>
    <w:rsid w:val="00CC0B50"/>
    <w:rsid w:val="00CC21EA"/>
    <w:rsid w:val="00CC25FD"/>
    <w:rsid w:val="00CC3120"/>
    <w:rsid w:val="00CC313F"/>
    <w:rsid w:val="00CC356E"/>
    <w:rsid w:val="00CC358D"/>
    <w:rsid w:val="00CC3D2E"/>
    <w:rsid w:val="00CC3EA6"/>
    <w:rsid w:val="00CC4638"/>
    <w:rsid w:val="00CC506D"/>
    <w:rsid w:val="00CC5171"/>
    <w:rsid w:val="00CC5263"/>
    <w:rsid w:val="00CC5E18"/>
    <w:rsid w:val="00CC5F32"/>
    <w:rsid w:val="00CC653C"/>
    <w:rsid w:val="00CC6A5D"/>
    <w:rsid w:val="00CC73A3"/>
    <w:rsid w:val="00CC76B0"/>
    <w:rsid w:val="00CC7BFB"/>
    <w:rsid w:val="00CC7D83"/>
    <w:rsid w:val="00CC7E0D"/>
    <w:rsid w:val="00CC7F15"/>
    <w:rsid w:val="00CD0002"/>
    <w:rsid w:val="00CD0C51"/>
    <w:rsid w:val="00CD1097"/>
    <w:rsid w:val="00CD10CD"/>
    <w:rsid w:val="00CD11BE"/>
    <w:rsid w:val="00CD11D1"/>
    <w:rsid w:val="00CD14C0"/>
    <w:rsid w:val="00CD2396"/>
    <w:rsid w:val="00CD2E0E"/>
    <w:rsid w:val="00CD3027"/>
    <w:rsid w:val="00CD3BEE"/>
    <w:rsid w:val="00CD3D67"/>
    <w:rsid w:val="00CD411B"/>
    <w:rsid w:val="00CD4433"/>
    <w:rsid w:val="00CD5305"/>
    <w:rsid w:val="00CD5604"/>
    <w:rsid w:val="00CD569C"/>
    <w:rsid w:val="00CD5986"/>
    <w:rsid w:val="00CD5B73"/>
    <w:rsid w:val="00CD5C9A"/>
    <w:rsid w:val="00CD5CF0"/>
    <w:rsid w:val="00CD5F20"/>
    <w:rsid w:val="00CD69E0"/>
    <w:rsid w:val="00CD6D54"/>
    <w:rsid w:val="00CD73BE"/>
    <w:rsid w:val="00CD79C1"/>
    <w:rsid w:val="00CE0102"/>
    <w:rsid w:val="00CE0122"/>
    <w:rsid w:val="00CE017E"/>
    <w:rsid w:val="00CE03F2"/>
    <w:rsid w:val="00CE098D"/>
    <w:rsid w:val="00CE09AF"/>
    <w:rsid w:val="00CE111C"/>
    <w:rsid w:val="00CE1754"/>
    <w:rsid w:val="00CE1BE3"/>
    <w:rsid w:val="00CE1C0A"/>
    <w:rsid w:val="00CE1D83"/>
    <w:rsid w:val="00CE1EBC"/>
    <w:rsid w:val="00CE2197"/>
    <w:rsid w:val="00CE248A"/>
    <w:rsid w:val="00CE2567"/>
    <w:rsid w:val="00CE2E57"/>
    <w:rsid w:val="00CE3048"/>
    <w:rsid w:val="00CE3845"/>
    <w:rsid w:val="00CE3853"/>
    <w:rsid w:val="00CE3AA2"/>
    <w:rsid w:val="00CE4197"/>
    <w:rsid w:val="00CE4670"/>
    <w:rsid w:val="00CE4955"/>
    <w:rsid w:val="00CE56A7"/>
    <w:rsid w:val="00CE576F"/>
    <w:rsid w:val="00CE5C93"/>
    <w:rsid w:val="00CE5D28"/>
    <w:rsid w:val="00CE6DD5"/>
    <w:rsid w:val="00CE6ED8"/>
    <w:rsid w:val="00CE7CDE"/>
    <w:rsid w:val="00CF08DC"/>
    <w:rsid w:val="00CF183A"/>
    <w:rsid w:val="00CF23B3"/>
    <w:rsid w:val="00CF271E"/>
    <w:rsid w:val="00CF2B88"/>
    <w:rsid w:val="00CF2E3F"/>
    <w:rsid w:val="00CF2F47"/>
    <w:rsid w:val="00CF362C"/>
    <w:rsid w:val="00CF3A4B"/>
    <w:rsid w:val="00CF42C5"/>
    <w:rsid w:val="00CF42D3"/>
    <w:rsid w:val="00CF4894"/>
    <w:rsid w:val="00CF4E8D"/>
    <w:rsid w:val="00CF5B30"/>
    <w:rsid w:val="00CF6522"/>
    <w:rsid w:val="00CF72B9"/>
    <w:rsid w:val="00CF7AD1"/>
    <w:rsid w:val="00CF7ECE"/>
    <w:rsid w:val="00D01E23"/>
    <w:rsid w:val="00D02270"/>
    <w:rsid w:val="00D024B1"/>
    <w:rsid w:val="00D036CF"/>
    <w:rsid w:val="00D03B1D"/>
    <w:rsid w:val="00D03F85"/>
    <w:rsid w:val="00D047D4"/>
    <w:rsid w:val="00D049FA"/>
    <w:rsid w:val="00D04D97"/>
    <w:rsid w:val="00D05150"/>
    <w:rsid w:val="00D05D22"/>
    <w:rsid w:val="00D05E91"/>
    <w:rsid w:val="00D05FC9"/>
    <w:rsid w:val="00D065A9"/>
    <w:rsid w:val="00D06B78"/>
    <w:rsid w:val="00D06CE1"/>
    <w:rsid w:val="00D07574"/>
    <w:rsid w:val="00D1001F"/>
    <w:rsid w:val="00D11062"/>
    <w:rsid w:val="00D11085"/>
    <w:rsid w:val="00D1143C"/>
    <w:rsid w:val="00D1145C"/>
    <w:rsid w:val="00D118F2"/>
    <w:rsid w:val="00D12C44"/>
    <w:rsid w:val="00D131DD"/>
    <w:rsid w:val="00D1330D"/>
    <w:rsid w:val="00D13A99"/>
    <w:rsid w:val="00D146C8"/>
    <w:rsid w:val="00D14F3E"/>
    <w:rsid w:val="00D155CA"/>
    <w:rsid w:val="00D15787"/>
    <w:rsid w:val="00D15ACC"/>
    <w:rsid w:val="00D15CF1"/>
    <w:rsid w:val="00D16785"/>
    <w:rsid w:val="00D16DE4"/>
    <w:rsid w:val="00D17774"/>
    <w:rsid w:val="00D17C57"/>
    <w:rsid w:val="00D17D51"/>
    <w:rsid w:val="00D17FA7"/>
    <w:rsid w:val="00D200C7"/>
    <w:rsid w:val="00D2088C"/>
    <w:rsid w:val="00D20C3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0F16"/>
    <w:rsid w:val="00D319BA"/>
    <w:rsid w:val="00D31A23"/>
    <w:rsid w:val="00D31D2D"/>
    <w:rsid w:val="00D31FE9"/>
    <w:rsid w:val="00D327C8"/>
    <w:rsid w:val="00D335E1"/>
    <w:rsid w:val="00D33FE9"/>
    <w:rsid w:val="00D345D3"/>
    <w:rsid w:val="00D34A25"/>
    <w:rsid w:val="00D34A67"/>
    <w:rsid w:val="00D34AC8"/>
    <w:rsid w:val="00D34E00"/>
    <w:rsid w:val="00D3677B"/>
    <w:rsid w:val="00D36C59"/>
    <w:rsid w:val="00D377DC"/>
    <w:rsid w:val="00D37F71"/>
    <w:rsid w:val="00D40534"/>
    <w:rsid w:val="00D40A70"/>
    <w:rsid w:val="00D40EA6"/>
    <w:rsid w:val="00D41478"/>
    <w:rsid w:val="00D414A6"/>
    <w:rsid w:val="00D41DEA"/>
    <w:rsid w:val="00D42B6C"/>
    <w:rsid w:val="00D431DA"/>
    <w:rsid w:val="00D437BA"/>
    <w:rsid w:val="00D43E76"/>
    <w:rsid w:val="00D44060"/>
    <w:rsid w:val="00D44CCD"/>
    <w:rsid w:val="00D45A7B"/>
    <w:rsid w:val="00D45CD3"/>
    <w:rsid w:val="00D45F37"/>
    <w:rsid w:val="00D460E6"/>
    <w:rsid w:val="00D466A2"/>
    <w:rsid w:val="00D46FEB"/>
    <w:rsid w:val="00D50365"/>
    <w:rsid w:val="00D50C6B"/>
    <w:rsid w:val="00D51371"/>
    <w:rsid w:val="00D51B44"/>
    <w:rsid w:val="00D51DB0"/>
    <w:rsid w:val="00D53E66"/>
    <w:rsid w:val="00D53EB2"/>
    <w:rsid w:val="00D548EE"/>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F13"/>
    <w:rsid w:val="00D63F4B"/>
    <w:rsid w:val="00D657B2"/>
    <w:rsid w:val="00D65DCA"/>
    <w:rsid w:val="00D6601C"/>
    <w:rsid w:val="00D66250"/>
    <w:rsid w:val="00D6627C"/>
    <w:rsid w:val="00D663C0"/>
    <w:rsid w:val="00D665BD"/>
    <w:rsid w:val="00D67657"/>
    <w:rsid w:val="00D678AD"/>
    <w:rsid w:val="00D700D0"/>
    <w:rsid w:val="00D70161"/>
    <w:rsid w:val="00D708B3"/>
    <w:rsid w:val="00D71648"/>
    <w:rsid w:val="00D71675"/>
    <w:rsid w:val="00D72961"/>
    <w:rsid w:val="00D73705"/>
    <w:rsid w:val="00D7379E"/>
    <w:rsid w:val="00D73F0E"/>
    <w:rsid w:val="00D74226"/>
    <w:rsid w:val="00D75384"/>
    <w:rsid w:val="00D758FB"/>
    <w:rsid w:val="00D75F33"/>
    <w:rsid w:val="00D76F5B"/>
    <w:rsid w:val="00D77F60"/>
    <w:rsid w:val="00D80997"/>
    <w:rsid w:val="00D80D30"/>
    <w:rsid w:val="00D810EF"/>
    <w:rsid w:val="00D8136C"/>
    <w:rsid w:val="00D813BF"/>
    <w:rsid w:val="00D817AA"/>
    <w:rsid w:val="00D819D3"/>
    <w:rsid w:val="00D821AD"/>
    <w:rsid w:val="00D8287A"/>
    <w:rsid w:val="00D8344B"/>
    <w:rsid w:val="00D8356D"/>
    <w:rsid w:val="00D84356"/>
    <w:rsid w:val="00D84371"/>
    <w:rsid w:val="00D84F42"/>
    <w:rsid w:val="00D8508C"/>
    <w:rsid w:val="00D85213"/>
    <w:rsid w:val="00D858E9"/>
    <w:rsid w:val="00D85F87"/>
    <w:rsid w:val="00D86352"/>
    <w:rsid w:val="00D869F2"/>
    <w:rsid w:val="00D86EB1"/>
    <w:rsid w:val="00D86F0C"/>
    <w:rsid w:val="00D87115"/>
    <w:rsid w:val="00D908C0"/>
    <w:rsid w:val="00D911A5"/>
    <w:rsid w:val="00D91A41"/>
    <w:rsid w:val="00D9207E"/>
    <w:rsid w:val="00D92167"/>
    <w:rsid w:val="00D923D9"/>
    <w:rsid w:val="00D92613"/>
    <w:rsid w:val="00D92B5F"/>
    <w:rsid w:val="00D93E5B"/>
    <w:rsid w:val="00D94395"/>
    <w:rsid w:val="00D955A3"/>
    <w:rsid w:val="00D95679"/>
    <w:rsid w:val="00D95958"/>
    <w:rsid w:val="00D9625A"/>
    <w:rsid w:val="00D9641C"/>
    <w:rsid w:val="00D97D8A"/>
    <w:rsid w:val="00DA0505"/>
    <w:rsid w:val="00DA0CCB"/>
    <w:rsid w:val="00DA100D"/>
    <w:rsid w:val="00DA1051"/>
    <w:rsid w:val="00DA167F"/>
    <w:rsid w:val="00DA1A40"/>
    <w:rsid w:val="00DA1BAF"/>
    <w:rsid w:val="00DA1CE6"/>
    <w:rsid w:val="00DA1D37"/>
    <w:rsid w:val="00DA2B9D"/>
    <w:rsid w:val="00DA4022"/>
    <w:rsid w:val="00DA4106"/>
    <w:rsid w:val="00DA43A4"/>
    <w:rsid w:val="00DA4806"/>
    <w:rsid w:val="00DA5476"/>
    <w:rsid w:val="00DA5A8D"/>
    <w:rsid w:val="00DA6BDF"/>
    <w:rsid w:val="00DA7015"/>
    <w:rsid w:val="00DA70BD"/>
    <w:rsid w:val="00DA73B0"/>
    <w:rsid w:val="00DA7511"/>
    <w:rsid w:val="00DA7575"/>
    <w:rsid w:val="00DB0201"/>
    <w:rsid w:val="00DB0DB7"/>
    <w:rsid w:val="00DB13E8"/>
    <w:rsid w:val="00DB17D1"/>
    <w:rsid w:val="00DB1A74"/>
    <w:rsid w:val="00DB1FB6"/>
    <w:rsid w:val="00DB2896"/>
    <w:rsid w:val="00DB2DE9"/>
    <w:rsid w:val="00DB2EA7"/>
    <w:rsid w:val="00DB2F08"/>
    <w:rsid w:val="00DB2F72"/>
    <w:rsid w:val="00DB300D"/>
    <w:rsid w:val="00DB47BA"/>
    <w:rsid w:val="00DB4965"/>
    <w:rsid w:val="00DB4C09"/>
    <w:rsid w:val="00DB5807"/>
    <w:rsid w:val="00DB5BE8"/>
    <w:rsid w:val="00DB5E2B"/>
    <w:rsid w:val="00DB64D3"/>
    <w:rsid w:val="00DB6B72"/>
    <w:rsid w:val="00DB70B7"/>
    <w:rsid w:val="00DB74CB"/>
    <w:rsid w:val="00DB7562"/>
    <w:rsid w:val="00DB77ED"/>
    <w:rsid w:val="00DB7F62"/>
    <w:rsid w:val="00DC058B"/>
    <w:rsid w:val="00DC12AA"/>
    <w:rsid w:val="00DC1604"/>
    <w:rsid w:val="00DC1BF2"/>
    <w:rsid w:val="00DC2384"/>
    <w:rsid w:val="00DC290D"/>
    <w:rsid w:val="00DC3B0A"/>
    <w:rsid w:val="00DC43C5"/>
    <w:rsid w:val="00DC4A18"/>
    <w:rsid w:val="00DC4E8A"/>
    <w:rsid w:val="00DC4ED9"/>
    <w:rsid w:val="00DC5348"/>
    <w:rsid w:val="00DC565A"/>
    <w:rsid w:val="00DC5A22"/>
    <w:rsid w:val="00DC5B3B"/>
    <w:rsid w:val="00DC649A"/>
    <w:rsid w:val="00DC7474"/>
    <w:rsid w:val="00DC762B"/>
    <w:rsid w:val="00DC79C7"/>
    <w:rsid w:val="00DC79D0"/>
    <w:rsid w:val="00DD014C"/>
    <w:rsid w:val="00DD0305"/>
    <w:rsid w:val="00DD06F4"/>
    <w:rsid w:val="00DD0DD7"/>
    <w:rsid w:val="00DD0FFC"/>
    <w:rsid w:val="00DD1BA4"/>
    <w:rsid w:val="00DD1D58"/>
    <w:rsid w:val="00DD22EE"/>
    <w:rsid w:val="00DD2875"/>
    <w:rsid w:val="00DD2F3F"/>
    <w:rsid w:val="00DD2F4F"/>
    <w:rsid w:val="00DD3308"/>
    <w:rsid w:val="00DD3A92"/>
    <w:rsid w:val="00DD40D7"/>
    <w:rsid w:val="00DD4642"/>
    <w:rsid w:val="00DD4A96"/>
    <w:rsid w:val="00DD5028"/>
    <w:rsid w:val="00DD579B"/>
    <w:rsid w:val="00DD64CD"/>
    <w:rsid w:val="00DD6B38"/>
    <w:rsid w:val="00DD6B48"/>
    <w:rsid w:val="00DD6EEB"/>
    <w:rsid w:val="00DD704F"/>
    <w:rsid w:val="00DD749E"/>
    <w:rsid w:val="00DD7682"/>
    <w:rsid w:val="00DD7740"/>
    <w:rsid w:val="00DD7ABB"/>
    <w:rsid w:val="00DE011C"/>
    <w:rsid w:val="00DE107A"/>
    <w:rsid w:val="00DE1B18"/>
    <w:rsid w:val="00DE25D9"/>
    <w:rsid w:val="00DE2ACE"/>
    <w:rsid w:val="00DE3121"/>
    <w:rsid w:val="00DE326A"/>
    <w:rsid w:val="00DE3F1E"/>
    <w:rsid w:val="00DE3F5B"/>
    <w:rsid w:val="00DE48A5"/>
    <w:rsid w:val="00DE48FC"/>
    <w:rsid w:val="00DE49FF"/>
    <w:rsid w:val="00DE52F5"/>
    <w:rsid w:val="00DE5571"/>
    <w:rsid w:val="00DE569A"/>
    <w:rsid w:val="00DE5777"/>
    <w:rsid w:val="00DE6259"/>
    <w:rsid w:val="00DE633A"/>
    <w:rsid w:val="00DE6A7A"/>
    <w:rsid w:val="00DE6B62"/>
    <w:rsid w:val="00DE6C33"/>
    <w:rsid w:val="00DE6E75"/>
    <w:rsid w:val="00DE7846"/>
    <w:rsid w:val="00DF0A68"/>
    <w:rsid w:val="00DF0D87"/>
    <w:rsid w:val="00DF0E37"/>
    <w:rsid w:val="00DF0F9C"/>
    <w:rsid w:val="00DF185B"/>
    <w:rsid w:val="00DF1970"/>
    <w:rsid w:val="00DF2502"/>
    <w:rsid w:val="00DF2801"/>
    <w:rsid w:val="00DF2989"/>
    <w:rsid w:val="00DF2EED"/>
    <w:rsid w:val="00DF3D4E"/>
    <w:rsid w:val="00DF40E3"/>
    <w:rsid w:val="00DF428F"/>
    <w:rsid w:val="00DF4334"/>
    <w:rsid w:val="00DF4605"/>
    <w:rsid w:val="00DF5FCF"/>
    <w:rsid w:val="00DF6A19"/>
    <w:rsid w:val="00DF6BFD"/>
    <w:rsid w:val="00DF6D0B"/>
    <w:rsid w:val="00DF6E92"/>
    <w:rsid w:val="00DF73E8"/>
    <w:rsid w:val="00DF74CD"/>
    <w:rsid w:val="00DF79C8"/>
    <w:rsid w:val="00DF7D16"/>
    <w:rsid w:val="00E0046E"/>
    <w:rsid w:val="00E02428"/>
    <w:rsid w:val="00E026BC"/>
    <w:rsid w:val="00E02825"/>
    <w:rsid w:val="00E028D4"/>
    <w:rsid w:val="00E02E6A"/>
    <w:rsid w:val="00E02EA7"/>
    <w:rsid w:val="00E03127"/>
    <w:rsid w:val="00E03A4A"/>
    <w:rsid w:val="00E03C05"/>
    <w:rsid w:val="00E03EF9"/>
    <w:rsid w:val="00E04E8B"/>
    <w:rsid w:val="00E066EC"/>
    <w:rsid w:val="00E06ADA"/>
    <w:rsid w:val="00E1001B"/>
    <w:rsid w:val="00E118F0"/>
    <w:rsid w:val="00E11F7B"/>
    <w:rsid w:val="00E1236A"/>
    <w:rsid w:val="00E125B8"/>
    <w:rsid w:val="00E13060"/>
    <w:rsid w:val="00E130F0"/>
    <w:rsid w:val="00E14190"/>
    <w:rsid w:val="00E14207"/>
    <w:rsid w:val="00E14905"/>
    <w:rsid w:val="00E15007"/>
    <w:rsid w:val="00E159CD"/>
    <w:rsid w:val="00E15BFC"/>
    <w:rsid w:val="00E15C9F"/>
    <w:rsid w:val="00E163E3"/>
    <w:rsid w:val="00E16E6B"/>
    <w:rsid w:val="00E1712A"/>
    <w:rsid w:val="00E172DE"/>
    <w:rsid w:val="00E174F3"/>
    <w:rsid w:val="00E17D7B"/>
    <w:rsid w:val="00E204B4"/>
    <w:rsid w:val="00E211AD"/>
    <w:rsid w:val="00E2130B"/>
    <w:rsid w:val="00E21B11"/>
    <w:rsid w:val="00E21BF7"/>
    <w:rsid w:val="00E22021"/>
    <w:rsid w:val="00E226A6"/>
    <w:rsid w:val="00E23110"/>
    <w:rsid w:val="00E24429"/>
    <w:rsid w:val="00E24528"/>
    <w:rsid w:val="00E248FF"/>
    <w:rsid w:val="00E253A3"/>
    <w:rsid w:val="00E254E1"/>
    <w:rsid w:val="00E25D58"/>
    <w:rsid w:val="00E25D7E"/>
    <w:rsid w:val="00E26CF2"/>
    <w:rsid w:val="00E26CF7"/>
    <w:rsid w:val="00E2704F"/>
    <w:rsid w:val="00E27B66"/>
    <w:rsid w:val="00E3071E"/>
    <w:rsid w:val="00E319C0"/>
    <w:rsid w:val="00E31AC7"/>
    <w:rsid w:val="00E31B5A"/>
    <w:rsid w:val="00E31C6D"/>
    <w:rsid w:val="00E33A00"/>
    <w:rsid w:val="00E33E47"/>
    <w:rsid w:val="00E345CE"/>
    <w:rsid w:val="00E34EB9"/>
    <w:rsid w:val="00E35205"/>
    <w:rsid w:val="00E36161"/>
    <w:rsid w:val="00E36512"/>
    <w:rsid w:val="00E36C1E"/>
    <w:rsid w:val="00E36F14"/>
    <w:rsid w:val="00E36FA1"/>
    <w:rsid w:val="00E370A0"/>
    <w:rsid w:val="00E3775F"/>
    <w:rsid w:val="00E379B4"/>
    <w:rsid w:val="00E37A89"/>
    <w:rsid w:val="00E4010A"/>
    <w:rsid w:val="00E40E0E"/>
    <w:rsid w:val="00E41113"/>
    <w:rsid w:val="00E41301"/>
    <w:rsid w:val="00E416C2"/>
    <w:rsid w:val="00E41AAB"/>
    <w:rsid w:val="00E420E0"/>
    <w:rsid w:val="00E4223E"/>
    <w:rsid w:val="00E42703"/>
    <w:rsid w:val="00E42945"/>
    <w:rsid w:val="00E43644"/>
    <w:rsid w:val="00E43A1F"/>
    <w:rsid w:val="00E43C13"/>
    <w:rsid w:val="00E43D26"/>
    <w:rsid w:val="00E44444"/>
    <w:rsid w:val="00E445BA"/>
    <w:rsid w:val="00E44E2E"/>
    <w:rsid w:val="00E45358"/>
    <w:rsid w:val="00E45992"/>
    <w:rsid w:val="00E508DB"/>
    <w:rsid w:val="00E5093C"/>
    <w:rsid w:val="00E50F1D"/>
    <w:rsid w:val="00E5182A"/>
    <w:rsid w:val="00E53225"/>
    <w:rsid w:val="00E545B8"/>
    <w:rsid w:val="00E5477C"/>
    <w:rsid w:val="00E54B46"/>
    <w:rsid w:val="00E54F01"/>
    <w:rsid w:val="00E550A2"/>
    <w:rsid w:val="00E55733"/>
    <w:rsid w:val="00E55F6F"/>
    <w:rsid w:val="00E5661C"/>
    <w:rsid w:val="00E56894"/>
    <w:rsid w:val="00E57178"/>
    <w:rsid w:val="00E575C1"/>
    <w:rsid w:val="00E57727"/>
    <w:rsid w:val="00E57BEB"/>
    <w:rsid w:val="00E60C85"/>
    <w:rsid w:val="00E611D6"/>
    <w:rsid w:val="00E615FB"/>
    <w:rsid w:val="00E61D6F"/>
    <w:rsid w:val="00E62565"/>
    <w:rsid w:val="00E62EE0"/>
    <w:rsid w:val="00E64042"/>
    <w:rsid w:val="00E6407B"/>
    <w:rsid w:val="00E64114"/>
    <w:rsid w:val="00E6497C"/>
    <w:rsid w:val="00E65C8A"/>
    <w:rsid w:val="00E65CD6"/>
    <w:rsid w:val="00E6676D"/>
    <w:rsid w:val="00E66E47"/>
    <w:rsid w:val="00E67C5A"/>
    <w:rsid w:val="00E70870"/>
    <w:rsid w:val="00E71005"/>
    <w:rsid w:val="00E7151E"/>
    <w:rsid w:val="00E7276F"/>
    <w:rsid w:val="00E73994"/>
    <w:rsid w:val="00E73A40"/>
    <w:rsid w:val="00E73BEA"/>
    <w:rsid w:val="00E73D90"/>
    <w:rsid w:val="00E74143"/>
    <w:rsid w:val="00E744F3"/>
    <w:rsid w:val="00E75596"/>
    <w:rsid w:val="00E75708"/>
    <w:rsid w:val="00E75862"/>
    <w:rsid w:val="00E76035"/>
    <w:rsid w:val="00E7640C"/>
    <w:rsid w:val="00E7652E"/>
    <w:rsid w:val="00E77695"/>
    <w:rsid w:val="00E810D5"/>
    <w:rsid w:val="00E83E76"/>
    <w:rsid w:val="00E8403B"/>
    <w:rsid w:val="00E844C9"/>
    <w:rsid w:val="00E8487C"/>
    <w:rsid w:val="00E84A95"/>
    <w:rsid w:val="00E84D50"/>
    <w:rsid w:val="00E85479"/>
    <w:rsid w:val="00E854DA"/>
    <w:rsid w:val="00E854FA"/>
    <w:rsid w:val="00E85723"/>
    <w:rsid w:val="00E85D8B"/>
    <w:rsid w:val="00E85EF5"/>
    <w:rsid w:val="00E85F01"/>
    <w:rsid w:val="00E861BB"/>
    <w:rsid w:val="00E865E5"/>
    <w:rsid w:val="00E86813"/>
    <w:rsid w:val="00E86CA0"/>
    <w:rsid w:val="00E87507"/>
    <w:rsid w:val="00E87A14"/>
    <w:rsid w:val="00E87B6C"/>
    <w:rsid w:val="00E87E27"/>
    <w:rsid w:val="00E87E2D"/>
    <w:rsid w:val="00E91368"/>
    <w:rsid w:val="00E91732"/>
    <w:rsid w:val="00E92018"/>
    <w:rsid w:val="00E92525"/>
    <w:rsid w:val="00E928D2"/>
    <w:rsid w:val="00E92CB0"/>
    <w:rsid w:val="00E92CB8"/>
    <w:rsid w:val="00E92E2E"/>
    <w:rsid w:val="00E9325D"/>
    <w:rsid w:val="00E93D18"/>
    <w:rsid w:val="00E93FCF"/>
    <w:rsid w:val="00E94242"/>
    <w:rsid w:val="00E948A6"/>
    <w:rsid w:val="00E94ABE"/>
    <w:rsid w:val="00E94CFF"/>
    <w:rsid w:val="00E94DB3"/>
    <w:rsid w:val="00E95259"/>
    <w:rsid w:val="00E95693"/>
    <w:rsid w:val="00E95B70"/>
    <w:rsid w:val="00E95EC6"/>
    <w:rsid w:val="00E960A7"/>
    <w:rsid w:val="00E96493"/>
    <w:rsid w:val="00E9702E"/>
    <w:rsid w:val="00E97FCE"/>
    <w:rsid w:val="00EA068C"/>
    <w:rsid w:val="00EA0E8C"/>
    <w:rsid w:val="00EA1F27"/>
    <w:rsid w:val="00EA2055"/>
    <w:rsid w:val="00EA2F9B"/>
    <w:rsid w:val="00EA3A79"/>
    <w:rsid w:val="00EA3BC3"/>
    <w:rsid w:val="00EA3F77"/>
    <w:rsid w:val="00EA482B"/>
    <w:rsid w:val="00EA4B08"/>
    <w:rsid w:val="00EA4FFF"/>
    <w:rsid w:val="00EA5658"/>
    <w:rsid w:val="00EA5B2C"/>
    <w:rsid w:val="00EA5BCB"/>
    <w:rsid w:val="00EA5CF5"/>
    <w:rsid w:val="00EA650C"/>
    <w:rsid w:val="00EA654C"/>
    <w:rsid w:val="00EA6562"/>
    <w:rsid w:val="00EA7976"/>
    <w:rsid w:val="00EB0A79"/>
    <w:rsid w:val="00EB12D9"/>
    <w:rsid w:val="00EB148C"/>
    <w:rsid w:val="00EB14F8"/>
    <w:rsid w:val="00EB24C1"/>
    <w:rsid w:val="00EB281A"/>
    <w:rsid w:val="00EB2E21"/>
    <w:rsid w:val="00EB3201"/>
    <w:rsid w:val="00EB3673"/>
    <w:rsid w:val="00EB38E5"/>
    <w:rsid w:val="00EB38F6"/>
    <w:rsid w:val="00EB41DA"/>
    <w:rsid w:val="00EB42DA"/>
    <w:rsid w:val="00EB4602"/>
    <w:rsid w:val="00EB4CB0"/>
    <w:rsid w:val="00EB508E"/>
    <w:rsid w:val="00EB5140"/>
    <w:rsid w:val="00EB52E4"/>
    <w:rsid w:val="00EB54DB"/>
    <w:rsid w:val="00EB5FDD"/>
    <w:rsid w:val="00EB6152"/>
    <w:rsid w:val="00EB6233"/>
    <w:rsid w:val="00EB6282"/>
    <w:rsid w:val="00EB6766"/>
    <w:rsid w:val="00EB676B"/>
    <w:rsid w:val="00EB6D55"/>
    <w:rsid w:val="00EB70E4"/>
    <w:rsid w:val="00EB72BB"/>
    <w:rsid w:val="00EB7977"/>
    <w:rsid w:val="00EB79F6"/>
    <w:rsid w:val="00EB7E32"/>
    <w:rsid w:val="00EC0AB0"/>
    <w:rsid w:val="00EC0DD3"/>
    <w:rsid w:val="00EC1379"/>
    <w:rsid w:val="00EC1893"/>
    <w:rsid w:val="00EC1F62"/>
    <w:rsid w:val="00EC2C6D"/>
    <w:rsid w:val="00EC495B"/>
    <w:rsid w:val="00EC4A5B"/>
    <w:rsid w:val="00EC4A80"/>
    <w:rsid w:val="00EC4F36"/>
    <w:rsid w:val="00EC509C"/>
    <w:rsid w:val="00EC5223"/>
    <w:rsid w:val="00EC5F92"/>
    <w:rsid w:val="00EC659D"/>
    <w:rsid w:val="00EC670E"/>
    <w:rsid w:val="00EC6BC6"/>
    <w:rsid w:val="00EC6DF3"/>
    <w:rsid w:val="00EC7026"/>
    <w:rsid w:val="00EC70AF"/>
    <w:rsid w:val="00EC72D0"/>
    <w:rsid w:val="00EC79C1"/>
    <w:rsid w:val="00ED0E07"/>
    <w:rsid w:val="00ED1160"/>
    <w:rsid w:val="00ED124D"/>
    <w:rsid w:val="00ED15E9"/>
    <w:rsid w:val="00ED2862"/>
    <w:rsid w:val="00ED32CB"/>
    <w:rsid w:val="00ED388F"/>
    <w:rsid w:val="00ED3F36"/>
    <w:rsid w:val="00ED429B"/>
    <w:rsid w:val="00ED42D3"/>
    <w:rsid w:val="00ED44B1"/>
    <w:rsid w:val="00ED46F1"/>
    <w:rsid w:val="00ED4CDE"/>
    <w:rsid w:val="00ED4FB5"/>
    <w:rsid w:val="00ED511B"/>
    <w:rsid w:val="00ED5BEF"/>
    <w:rsid w:val="00ED606F"/>
    <w:rsid w:val="00ED6C03"/>
    <w:rsid w:val="00ED6DE7"/>
    <w:rsid w:val="00EE056E"/>
    <w:rsid w:val="00EE139B"/>
    <w:rsid w:val="00EE2095"/>
    <w:rsid w:val="00EE2BA1"/>
    <w:rsid w:val="00EE30EE"/>
    <w:rsid w:val="00EE3424"/>
    <w:rsid w:val="00EE37F1"/>
    <w:rsid w:val="00EE39CE"/>
    <w:rsid w:val="00EE4354"/>
    <w:rsid w:val="00EE4612"/>
    <w:rsid w:val="00EE4811"/>
    <w:rsid w:val="00EE506A"/>
    <w:rsid w:val="00EE5F71"/>
    <w:rsid w:val="00EE683E"/>
    <w:rsid w:val="00EE6875"/>
    <w:rsid w:val="00EE6998"/>
    <w:rsid w:val="00EE78C6"/>
    <w:rsid w:val="00EE7E38"/>
    <w:rsid w:val="00EF0FA6"/>
    <w:rsid w:val="00EF16D6"/>
    <w:rsid w:val="00EF2111"/>
    <w:rsid w:val="00EF2819"/>
    <w:rsid w:val="00EF2C13"/>
    <w:rsid w:val="00EF307B"/>
    <w:rsid w:val="00EF340F"/>
    <w:rsid w:val="00EF3542"/>
    <w:rsid w:val="00EF3A82"/>
    <w:rsid w:val="00EF3EC9"/>
    <w:rsid w:val="00EF411F"/>
    <w:rsid w:val="00EF502D"/>
    <w:rsid w:val="00EF58A7"/>
    <w:rsid w:val="00EF5E21"/>
    <w:rsid w:val="00EF61C4"/>
    <w:rsid w:val="00EF68FC"/>
    <w:rsid w:val="00EF723D"/>
    <w:rsid w:val="00EF72C6"/>
    <w:rsid w:val="00EF7BD6"/>
    <w:rsid w:val="00EF7F65"/>
    <w:rsid w:val="00F016C2"/>
    <w:rsid w:val="00F01D9B"/>
    <w:rsid w:val="00F01DB8"/>
    <w:rsid w:val="00F01FB4"/>
    <w:rsid w:val="00F02A42"/>
    <w:rsid w:val="00F02F18"/>
    <w:rsid w:val="00F03075"/>
    <w:rsid w:val="00F032B2"/>
    <w:rsid w:val="00F0455B"/>
    <w:rsid w:val="00F04684"/>
    <w:rsid w:val="00F047DB"/>
    <w:rsid w:val="00F04B5F"/>
    <w:rsid w:val="00F04FC7"/>
    <w:rsid w:val="00F05279"/>
    <w:rsid w:val="00F053B0"/>
    <w:rsid w:val="00F0562F"/>
    <w:rsid w:val="00F05AEB"/>
    <w:rsid w:val="00F067C7"/>
    <w:rsid w:val="00F06881"/>
    <w:rsid w:val="00F06D2A"/>
    <w:rsid w:val="00F1016E"/>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C93"/>
    <w:rsid w:val="00F16F98"/>
    <w:rsid w:val="00F1743D"/>
    <w:rsid w:val="00F179D6"/>
    <w:rsid w:val="00F17A01"/>
    <w:rsid w:val="00F2015C"/>
    <w:rsid w:val="00F2225F"/>
    <w:rsid w:val="00F22761"/>
    <w:rsid w:val="00F22776"/>
    <w:rsid w:val="00F2289E"/>
    <w:rsid w:val="00F22AD0"/>
    <w:rsid w:val="00F22F34"/>
    <w:rsid w:val="00F240C3"/>
    <w:rsid w:val="00F245D4"/>
    <w:rsid w:val="00F247E8"/>
    <w:rsid w:val="00F25420"/>
    <w:rsid w:val="00F2588E"/>
    <w:rsid w:val="00F25F25"/>
    <w:rsid w:val="00F25F9D"/>
    <w:rsid w:val="00F2741F"/>
    <w:rsid w:val="00F27433"/>
    <w:rsid w:val="00F27477"/>
    <w:rsid w:val="00F306EF"/>
    <w:rsid w:val="00F309E1"/>
    <w:rsid w:val="00F31036"/>
    <w:rsid w:val="00F3192D"/>
    <w:rsid w:val="00F32A48"/>
    <w:rsid w:val="00F32E84"/>
    <w:rsid w:val="00F335D7"/>
    <w:rsid w:val="00F336A4"/>
    <w:rsid w:val="00F33C38"/>
    <w:rsid w:val="00F33F71"/>
    <w:rsid w:val="00F3440B"/>
    <w:rsid w:val="00F34427"/>
    <w:rsid w:val="00F35A07"/>
    <w:rsid w:val="00F35F29"/>
    <w:rsid w:val="00F36710"/>
    <w:rsid w:val="00F367A1"/>
    <w:rsid w:val="00F36CD7"/>
    <w:rsid w:val="00F37916"/>
    <w:rsid w:val="00F3791C"/>
    <w:rsid w:val="00F40A4D"/>
    <w:rsid w:val="00F40CC4"/>
    <w:rsid w:val="00F41DC5"/>
    <w:rsid w:val="00F42406"/>
    <w:rsid w:val="00F42894"/>
    <w:rsid w:val="00F4396A"/>
    <w:rsid w:val="00F44886"/>
    <w:rsid w:val="00F44D99"/>
    <w:rsid w:val="00F455E2"/>
    <w:rsid w:val="00F45693"/>
    <w:rsid w:val="00F45AC3"/>
    <w:rsid w:val="00F462FD"/>
    <w:rsid w:val="00F46490"/>
    <w:rsid w:val="00F4667A"/>
    <w:rsid w:val="00F47553"/>
    <w:rsid w:val="00F50444"/>
    <w:rsid w:val="00F50642"/>
    <w:rsid w:val="00F50765"/>
    <w:rsid w:val="00F5143E"/>
    <w:rsid w:val="00F51B58"/>
    <w:rsid w:val="00F51D52"/>
    <w:rsid w:val="00F52202"/>
    <w:rsid w:val="00F52553"/>
    <w:rsid w:val="00F52813"/>
    <w:rsid w:val="00F52B5D"/>
    <w:rsid w:val="00F52FA3"/>
    <w:rsid w:val="00F531FB"/>
    <w:rsid w:val="00F533A0"/>
    <w:rsid w:val="00F53A43"/>
    <w:rsid w:val="00F54C6B"/>
    <w:rsid w:val="00F54CB3"/>
    <w:rsid w:val="00F56187"/>
    <w:rsid w:val="00F56234"/>
    <w:rsid w:val="00F567F7"/>
    <w:rsid w:val="00F56EC8"/>
    <w:rsid w:val="00F57C26"/>
    <w:rsid w:val="00F61257"/>
    <w:rsid w:val="00F6130B"/>
    <w:rsid w:val="00F615B4"/>
    <w:rsid w:val="00F6179B"/>
    <w:rsid w:val="00F61B7E"/>
    <w:rsid w:val="00F61DA2"/>
    <w:rsid w:val="00F61F6B"/>
    <w:rsid w:val="00F62A33"/>
    <w:rsid w:val="00F62BD1"/>
    <w:rsid w:val="00F6301B"/>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256"/>
    <w:rsid w:val="00F710CC"/>
    <w:rsid w:val="00F7156F"/>
    <w:rsid w:val="00F7181E"/>
    <w:rsid w:val="00F72999"/>
    <w:rsid w:val="00F72F98"/>
    <w:rsid w:val="00F73995"/>
    <w:rsid w:val="00F73D98"/>
    <w:rsid w:val="00F73E34"/>
    <w:rsid w:val="00F73F41"/>
    <w:rsid w:val="00F73FBA"/>
    <w:rsid w:val="00F744BF"/>
    <w:rsid w:val="00F74817"/>
    <w:rsid w:val="00F74E19"/>
    <w:rsid w:val="00F7533A"/>
    <w:rsid w:val="00F757E5"/>
    <w:rsid w:val="00F759FF"/>
    <w:rsid w:val="00F76C0B"/>
    <w:rsid w:val="00F771DB"/>
    <w:rsid w:val="00F77591"/>
    <w:rsid w:val="00F775BD"/>
    <w:rsid w:val="00F7785B"/>
    <w:rsid w:val="00F77A95"/>
    <w:rsid w:val="00F8295F"/>
    <w:rsid w:val="00F82A13"/>
    <w:rsid w:val="00F83541"/>
    <w:rsid w:val="00F83AA2"/>
    <w:rsid w:val="00F85B0F"/>
    <w:rsid w:val="00F85B17"/>
    <w:rsid w:val="00F85B45"/>
    <w:rsid w:val="00F86379"/>
    <w:rsid w:val="00F86752"/>
    <w:rsid w:val="00F867D3"/>
    <w:rsid w:val="00F87069"/>
    <w:rsid w:val="00F87816"/>
    <w:rsid w:val="00F87E24"/>
    <w:rsid w:val="00F9056F"/>
    <w:rsid w:val="00F90EF8"/>
    <w:rsid w:val="00F910FF"/>
    <w:rsid w:val="00F91596"/>
    <w:rsid w:val="00F91AAC"/>
    <w:rsid w:val="00F91C52"/>
    <w:rsid w:val="00F923BC"/>
    <w:rsid w:val="00F938AB"/>
    <w:rsid w:val="00F94737"/>
    <w:rsid w:val="00F948C1"/>
    <w:rsid w:val="00F9535C"/>
    <w:rsid w:val="00F958D9"/>
    <w:rsid w:val="00F95D0E"/>
    <w:rsid w:val="00F960AB"/>
    <w:rsid w:val="00F96287"/>
    <w:rsid w:val="00F96430"/>
    <w:rsid w:val="00F9651B"/>
    <w:rsid w:val="00F96766"/>
    <w:rsid w:val="00F979D2"/>
    <w:rsid w:val="00FA10CB"/>
    <w:rsid w:val="00FA2525"/>
    <w:rsid w:val="00FA28EA"/>
    <w:rsid w:val="00FA3862"/>
    <w:rsid w:val="00FA3D12"/>
    <w:rsid w:val="00FA3FE9"/>
    <w:rsid w:val="00FA4A03"/>
    <w:rsid w:val="00FA4ACA"/>
    <w:rsid w:val="00FA4F0E"/>
    <w:rsid w:val="00FA5590"/>
    <w:rsid w:val="00FA62CC"/>
    <w:rsid w:val="00FA65AF"/>
    <w:rsid w:val="00FA685F"/>
    <w:rsid w:val="00FA6BEF"/>
    <w:rsid w:val="00FA6DFC"/>
    <w:rsid w:val="00FA70E3"/>
    <w:rsid w:val="00FA731D"/>
    <w:rsid w:val="00FA76D7"/>
    <w:rsid w:val="00FB003F"/>
    <w:rsid w:val="00FB2081"/>
    <w:rsid w:val="00FB217E"/>
    <w:rsid w:val="00FB2789"/>
    <w:rsid w:val="00FB2826"/>
    <w:rsid w:val="00FB5625"/>
    <w:rsid w:val="00FB567F"/>
    <w:rsid w:val="00FB5C42"/>
    <w:rsid w:val="00FB6A68"/>
    <w:rsid w:val="00FB76A7"/>
    <w:rsid w:val="00FB77A2"/>
    <w:rsid w:val="00FB7AAC"/>
    <w:rsid w:val="00FC057D"/>
    <w:rsid w:val="00FC062D"/>
    <w:rsid w:val="00FC0820"/>
    <w:rsid w:val="00FC0826"/>
    <w:rsid w:val="00FC0D3E"/>
    <w:rsid w:val="00FC0EA3"/>
    <w:rsid w:val="00FC0FAD"/>
    <w:rsid w:val="00FC114B"/>
    <w:rsid w:val="00FC1587"/>
    <w:rsid w:val="00FC1643"/>
    <w:rsid w:val="00FC1DC1"/>
    <w:rsid w:val="00FC30B2"/>
    <w:rsid w:val="00FC5806"/>
    <w:rsid w:val="00FC71AC"/>
    <w:rsid w:val="00FC77D3"/>
    <w:rsid w:val="00FC7CF1"/>
    <w:rsid w:val="00FD03E5"/>
    <w:rsid w:val="00FD0C83"/>
    <w:rsid w:val="00FD15E0"/>
    <w:rsid w:val="00FD1D2C"/>
    <w:rsid w:val="00FD29D7"/>
    <w:rsid w:val="00FD371B"/>
    <w:rsid w:val="00FD37DD"/>
    <w:rsid w:val="00FD384B"/>
    <w:rsid w:val="00FD3CB2"/>
    <w:rsid w:val="00FD4B69"/>
    <w:rsid w:val="00FD4C7A"/>
    <w:rsid w:val="00FD4F27"/>
    <w:rsid w:val="00FD54D1"/>
    <w:rsid w:val="00FD55C2"/>
    <w:rsid w:val="00FD5791"/>
    <w:rsid w:val="00FD5DC4"/>
    <w:rsid w:val="00FD5DD7"/>
    <w:rsid w:val="00FD5E45"/>
    <w:rsid w:val="00FD67AB"/>
    <w:rsid w:val="00FD6824"/>
    <w:rsid w:val="00FD695E"/>
    <w:rsid w:val="00FD69A3"/>
    <w:rsid w:val="00FE16F9"/>
    <w:rsid w:val="00FE2E03"/>
    <w:rsid w:val="00FE2EF8"/>
    <w:rsid w:val="00FE2FEE"/>
    <w:rsid w:val="00FE2FF2"/>
    <w:rsid w:val="00FE2FF9"/>
    <w:rsid w:val="00FE4AF8"/>
    <w:rsid w:val="00FE595C"/>
    <w:rsid w:val="00FE59B8"/>
    <w:rsid w:val="00FE5FCC"/>
    <w:rsid w:val="00FE6140"/>
    <w:rsid w:val="00FF0015"/>
    <w:rsid w:val="00FF016B"/>
    <w:rsid w:val="00FF0BFA"/>
    <w:rsid w:val="00FF208F"/>
    <w:rsid w:val="00FF2636"/>
    <w:rsid w:val="00FF406B"/>
    <w:rsid w:val="00FF4663"/>
    <w:rsid w:val="00FF4753"/>
    <w:rsid w:val="00FF4EF4"/>
    <w:rsid w:val="00FF5A17"/>
    <w:rsid w:val="00FF5BF1"/>
    <w:rsid w:val="00FF5D85"/>
    <w:rsid w:val="00FF610B"/>
    <w:rsid w:val="00FF63B5"/>
    <w:rsid w:val="00FF6437"/>
    <w:rsid w:val="00FF671D"/>
    <w:rsid w:val="00FF6A78"/>
    <w:rsid w:val="00FF6CFA"/>
    <w:rsid w:val="00FF73B8"/>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1FF38CE-6BEA-4CA9-B65C-076DA26FC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F0A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paragraph" w:customStyle="1" w:styleId="afb">
    <w:name w:val="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c">
    <w:name w:val="題目"/>
    <w:basedOn w:val="a0"/>
    <w:rsid w:val="000752FE"/>
    <w:pPr>
      <w:spacing w:line="240" w:lineRule="auto"/>
      <w:ind w:leftChars="0" w:left="600" w:firstLineChars="0" w:hanging="600"/>
    </w:pPr>
    <w:rPr>
      <w:rFonts w:ascii="Times New Roman"/>
      <w:kern w:val="0"/>
      <w:szCs w:val="20"/>
    </w:rPr>
  </w:style>
  <w:style w:type="character" w:styleId="afd">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Closing"/>
    <w:basedOn w:val="a0"/>
    <w:link w:val="aff"/>
    <w:rsid w:val="000752FE"/>
    <w:pPr>
      <w:ind w:leftChars="1800" w:left="100"/>
    </w:pPr>
    <w:rPr>
      <w:rFonts w:hAnsi="標楷體"/>
    </w:rPr>
  </w:style>
  <w:style w:type="character" w:customStyle="1" w:styleId="aff">
    <w:name w:val="結語 字元"/>
    <w:link w:val="afe"/>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1">
    <w:name w:val="Title"/>
    <w:basedOn w:val="a0"/>
    <w:link w:val="aff2"/>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0752FE"/>
    <w:rPr>
      <w:rFonts w:ascii="Arial" w:hAnsi="Arial"/>
      <w:b/>
      <w:spacing w:val="-5"/>
      <w:sz w:val="32"/>
    </w:rPr>
  </w:style>
  <w:style w:type="character" w:styleId="aff3">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left="0" w:firstLineChars="0" w:firstLine="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E0A82-1A59-46D7-BAF7-92E19DC56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344</Words>
  <Characters>1963</Characters>
  <Application>Microsoft Office Word</Application>
  <DocSecurity>0</DocSecurity>
  <Lines>16</Lines>
  <Paragraphs>4</Paragraphs>
  <ScaleCrop>false</ScaleCrop>
  <Company/>
  <LinksUpToDate>false</LinksUpToDate>
  <CharactersWithSpaces>2303</CharactersWithSpaces>
  <SharedDoc>false</SharedDoc>
  <HLinks>
    <vt:vector size="18" baseType="variant">
      <vt:variant>
        <vt:i4>1114160</vt:i4>
      </vt:variant>
      <vt:variant>
        <vt:i4>14</vt:i4>
      </vt:variant>
      <vt:variant>
        <vt:i4>0</vt:i4>
      </vt:variant>
      <vt:variant>
        <vt:i4>5</vt:i4>
      </vt:variant>
      <vt:variant>
        <vt:lpwstr/>
      </vt:variant>
      <vt:variant>
        <vt:lpwstr>_Toc224636540</vt:lpwstr>
      </vt:variant>
      <vt:variant>
        <vt:i4>1441840</vt:i4>
      </vt:variant>
      <vt:variant>
        <vt:i4>8</vt:i4>
      </vt:variant>
      <vt:variant>
        <vt:i4>0</vt:i4>
      </vt:variant>
      <vt:variant>
        <vt:i4>5</vt:i4>
      </vt:variant>
      <vt:variant>
        <vt:lpwstr/>
      </vt:variant>
      <vt:variant>
        <vt:lpwstr>_Toc224636539</vt:lpwstr>
      </vt:variant>
      <vt:variant>
        <vt:i4>1441840</vt:i4>
      </vt:variant>
      <vt:variant>
        <vt:i4>2</vt:i4>
      </vt:variant>
      <vt:variant>
        <vt:i4>0</vt:i4>
      </vt:variant>
      <vt:variant>
        <vt:i4>5</vt:i4>
      </vt:variant>
      <vt:variant>
        <vt:lpwstr/>
      </vt:variant>
      <vt:variant>
        <vt:lpwstr>_Toc224636538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2026-03-17T02:50:00Z</cp:lastPrinted>
  <dcterms:created xsi:type="dcterms:W3CDTF">2026-03-26T06:42:00Z</dcterms:created>
  <dcterms:modified xsi:type="dcterms:W3CDTF">2026-03-26T06:42:00Z</dcterms:modified>
</cp:coreProperties>
</file>