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EC1" w:rsidRDefault="00037EC1" w:rsidP="00037EC1">
      <w:pPr>
        <w:pStyle w:val="ab"/>
      </w:pPr>
      <w:r w:rsidRPr="00037EC1">
        <w:rPr>
          <w:rFonts w:hint="eastAsia"/>
        </w:rPr>
        <w:t>台灣電力股份有限公司11</w:t>
      </w:r>
      <w:r w:rsidR="00CB6375">
        <w:rPr>
          <w:rFonts w:hint="eastAsia"/>
        </w:rPr>
        <w:t>3</w:t>
      </w:r>
      <w:r w:rsidRPr="00037EC1">
        <w:rPr>
          <w:rFonts w:hint="eastAsia"/>
        </w:rPr>
        <w:t>年度營業決算評估報告</w:t>
      </w:r>
    </w:p>
    <w:p w:rsidR="00CB6375" w:rsidRDefault="00C94F0F" w:rsidP="00037EC1">
      <w:pPr>
        <w:pStyle w:val="a8"/>
        <w:ind w:firstLine="566"/>
      </w:pPr>
      <w:r w:rsidRPr="00B217EA">
        <w:rPr>
          <w:rFonts w:hint="eastAsia"/>
        </w:rPr>
        <w:t>台灣電力股份有限公司(以下簡稱台電公司)113年度淨發購電量2,544.4</w:t>
      </w:r>
      <w:r w:rsidR="009870D8">
        <w:rPr>
          <w:rFonts w:hint="eastAsia"/>
        </w:rPr>
        <w:t>4</w:t>
      </w:r>
      <w:r w:rsidRPr="00B217EA">
        <w:rPr>
          <w:rFonts w:hint="eastAsia"/>
        </w:rPr>
        <w:t>億度(含自發電量1,720.95億度、購電量793.50億度</w:t>
      </w:r>
      <w:r w:rsidR="009870D8">
        <w:rPr>
          <w:rFonts w:hint="eastAsia"/>
        </w:rPr>
        <w:t>、轉直供電量29.99億度</w:t>
      </w:r>
      <w:r w:rsidRPr="00B217EA">
        <w:rPr>
          <w:rFonts w:hint="eastAsia"/>
        </w:rPr>
        <w:t>)扣減電池及</w:t>
      </w:r>
      <w:r w:rsidR="00C82C05">
        <w:rPr>
          <w:rFonts w:hint="eastAsia"/>
        </w:rPr>
        <w:t>儲能</w:t>
      </w:r>
      <w:r w:rsidRPr="00B217EA">
        <w:rPr>
          <w:rFonts w:hint="eastAsia"/>
        </w:rPr>
        <w:t>用電40.66億度後，全年供電量為2,503.78億度。113年度決算營業收入8,495.66億元，減除營業成本8,559.58億元、營業費用152.84億元後，營業損失為216.77億元，加計營業外</w:t>
      </w:r>
      <w:r w:rsidR="009870D8">
        <w:rPr>
          <w:rFonts w:hint="eastAsia"/>
        </w:rPr>
        <w:t>損失</w:t>
      </w:r>
      <w:r w:rsidRPr="00B217EA">
        <w:rPr>
          <w:rFonts w:hint="eastAsia"/>
        </w:rPr>
        <w:t>175.48億元及所得稅費用0.02億元後，本期淨損392.27億元</w:t>
      </w:r>
      <w:r w:rsidR="00E534FF" w:rsidRPr="00E02455">
        <w:rPr>
          <w:rFonts w:hint="eastAsia"/>
        </w:rPr>
        <w:t>，較預計淨</w:t>
      </w:r>
      <w:r w:rsidR="00E02455" w:rsidRPr="00E02455">
        <w:rPr>
          <w:rFonts w:hint="eastAsia"/>
        </w:rPr>
        <w:t>損1</w:t>
      </w:r>
      <w:r w:rsidR="00E02455" w:rsidRPr="00E02455">
        <w:t>,</w:t>
      </w:r>
      <w:r w:rsidR="00E02455" w:rsidRPr="00E02455">
        <w:rPr>
          <w:rFonts w:hint="eastAsia"/>
        </w:rPr>
        <w:t>634.76</w:t>
      </w:r>
      <w:r w:rsidR="00E534FF" w:rsidRPr="00E02455">
        <w:rPr>
          <w:rFonts w:hint="eastAsia"/>
        </w:rPr>
        <w:t>億元</w:t>
      </w:r>
      <w:r w:rsidR="00E02455" w:rsidRPr="00E02455">
        <w:rPr>
          <w:rFonts w:hint="eastAsia"/>
        </w:rPr>
        <w:t>減少損失1</w:t>
      </w:r>
      <w:r w:rsidR="00E02455" w:rsidRPr="00E02455">
        <w:t>,</w:t>
      </w:r>
      <w:r w:rsidR="00E02455" w:rsidRPr="00E02455">
        <w:rPr>
          <w:rFonts w:hint="eastAsia"/>
        </w:rPr>
        <w:t>242.49</w:t>
      </w:r>
      <w:r w:rsidR="00E534FF" w:rsidRPr="00E02455">
        <w:rPr>
          <w:rFonts w:hint="eastAsia"/>
        </w:rPr>
        <w:t>億元(</w:t>
      </w:r>
      <w:r w:rsidR="00E02455" w:rsidRPr="00E02455">
        <w:rPr>
          <w:rFonts w:hint="eastAsia"/>
        </w:rPr>
        <w:t>減</w:t>
      </w:r>
      <w:r w:rsidR="00E534FF" w:rsidRPr="00E02455">
        <w:rPr>
          <w:rFonts w:hint="eastAsia"/>
        </w:rPr>
        <w:t>幅</w:t>
      </w:r>
      <w:r w:rsidR="00E02455" w:rsidRPr="00E02455">
        <w:rPr>
          <w:rFonts w:hint="eastAsia"/>
        </w:rPr>
        <w:t>76</w:t>
      </w:r>
      <w:r w:rsidR="00E534FF" w:rsidRPr="00E02455">
        <w:rPr>
          <w:rFonts w:hint="eastAsia"/>
        </w:rPr>
        <w:t>.</w:t>
      </w:r>
      <w:r w:rsidR="00E02455" w:rsidRPr="00E02455">
        <w:rPr>
          <w:rFonts w:hint="eastAsia"/>
        </w:rPr>
        <w:t>00</w:t>
      </w:r>
      <w:r w:rsidR="00E534FF" w:rsidRPr="00E02455">
        <w:rPr>
          <w:rFonts w:hint="eastAsia"/>
        </w:rPr>
        <w:t>%)。</w:t>
      </w:r>
      <w:r w:rsidRPr="00B217EA">
        <w:rPr>
          <w:rFonts w:hint="eastAsia"/>
        </w:rPr>
        <w:t>相關問題謹評估如下：</w:t>
      </w:r>
    </w:p>
    <w:p w:rsidR="00037EC1" w:rsidRPr="00F14A16" w:rsidRDefault="00037EC1" w:rsidP="00037EC1">
      <w:pPr>
        <w:pStyle w:val="14"/>
        <w:ind w:left="567" w:hanging="567"/>
      </w:pPr>
      <w:bookmarkStart w:id="0" w:name="_Toc225324438"/>
      <w:r w:rsidRPr="00F14A16">
        <w:rPr>
          <w:rFonts w:hint="eastAsia"/>
        </w:rPr>
        <w:t>一、</w:t>
      </w:r>
      <w:r w:rsidR="00F14A16" w:rsidRPr="00F14A16">
        <w:rPr>
          <w:rFonts w:hint="eastAsia"/>
        </w:rPr>
        <w:t>負債比率持續攀升，累積虧損擴增至4</w:t>
      </w:r>
      <w:r w:rsidR="00F14A16" w:rsidRPr="00F14A16">
        <w:t>,</w:t>
      </w:r>
      <w:r w:rsidR="00F14A16" w:rsidRPr="00F14A16">
        <w:rPr>
          <w:rFonts w:hint="eastAsia"/>
        </w:rPr>
        <w:t>210.75億元，允宜本企業經營原則，積極改善財務結構，減少營運虧損</w:t>
      </w:r>
      <w:bookmarkEnd w:id="0"/>
    </w:p>
    <w:p w:rsidR="00B311FD" w:rsidRDefault="00B311FD" w:rsidP="00037EC1">
      <w:pPr>
        <w:ind w:left="566" w:firstLine="566"/>
      </w:pPr>
      <w:r w:rsidRPr="002E6614">
        <w:rPr>
          <w:rFonts w:hint="eastAsia"/>
        </w:rPr>
        <w:t>台電公司113年度決算</w:t>
      </w:r>
      <w:r w:rsidR="00C82C05">
        <w:rPr>
          <w:rFonts w:hint="eastAsia"/>
        </w:rPr>
        <w:t>稅後淨</w:t>
      </w:r>
      <w:r w:rsidRPr="002E6614">
        <w:rPr>
          <w:rFonts w:hint="eastAsia"/>
        </w:rPr>
        <w:t>損392億2,709萬1千元，累積虧損高達</w:t>
      </w:r>
      <w:r w:rsidR="002E6614" w:rsidRPr="002E6614">
        <w:rPr>
          <w:rFonts w:hint="eastAsia"/>
        </w:rPr>
        <w:t>4</w:t>
      </w:r>
      <w:r w:rsidRPr="002E6614">
        <w:rPr>
          <w:rFonts w:hint="eastAsia"/>
        </w:rPr>
        <w:t>,</w:t>
      </w:r>
      <w:r w:rsidR="002E6614" w:rsidRPr="002E6614">
        <w:rPr>
          <w:rFonts w:hint="eastAsia"/>
        </w:rPr>
        <w:t>210</w:t>
      </w:r>
      <w:r w:rsidRPr="002E6614">
        <w:rPr>
          <w:rFonts w:hint="eastAsia"/>
        </w:rPr>
        <w:t>億7,</w:t>
      </w:r>
      <w:r w:rsidR="002E6614" w:rsidRPr="002E6614">
        <w:rPr>
          <w:rFonts w:hint="eastAsia"/>
        </w:rPr>
        <w:t>482</w:t>
      </w:r>
      <w:r w:rsidRPr="002E6614">
        <w:rPr>
          <w:rFonts w:hint="eastAsia"/>
        </w:rPr>
        <w:t>萬</w:t>
      </w:r>
      <w:r w:rsidR="002E6614" w:rsidRPr="002E6614">
        <w:rPr>
          <w:rFonts w:hint="eastAsia"/>
        </w:rPr>
        <w:t>9千</w:t>
      </w:r>
      <w:r w:rsidRPr="002E6614">
        <w:rPr>
          <w:rFonts w:hint="eastAsia"/>
        </w:rPr>
        <w:t>元。經查：</w:t>
      </w:r>
    </w:p>
    <w:p w:rsidR="00A42C9F" w:rsidRPr="008B39FC" w:rsidRDefault="00A42C9F" w:rsidP="00A42C9F">
      <w:pPr>
        <w:pStyle w:val="a4"/>
        <w:ind w:left="849" w:hanging="283"/>
        <w:rPr>
          <w:b/>
        </w:rPr>
      </w:pPr>
      <w:r w:rsidRPr="008B39FC">
        <w:rPr>
          <w:b/>
        </w:rPr>
        <w:t>(</w:t>
      </w:r>
      <w:r w:rsidRPr="008B39FC">
        <w:rPr>
          <w:rFonts w:hint="eastAsia"/>
          <w:b/>
        </w:rPr>
        <w:t>一</w:t>
      </w:r>
      <w:r w:rsidRPr="008B39FC">
        <w:rPr>
          <w:b/>
        </w:rPr>
        <w:t>)</w:t>
      </w:r>
      <w:r w:rsidRPr="008B39FC">
        <w:rPr>
          <w:rFonts w:hint="eastAsia"/>
          <w:b/>
        </w:rPr>
        <w:t>113年底</w:t>
      </w:r>
      <w:r w:rsidRPr="008B39FC">
        <w:rPr>
          <w:b/>
        </w:rPr>
        <w:t>負債總額</w:t>
      </w:r>
      <w:r w:rsidRPr="008B39FC">
        <w:rPr>
          <w:rFonts w:hint="eastAsia"/>
          <w:b/>
        </w:rPr>
        <w:t>2兆</w:t>
      </w:r>
      <w:r w:rsidR="009870D8">
        <w:rPr>
          <w:rFonts w:hint="eastAsia"/>
          <w:b/>
        </w:rPr>
        <w:t>5</w:t>
      </w:r>
      <w:r w:rsidRPr="008B39FC">
        <w:rPr>
          <w:rFonts w:hint="eastAsia"/>
          <w:b/>
        </w:rPr>
        <w:t>,2</w:t>
      </w:r>
      <w:r w:rsidR="009870D8">
        <w:rPr>
          <w:rFonts w:hint="eastAsia"/>
          <w:b/>
        </w:rPr>
        <w:t>72</w:t>
      </w:r>
      <w:r w:rsidRPr="008B39FC">
        <w:rPr>
          <w:rFonts w:hint="eastAsia"/>
          <w:b/>
        </w:rPr>
        <w:t>億餘元</w:t>
      </w:r>
      <w:r w:rsidRPr="008B39FC">
        <w:rPr>
          <w:b/>
        </w:rPr>
        <w:t>，</w:t>
      </w:r>
      <w:r w:rsidRPr="008B39FC">
        <w:rPr>
          <w:rFonts w:hint="eastAsia"/>
          <w:b/>
        </w:rPr>
        <w:t>負債比率高達92.64%，且近5年利息總支出增幅</w:t>
      </w:r>
      <w:r w:rsidR="008B39FC" w:rsidRPr="008B39FC">
        <w:rPr>
          <w:rFonts w:hint="eastAsia"/>
          <w:b/>
        </w:rPr>
        <w:t>高達1.18倍，</w:t>
      </w:r>
      <w:r w:rsidRPr="008B39FC">
        <w:rPr>
          <w:rFonts w:hint="eastAsia"/>
          <w:b/>
          <w:spacing w:val="-6"/>
        </w:rPr>
        <w:t>亟待</w:t>
      </w:r>
      <w:r w:rsidR="008B39FC" w:rsidRPr="008B39FC">
        <w:rPr>
          <w:rFonts w:hint="eastAsia"/>
          <w:b/>
          <w:spacing w:val="-6"/>
        </w:rPr>
        <w:t>研謀減輕財務負擔之策</w:t>
      </w:r>
    </w:p>
    <w:p w:rsidR="00F14A16" w:rsidRPr="006C73C0" w:rsidRDefault="00A1109F" w:rsidP="00A42C9F">
      <w:pPr>
        <w:pStyle w:val="2"/>
        <w:ind w:left="850" w:firstLine="566"/>
        <w:rPr>
          <w:rFonts w:hint="eastAsia"/>
        </w:rPr>
      </w:pPr>
      <w:r>
        <w:rPr>
          <w:rFonts w:hint="eastAsia"/>
        </w:rPr>
        <w:t>觀台電公司資產負債及利息總支出</w:t>
      </w:r>
      <w:r w:rsidR="009870D8">
        <w:rPr>
          <w:rFonts w:hint="eastAsia"/>
        </w:rPr>
        <w:t>決算</w:t>
      </w:r>
      <w:r>
        <w:rPr>
          <w:rFonts w:hint="eastAsia"/>
        </w:rPr>
        <w:t>概況(詳表1)，</w:t>
      </w:r>
      <w:r w:rsidR="00A42C9F" w:rsidRPr="00F46A3D">
        <w:rPr>
          <w:rFonts w:hint="eastAsia"/>
        </w:rPr>
        <w:t>資產總額由1</w:t>
      </w:r>
      <w:r w:rsidR="00A42C9F">
        <w:t>09</w:t>
      </w:r>
      <w:r w:rsidR="00A42C9F" w:rsidRPr="00F46A3D">
        <w:rPr>
          <w:rFonts w:hint="eastAsia"/>
        </w:rPr>
        <w:t>年底2兆</w:t>
      </w:r>
      <w:r w:rsidR="00A42C9F">
        <w:rPr>
          <w:rFonts w:hint="eastAsia"/>
        </w:rPr>
        <w:t>1</w:t>
      </w:r>
      <w:r w:rsidR="00A42C9F" w:rsidRPr="00F46A3D">
        <w:rPr>
          <w:rFonts w:hint="eastAsia"/>
        </w:rPr>
        <w:t>,</w:t>
      </w:r>
      <w:r w:rsidR="00A42C9F">
        <w:t>453.16</w:t>
      </w:r>
      <w:r w:rsidR="00A42C9F" w:rsidRPr="00F46A3D">
        <w:rPr>
          <w:rFonts w:hint="eastAsia"/>
        </w:rPr>
        <w:t>億元增至113年底2兆7,28</w:t>
      </w:r>
      <w:r w:rsidR="00A42C9F">
        <w:t>0.74</w:t>
      </w:r>
      <w:r w:rsidR="00A42C9F">
        <w:rPr>
          <w:rFonts w:hint="eastAsia"/>
        </w:rPr>
        <w:t>億</w:t>
      </w:r>
      <w:r w:rsidR="00A42C9F" w:rsidRPr="00F46A3D">
        <w:rPr>
          <w:rFonts w:hint="eastAsia"/>
        </w:rPr>
        <w:t>元(增幅2</w:t>
      </w:r>
      <w:r w:rsidR="00A42C9F">
        <w:rPr>
          <w:rFonts w:hint="eastAsia"/>
        </w:rPr>
        <w:t>7</w:t>
      </w:r>
      <w:r w:rsidR="00A42C9F" w:rsidRPr="00F46A3D">
        <w:rPr>
          <w:rFonts w:hint="eastAsia"/>
        </w:rPr>
        <w:t>.</w:t>
      </w:r>
      <w:r w:rsidR="00A42C9F">
        <w:rPr>
          <w:rFonts w:hint="eastAsia"/>
        </w:rPr>
        <w:t>16</w:t>
      </w:r>
      <w:r w:rsidR="00A42C9F" w:rsidRPr="00F46A3D">
        <w:rPr>
          <w:rFonts w:hint="eastAsia"/>
        </w:rPr>
        <w:t>%)，同期間負債總額由1兆8,</w:t>
      </w:r>
      <w:r w:rsidR="00A42C9F">
        <w:rPr>
          <w:rFonts w:hint="eastAsia"/>
        </w:rPr>
        <w:t>190.20</w:t>
      </w:r>
      <w:r w:rsidR="00A42C9F" w:rsidRPr="00F46A3D">
        <w:rPr>
          <w:rFonts w:hint="eastAsia"/>
        </w:rPr>
        <w:t>億元增至2兆5,27</w:t>
      </w:r>
      <w:r w:rsidR="00A42C9F">
        <w:rPr>
          <w:rFonts w:hint="eastAsia"/>
        </w:rPr>
        <w:t>2.78</w:t>
      </w:r>
      <w:r w:rsidR="009870D8">
        <w:rPr>
          <w:rFonts w:hint="eastAsia"/>
        </w:rPr>
        <w:t>億</w:t>
      </w:r>
      <w:r w:rsidR="00A42C9F" w:rsidRPr="00F46A3D">
        <w:rPr>
          <w:rFonts w:hint="eastAsia"/>
        </w:rPr>
        <w:t>元(增幅3</w:t>
      </w:r>
      <w:r w:rsidR="00A42C9F">
        <w:rPr>
          <w:rFonts w:hint="eastAsia"/>
        </w:rPr>
        <w:t>8.94</w:t>
      </w:r>
      <w:r w:rsidR="00A42C9F" w:rsidRPr="00F46A3D">
        <w:rPr>
          <w:rFonts w:hint="eastAsia"/>
        </w:rPr>
        <w:t>%)，負債比率由84.</w:t>
      </w:r>
      <w:r w:rsidR="00A42C9F">
        <w:rPr>
          <w:rFonts w:hint="eastAsia"/>
        </w:rPr>
        <w:t>79</w:t>
      </w:r>
      <w:r w:rsidR="00A42C9F" w:rsidRPr="00F46A3D">
        <w:rPr>
          <w:rFonts w:hint="eastAsia"/>
        </w:rPr>
        <w:t>%攀升至92.64%，主</w:t>
      </w:r>
      <w:r w:rsidR="00A42C9F">
        <w:rPr>
          <w:rFonts w:hint="eastAsia"/>
        </w:rPr>
        <w:t>要係該公司自有資金不足，資產購建及營運資金需求高度仰賴融資方式</w:t>
      </w:r>
      <w:r w:rsidR="00A42C9F" w:rsidRPr="00E74F1C">
        <w:rPr>
          <w:rFonts w:hint="eastAsia"/>
        </w:rPr>
        <w:t>支應，</w:t>
      </w:r>
      <w:r w:rsidR="009870D8">
        <w:rPr>
          <w:rFonts w:hint="eastAsia"/>
        </w:rPr>
        <w:t>致</w:t>
      </w:r>
      <w:r w:rsidR="00A42C9F" w:rsidRPr="00E74F1C">
        <w:rPr>
          <w:rFonts w:hint="eastAsia"/>
        </w:rPr>
        <w:t>負債總額逐年攀升，</w:t>
      </w:r>
      <w:r w:rsidR="008B39FC">
        <w:rPr>
          <w:rFonts w:hint="eastAsia"/>
        </w:rPr>
        <w:t>且</w:t>
      </w:r>
      <w:r w:rsidR="00A42C9F" w:rsidRPr="00E74F1C">
        <w:rPr>
          <w:rFonts w:hint="eastAsia"/>
        </w:rPr>
        <w:t>111年度以來市場利率略為走升，</w:t>
      </w:r>
      <w:r w:rsidR="00A42C9F">
        <w:rPr>
          <w:rFonts w:hint="eastAsia"/>
        </w:rPr>
        <w:t>利息總支出由109年度112.84億元，增至113年度245.81億元，增幅高達1</w:t>
      </w:r>
      <w:r w:rsidR="008B39FC">
        <w:rPr>
          <w:rFonts w:hint="eastAsia"/>
        </w:rPr>
        <w:t>.18倍</w:t>
      </w:r>
      <w:r w:rsidR="00A42C9F">
        <w:rPr>
          <w:rFonts w:hint="eastAsia"/>
        </w:rPr>
        <w:t>，</w:t>
      </w:r>
      <w:r w:rsidR="00A42C9F" w:rsidRPr="00E74F1C">
        <w:rPr>
          <w:rFonts w:hint="eastAsia"/>
        </w:rPr>
        <w:t>財務負擔日益沉重</w:t>
      </w:r>
      <w:r w:rsidR="00A42C9F">
        <w:rPr>
          <w:rFonts w:hint="eastAsia"/>
        </w:rPr>
        <w:t>，允待積極研謀</w:t>
      </w:r>
      <w:r w:rsidR="00A42C9F" w:rsidRPr="00E74F1C">
        <w:rPr>
          <w:rFonts w:hint="eastAsia"/>
        </w:rPr>
        <w:t>降低負債與資金成本措施，以減輕財務負擔</w:t>
      </w:r>
      <w:r w:rsidR="00A42C9F" w:rsidRPr="006C73C0">
        <w:rPr>
          <w:rFonts w:hint="eastAsia"/>
        </w:rPr>
        <w:t>。</w:t>
      </w:r>
    </w:p>
    <w:p w:rsidR="00A42C9F" w:rsidRPr="00E74F1C" w:rsidRDefault="00A42C9F" w:rsidP="00A42C9F">
      <w:pPr>
        <w:pStyle w:val="a8"/>
        <w:spacing w:beforeLines="30" w:before="150" w:line="360" w:lineRule="exact"/>
        <w:ind w:leftChars="-93" w:left="1" w:hangingChars="93" w:hanging="264"/>
        <w:rPr>
          <w:b/>
        </w:rPr>
      </w:pPr>
      <w:r w:rsidRPr="00E74F1C">
        <w:rPr>
          <w:rFonts w:hint="eastAsia"/>
          <w:b/>
        </w:rPr>
        <w:lastRenderedPageBreak/>
        <w:t xml:space="preserve">  表</w:t>
      </w:r>
      <w:r w:rsidR="008B39FC">
        <w:rPr>
          <w:rFonts w:hint="eastAsia"/>
          <w:b/>
        </w:rPr>
        <w:t>1</w:t>
      </w:r>
      <w:r w:rsidRPr="00E74F1C">
        <w:rPr>
          <w:rFonts w:hint="eastAsia"/>
          <w:b/>
        </w:rPr>
        <w:t xml:space="preserve">  台電公司1</w:t>
      </w:r>
      <w:r>
        <w:rPr>
          <w:rFonts w:hint="eastAsia"/>
          <w:b/>
        </w:rPr>
        <w:t>09</w:t>
      </w:r>
      <w:r w:rsidRPr="00E74F1C">
        <w:rPr>
          <w:rFonts w:hint="eastAsia"/>
          <w:b/>
        </w:rPr>
        <w:t>至11</w:t>
      </w:r>
      <w:r>
        <w:rPr>
          <w:rFonts w:hint="eastAsia"/>
          <w:b/>
        </w:rPr>
        <w:t>3</w:t>
      </w:r>
      <w:r w:rsidRPr="00E74F1C">
        <w:rPr>
          <w:rFonts w:hint="eastAsia"/>
          <w:b/>
        </w:rPr>
        <w:t>年</w:t>
      </w:r>
      <w:r>
        <w:rPr>
          <w:rFonts w:hint="eastAsia"/>
          <w:b/>
        </w:rPr>
        <w:t>度</w:t>
      </w:r>
      <w:r w:rsidRPr="00E74F1C">
        <w:rPr>
          <w:rFonts w:hint="eastAsia"/>
          <w:b/>
        </w:rPr>
        <w:t>資產負債</w:t>
      </w:r>
      <w:r>
        <w:rPr>
          <w:rFonts w:hint="eastAsia"/>
          <w:b/>
        </w:rPr>
        <w:t>及利息總支出</w:t>
      </w:r>
      <w:r w:rsidRPr="00E74F1C">
        <w:rPr>
          <w:rFonts w:hint="eastAsia"/>
          <w:b/>
        </w:rPr>
        <w:t xml:space="preserve">概要表 </w:t>
      </w:r>
      <w:r w:rsidRPr="00E74F1C">
        <w:rPr>
          <w:b/>
        </w:rPr>
        <w:t xml:space="preserve"> </w:t>
      </w:r>
    </w:p>
    <w:p w:rsidR="00A42C9F" w:rsidRDefault="00A42C9F" w:rsidP="002D0E28">
      <w:pPr>
        <w:pStyle w:val="a8"/>
        <w:spacing w:line="280" w:lineRule="exact"/>
        <w:ind w:leftChars="-93" w:left="1" w:hangingChars="93" w:hanging="264"/>
      </w:pPr>
      <w:r w:rsidRPr="00E74F1C">
        <w:rPr>
          <w:rFonts w:hint="eastAsia"/>
          <w:b/>
        </w:rPr>
        <w:t xml:space="preserve">                                              </w:t>
      </w:r>
      <w:r>
        <w:rPr>
          <w:rFonts w:hint="eastAsia"/>
          <w:b/>
        </w:rPr>
        <w:t xml:space="preserve"> </w:t>
      </w:r>
      <w:r w:rsidRPr="00E74F1C">
        <w:rPr>
          <w:rFonts w:hint="eastAsia"/>
          <w:sz w:val="24"/>
          <w:szCs w:val="24"/>
        </w:rPr>
        <w:t>單位：新臺幣億元；%</w:t>
      </w:r>
      <w:r w:rsidRPr="00E74F1C">
        <w:rPr>
          <w:rFonts w:hint="eastAsia"/>
        </w:rPr>
        <w:t xml:space="preserve"> </w:t>
      </w:r>
    </w:p>
    <w:tbl>
      <w:tblPr>
        <w:tblW w:w="8539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60"/>
        <w:gridCol w:w="1395"/>
        <w:gridCol w:w="1396"/>
        <w:gridCol w:w="1396"/>
        <w:gridCol w:w="1396"/>
        <w:gridCol w:w="1396"/>
      </w:tblGrid>
      <w:tr w:rsidR="00A42C9F" w:rsidRPr="00F46A3D" w:rsidTr="00A42C9F">
        <w:trPr>
          <w:tblHeader/>
        </w:trPr>
        <w:tc>
          <w:tcPr>
            <w:tcW w:w="1560" w:type="dxa"/>
            <w:shd w:val="clear" w:color="auto" w:fill="auto"/>
            <w:vAlign w:val="center"/>
            <w:hideMark/>
          </w:tcPr>
          <w:p w:rsidR="00A42C9F" w:rsidRPr="00353F58" w:rsidRDefault="00A42C9F" w:rsidP="00AE5333">
            <w:pPr>
              <w:pStyle w:val="142"/>
              <w:jc w:val="center"/>
              <w:rPr>
                <w:rFonts w:hAnsi="標楷體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>項 目</w:t>
            </w:r>
          </w:p>
        </w:tc>
        <w:tc>
          <w:tcPr>
            <w:tcW w:w="1395" w:type="dxa"/>
            <w:shd w:val="clear" w:color="auto" w:fill="auto"/>
            <w:vAlign w:val="center"/>
            <w:hideMark/>
          </w:tcPr>
          <w:p w:rsidR="00A42C9F" w:rsidRPr="00353F58" w:rsidRDefault="00A42C9F" w:rsidP="00AE5333">
            <w:pPr>
              <w:pStyle w:val="142"/>
              <w:jc w:val="center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>109年度</w:t>
            </w:r>
          </w:p>
        </w:tc>
        <w:tc>
          <w:tcPr>
            <w:tcW w:w="1396" w:type="dxa"/>
            <w:shd w:val="clear" w:color="auto" w:fill="auto"/>
            <w:vAlign w:val="center"/>
            <w:hideMark/>
          </w:tcPr>
          <w:p w:rsidR="00A42C9F" w:rsidRPr="00353F58" w:rsidRDefault="00A42C9F" w:rsidP="00AE5333">
            <w:pPr>
              <w:pStyle w:val="142"/>
              <w:jc w:val="center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>110年度</w:t>
            </w:r>
          </w:p>
        </w:tc>
        <w:tc>
          <w:tcPr>
            <w:tcW w:w="1396" w:type="dxa"/>
            <w:shd w:val="clear" w:color="auto" w:fill="auto"/>
            <w:vAlign w:val="center"/>
            <w:hideMark/>
          </w:tcPr>
          <w:p w:rsidR="00A42C9F" w:rsidRPr="00353F58" w:rsidRDefault="00A42C9F" w:rsidP="00AE5333">
            <w:pPr>
              <w:pStyle w:val="142"/>
              <w:jc w:val="center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>111年度</w:t>
            </w:r>
          </w:p>
        </w:tc>
        <w:tc>
          <w:tcPr>
            <w:tcW w:w="1396" w:type="dxa"/>
            <w:shd w:val="clear" w:color="auto" w:fill="auto"/>
            <w:vAlign w:val="center"/>
            <w:hideMark/>
          </w:tcPr>
          <w:p w:rsidR="00A42C9F" w:rsidRPr="00353F58" w:rsidRDefault="00A42C9F" w:rsidP="00AE5333">
            <w:pPr>
              <w:pStyle w:val="142"/>
              <w:jc w:val="center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>112年度</w:t>
            </w:r>
          </w:p>
        </w:tc>
        <w:tc>
          <w:tcPr>
            <w:tcW w:w="1396" w:type="dxa"/>
            <w:shd w:val="clear" w:color="auto" w:fill="auto"/>
            <w:vAlign w:val="center"/>
            <w:hideMark/>
          </w:tcPr>
          <w:p w:rsidR="00A42C9F" w:rsidRPr="00353F58" w:rsidRDefault="00A42C9F" w:rsidP="00AE5333">
            <w:pPr>
              <w:pStyle w:val="142"/>
              <w:jc w:val="center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>113年度</w:t>
            </w:r>
          </w:p>
        </w:tc>
      </w:tr>
      <w:tr w:rsidR="00A42C9F" w:rsidRPr="00F46A3D" w:rsidTr="00A42C9F">
        <w:tc>
          <w:tcPr>
            <w:tcW w:w="1560" w:type="dxa"/>
            <w:shd w:val="clear" w:color="auto" w:fill="auto"/>
            <w:vAlign w:val="center"/>
            <w:hideMark/>
          </w:tcPr>
          <w:p w:rsidR="00A42C9F" w:rsidRPr="00353F58" w:rsidRDefault="00A42C9F" w:rsidP="00AE5333">
            <w:pPr>
              <w:pStyle w:val="142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>資產(A)</w:t>
            </w:r>
          </w:p>
        </w:tc>
        <w:tc>
          <w:tcPr>
            <w:tcW w:w="1395" w:type="dxa"/>
            <w:shd w:val="clear" w:color="auto" w:fill="auto"/>
            <w:vAlign w:val="center"/>
            <w:hideMark/>
          </w:tcPr>
          <w:p w:rsidR="00A42C9F" w:rsidRPr="00353F58" w:rsidRDefault="00A42C9F" w:rsidP="00AE5333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 xml:space="preserve">21,453.16 </w:t>
            </w:r>
          </w:p>
        </w:tc>
        <w:tc>
          <w:tcPr>
            <w:tcW w:w="1396" w:type="dxa"/>
            <w:shd w:val="clear" w:color="auto" w:fill="auto"/>
            <w:vAlign w:val="center"/>
            <w:hideMark/>
          </w:tcPr>
          <w:p w:rsidR="00A42C9F" w:rsidRPr="00353F58" w:rsidRDefault="00A42C9F" w:rsidP="00AE5333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 xml:space="preserve">22,058.47 </w:t>
            </w:r>
          </w:p>
        </w:tc>
        <w:tc>
          <w:tcPr>
            <w:tcW w:w="1396" w:type="dxa"/>
            <w:shd w:val="clear" w:color="auto" w:fill="auto"/>
            <w:vAlign w:val="center"/>
            <w:hideMark/>
          </w:tcPr>
          <w:p w:rsidR="00A42C9F" w:rsidRPr="00353F58" w:rsidRDefault="00A42C9F" w:rsidP="00AE5333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 xml:space="preserve">23,256.03 </w:t>
            </w:r>
          </w:p>
        </w:tc>
        <w:tc>
          <w:tcPr>
            <w:tcW w:w="1396" w:type="dxa"/>
            <w:shd w:val="clear" w:color="auto" w:fill="auto"/>
            <w:vAlign w:val="center"/>
            <w:hideMark/>
          </w:tcPr>
          <w:p w:rsidR="00A42C9F" w:rsidRPr="00353F58" w:rsidRDefault="00A42C9F" w:rsidP="00AE5333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 xml:space="preserve">25,656.06 </w:t>
            </w:r>
          </w:p>
        </w:tc>
        <w:tc>
          <w:tcPr>
            <w:tcW w:w="1396" w:type="dxa"/>
            <w:shd w:val="clear" w:color="auto" w:fill="auto"/>
            <w:vAlign w:val="center"/>
            <w:hideMark/>
          </w:tcPr>
          <w:p w:rsidR="00A42C9F" w:rsidRPr="00353F58" w:rsidRDefault="00A42C9F" w:rsidP="00AE5333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 xml:space="preserve">27,280.74 </w:t>
            </w:r>
          </w:p>
        </w:tc>
      </w:tr>
      <w:tr w:rsidR="00A42C9F" w:rsidRPr="00F46A3D" w:rsidTr="00A42C9F">
        <w:tc>
          <w:tcPr>
            <w:tcW w:w="1560" w:type="dxa"/>
            <w:shd w:val="clear" w:color="auto" w:fill="auto"/>
            <w:vAlign w:val="center"/>
            <w:hideMark/>
          </w:tcPr>
          <w:p w:rsidR="00A42C9F" w:rsidRPr="00353F58" w:rsidRDefault="00A42C9F" w:rsidP="00AE5333">
            <w:pPr>
              <w:pStyle w:val="142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>負債(B)</w:t>
            </w:r>
          </w:p>
        </w:tc>
        <w:tc>
          <w:tcPr>
            <w:tcW w:w="1395" w:type="dxa"/>
            <w:shd w:val="clear" w:color="auto" w:fill="auto"/>
            <w:vAlign w:val="center"/>
            <w:hideMark/>
          </w:tcPr>
          <w:p w:rsidR="00A42C9F" w:rsidRPr="00353F58" w:rsidRDefault="00A42C9F" w:rsidP="00AE5333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 xml:space="preserve">18,190.20 </w:t>
            </w:r>
          </w:p>
        </w:tc>
        <w:tc>
          <w:tcPr>
            <w:tcW w:w="1396" w:type="dxa"/>
            <w:shd w:val="clear" w:color="auto" w:fill="auto"/>
            <w:vAlign w:val="center"/>
            <w:hideMark/>
          </w:tcPr>
          <w:p w:rsidR="00A42C9F" w:rsidRPr="00353F58" w:rsidRDefault="00A42C9F" w:rsidP="00AE5333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 xml:space="preserve">18,549.15 </w:t>
            </w:r>
          </w:p>
        </w:tc>
        <w:tc>
          <w:tcPr>
            <w:tcW w:w="1396" w:type="dxa"/>
            <w:shd w:val="clear" w:color="auto" w:fill="auto"/>
            <w:vAlign w:val="center"/>
            <w:hideMark/>
          </w:tcPr>
          <w:p w:rsidR="00A42C9F" w:rsidRPr="00353F58" w:rsidRDefault="00A42C9F" w:rsidP="00AE5333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 xml:space="preserve">21,982.52 </w:t>
            </w:r>
          </w:p>
        </w:tc>
        <w:tc>
          <w:tcPr>
            <w:tcW w:w="1396" w:type="dxa"/>
            <w:shd w:val="clear" w:color="auto" w:fill="auto"/>
            <w:vAlign w:val="center"/>
            <w:hideMark/>
          </w:tcPr>
          <w:p w:rsidR="00A42C9F" w:rsidRPr="00353F58" w:rsidRDefault="00A42C9F" w:rsidP="00AE5333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 xml:space="preserve">24,308.95 </w:t>
            </w:r>
          </w:p>
        </w:tc>
        <w:tc>
          <w:tcPr>
            <w:tcW w:w="1396" w:type="dxa"/>
            <w:shd w:val="clear" w:color="auto" w:fill="auto"/>
            <w:vAlign w:val="center"/>
            <w:hideMark/>
          </w:tcPr>
          <w:p w:rsidR="00A42C9F" w:rsidRPr="00353F58" w:rsidRDefault="00A42C9F" w:rsidP="009870D8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>25,272.7</w:t>
            </w:r>
            <w:r w:rsidR="009870D8">
              <w:rPr>
                <w:rFonts w:hAnsi="標楷體" w:hint="eastAsia"/>
                <w:snapToGrid/>
              </w:rPr>
              <w:t>8</w:t>
            </w:r>
            <w:r w:rsidRPr="00353F58">
              <w:rPr>
                <w:rFonts w:hAnsi="標楷體" w:hint="eastAsia"/>
                <w:snapToGrid/>
              </w:rPr>
              <w:t xml:space="preserve"> </w:t>
            </w:r>
          </w:p>
        </w:tc>
      </w:tr>
      <w:tr w:rsidR="00A42C9F" w:rsidRPr="00F46A3D" w:rsidTr="00A42C9F">
        <w:tc>
          <w:tcPr>
            <w:tcW w:w="1560" w:type="dxa"/>
            <w:shd w:val="clear" w:color="auto" w:fill="auto"/>
            <w:vAlign w:val="center"/>
            <w:hideMark/>
          </w:tcPr>
          <w:p w:rsidR="00A42C9F" w:rsidRPr="00353F58" w:rsidRDefault="00A42C9F" w:rsidP="00AE5333">
            <w:pPr>
              <w:pStyle w:val="142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>流動負債</w:t>
            </w:r>
          </w:p>
        </w:tc>
        <w:tc>
          <w:tcPr>
            <w:tcW w:w="1395" w:type="dxa"/>
            <w:shd w:val="clear" w:color="auto" w:fill="auto"/>
            <w:vAlign w:val="center"/>
            <w:hideMark/>
          </w:tcPr>
          <w:p w:rsidR="00A42C9F" w:rsidRPr="00353F58" w:rsidRDefault="00A42C9F" w:rsidP="00AE5333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 xml:space="preserve">4,537.26 </w:t>
            </w:r>
          </w:p>
        </w:tc>
        <w:tc>
          <w:tcPr>
            <w:tcW w:w="1396" w:type="dxa"/>
            <w:shd w:val="clear" w:color="auto" w:fill="auto"/>
            <w:vAlign w:val="center"/>
            <w:hideMark/>
          </w:tcPr>
          <w:p w:rsidR="00A42C9F" w:rsidRPr="00353F58" w:rsidRDefault="00A42C9F" w:rsidP="00AE5333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 xml:space="preserve">4,688.21 </w:t>
            </w:r>
          </w:p>
        </w:tc>
        <w:tc>
          <w:tcPr>
            <w:tcW w:w="1396" w:type="dxa"/>
            <w:shd w:val="clear" w:color="auto" w:fill="auto"/>
            <w:vAlign w:val="center"/>
            <w:hideMark/>
          </w:tcPr>
          <w:p w:rsidR="00A42C9F" w:rsidRPr="00353F58" w:rsidRDefault="00A42C9F" w:rsidP="00AE5333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 xml:space="preserve">6,891.34 </w:t>
            </w:r>
          </w:p>
        </w:tc>
        <w:tc>
          <w:tcPr>
            <w:tcW w:w="1396" w:type="dxa"/>
            <w:shd w:val="clear" w:color="auto" w:fill="auto"/>
            <w:vAlign w:val="center"/>
            <w:hideMark/>
          </w:tcPr>
          <w:p w:rsidR="00A42C9F" w:rsidRPr="00353F58" w:rsidRDefault="00A42C9F" w:rsidP="00AE5333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 xml:space="preserve">6,996.27 </w:t>
            </w:r>
          </w:p>
        </w:tc>
        <w:tc>
          <w:tcPr>
            <w:tcW w:w="1396" w:type="dxa"/>
            <w:shd w:val="clear" w:color="auto" w:fill="auto"/>
            <w:vAlign w:val="center"/>
            <w:hideMark/>
          </w:tcPr>
          <w:p w:rsidR="00A42C9F" w:rsidRPr="00353F58" w:rsidRDefault="00A42C9F" w:rsidP="00AE5333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 xml:space="preserve">7,427.48 </w:t>
            </w:r>
          </w:p>
        </w:tc>
      </w:tr>
      <w:tr w:rsidR="00A42C9F" w:rsidRPr="00F46A3D" w:rsidTr="00A42C9F">
        <w:tc>
          <w:tcPr>
            <w:tcW w:w="1560" w:type="dxa"/>
            <w:shd w:val="clear" w:color="auto" w:fill="auto"/>
            <w:vAlign w:val="center"/>
            <w:hideMark/>
          </w:tcPr>
          <w:p w:rsidR="00A42C9F" w:rsidRPr="00353F58" w:rsidRDefault="00A42C9F" w:rsidP="00AE5333">
            <w:pPr>
              <w:pStyle w:val="142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>長期負債</w:t>
            </w:r>
          </w:p>
        </w:tc>
        <w:tc>
          <w:tcPr>
            <w:tcW w:w="1395" w:type="dxa"/>
            <w:shd w:val="clear" w:color="auto" w:fill="auto"/>
            <w:vAlign w:val="center"/>
            <w:hideMark/>
          </w:tcPr>
          <w:p w:rsidR="00A42C9F" w:rsidRPr="00353F58" w:rsidRDefault="00A42C9F" w:rsidP="00AE5333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 xml:space="preserve">7,529.48 </w:t>
            </w:r>
          </w:p>
        </w:tc>
        <w:tc>
          <w:tcPr>
            <w:tcW w:w="1396" w:type="dxa"/>
            <w:shd w:val="clear" w:color="auto" w:fill="auto"/>
            <w:vAlign w:val="center"/>
            <w:hideMark/>
          </w:tcPr>
          <w:p w:rsidR="00A42C9F" w:rsidRPr="00353F58" w:rsidRDefault="00A42C9F" w:rsidP="00AE5333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 xml:space="preserve">7,446.04 </w:t>
            </w:r>
          </w:p>
        </w:tc>
        <w:tc>
          <w:tcPr>
            <w:tcW w:w="1396" w:type="dxa"/>
            <w:shd w:val="clear" w:color="auto" w:fill="auto"/>
            <w:vAlign w:val="center"/>
            <w:hideMark/>
          </w:tcPr>
          <w:p w:rsidR="00A42C9F" w:rsidRPr="00353F58" w:rsidRDefault="00A42C9F" w:rsidP="00AE5333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 xml:space="preserve">9,015.44 </w:t>
            </w:r>
          </w:p>
        </w:tc>
        <w:tc>
          <w:tcPr>
            <w:tcW w:w="1396" w:type="dxa"/>
            <w:shd w:val="clear" w:color="auto" w:fill="auto"/>
            <w:vAlign w:val="center"/>
            <w:hideMark/>
          </w:tcPr>
          <w:p w:rsidR="00A42C9F" w:rsidRPr="00353F58" w:rsidRDefault="00A42C9F" w:rsidP="00AE5333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 xml:space="preserve">10,106.76 </w:t>
            </w:r>
          </w:p>
        </w:tc>
        <w:tc>
          <w:tcPr>
            <w:tcW w:w="1396" w:type="dxa"/>
            <w:shd w:val="clear" w:color="auto" w:fill="auto"/>
            <w:vAlign w:val="center"/>
            <w:hideMark/>
          </w:tcPr>
          <w:p w:rsidR="00A42C9F" w:rsidRPr="00353F58" w:rsidRDefault="00A42C9F" w:rsidP="00AE5333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 xml:space="preserve">10,455.74 </w:t>
            </w:r>
          </w:p>
        </w:tc>
      </w:tr>
      <w:tr w:rsidR="00A42C9F" w:rsidRPr="00F46A3D" w:rsidTr="00A42C9F">
        <w:tc>
          <w:tcPr>
            <w:tcW w:w="1560" w:type="dxa"/>
            <w:shd w:val="clear" w:color="auto" w:fill="auto"/>
            <w:vAlign w:val="center"/>
            <w:hideMark/>
          </w:tcPr>
          <w:p w:rsidR="00A42C9F" w:rsidRPr="00353F58" w:rsidRDefault="00A42C9F" w:rsidP="00AE5333">
            <w:pPr>
              <w:pStyle w:val="142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>其他負債</w:t>
            </w:r>
          </w:p>
        </w:tc>
        <w:tc>
          <w:tcPr>
            <w:tcW w:w="1395" w:type="dxa"/>
            <w:shd w:val="clear" w:color="auto" w:fill="auto"/>
            <w:vAlign w:val="center"/>
            <w:hideMark/>
          </w:tcPr>
          <w:p w:rsidR="00A42C9F" w:rsidRPr="00353F58" w:rsidRDefault="00A42C9F" w:rsidP="00AE5333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 xml:space="preserve">6,123.46 </w:t>
            </w:r>
          </w:p>
        </w:tc>
        <w:tc>
          <w:tcPr>
            <w:tcW w:w="1396" w:type="dxa"/>
            <w:shd w:val="clear" w:color="auto" w:fill="auto"/>
            <w:vAlign w:val="center"/>
            <w:hideMark/>
          </w:tcPr>
          <w:p w:rsidR="00A42C9F" w:rsidRPr="00353F58" w:rsidRDefault="00A42C9F" w:rsidP="00AE5333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 xml:space="preserve">6,414.90 </w:t>
            </w:r>
          </w:p>
        </w:tc>
        <w:tc>
          <w:tcPr>
            <w:tcW w:w="1396" w:type="dxa"/>
            <w:shd w:val="clear" w:color="auto" w:fill="auto"/>
            <w:vAlign w:val="center"/>
            <w:hideMark/>
          </w:tcPr>
          <w:p w:rsidR="00A42C9F" w:rsidRPr="00353F58" w:rsidRDefault="00A42C9F" w:rsidP="00AE5333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 xml:space="preserve">6,075.74 </w:t>
            </w:r>
          </w:p>
        </w:tc>
        <w:tc>
          <w:tcPr>
            <w:tcW w:w="1396" w:type="dxa"/>
            <w:shd w:val="clear" w:color="auto" w:fill="auto"/>
            <w:vAlign w:val="center"/>
            <w:hideMark/>
          </w:tcPr>
          <w:p w:rsidR="00A42C9F" w:rsidRPr="00353F58" w:rsidRDefault="00A42C9F" w:rsidP="00AE5333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 xml:space="preserve">7,205.92 </w:t>
            </w:r>
          </w:p>
        </w:tc>
        <w:tc>
          <w:tcPr>
            <w:tcW w:w="1396" w:type="dxa"/>
            <w:shd w:val="clear" w:color="auto" w:fill="auto"/>
            <w:vAlign w:val="center"/>
            <w:hideMark/>
          </w:tcPr>
          <w:p w:rsidR="00A42C9F" w:rsidRPr="00353F58" w:rsidRDefault="00A42C9F" w:rsidP="00AE5333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 xml:space="preserve">7,389.55 </w:t>
            </w:r>
          </w:p>
        </w:tc>
      </w:tr>
      <w:tr w:rsidR="00A42C9F" w:rsidRPr="00F46A3D" w:rsidTr="00A42C9F">
        <w:tc>
          <w:tcPr>
            <w:tcW w:w="1560" w:type="dxa"/>
            <w:tcBorders>
              <w:bottom w:val="double" w:sz="12" w:space="0" w:color="auto"/>
            </w:tcBorders>
            <w:shd w:val="clear" w:color="auto" w:fill="auto"/>
            <w:vAlign w:val="center"/>
            <w:hideMark/>
          </w:tcPr>
          <w:p w:rsidR="00A42C9F" w:rsidRPr="00353F58" w:rsidRDefault="00A42C9F" w:rsidP="00AE5333">
            <w:pPr>
              <w:pStyle w:val="142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>權益</w:t>
            </w:r>
          </w:p>
        </w:tc>
        <w:tc>
          <w:tcPr>
            <w:tcW w:w="1395" w:type="dxa"/>
            <w:tcBorders>
              <w:bottom w:val="double" w:sz="12" w:space="0" w:color="auto"/>
            </w:tcBorders>
            <w:shd w:val="clear" w:color="auto" w:fill="auto"/>
            <w:vAlign w:val="center"/>
            <w:hideMark/>
          </w:tcPr>
          <w:p w:rsidR="00A42C9F" w:rsidRPr="00353F58" w:rsidRDefault="00A42C9F" w:rsidP="00AE5333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 xml:space="preserve">3,262.96 </w:t>
            </w:r>
          </w:p>
        </w:tc>
        <w:tc>
          <w:tcPr>
            <w:tcW w:w="1396" w:type="dxa"/>
            <w:tcBorders>
              <w:bottom w:val="double" w:sz="12" w:space="0" w:color="auto"/>
            </w:tcBorders>
            <w:shd w:val="clear" w:color="auto" w:fill="auto"/>
            <w:vAlign w:val="center"/>
            <w:hideMark/>
          </w:tcPr>
          <w:p w:rsidR="00A42C9F" w:rsidRPr="00353F58" w:rsidRDefault="00A42C9F" w:rsidP="00AE5333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 xml:space="preserve">3,509.32 </w:t>
            </w:r>
          </w:p>
        </w:tc>
        <w:tc>
          <w:tcPr>
            <w:tcW w:w="1396" w:type="dxa"/>
            <w:tcBorders>
              <w:bottom w:val="double" w:sz="12" w:space="0" w:color="auto"/>
            </w:tcBorders>
            <w:shd w:val="clear" w:color="auto" w:fill="auto"/>
            <w:vAlign w:val="center"/>
            <w:hideMark/>
          </w:tcPr>
          <w:p w:rsidR="00A42C9F" w:rsidRPr="00353F58" w:rsidRDefault="00A42C9F" w:rsidP="00AE5333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 xml:space="preserve">1,273.51 </w:t>
            </w:r>
          </w:p>
        </w:tc>
        <w:tc>
          <w:tcPr>
            <w:tcW w:w="1396" w:type="dxa"/>
            <w:tcBorders>
              <w:bottom w:val="double" w:sz="12" w:space="0" w:color="auto"/>
            </w:tcBorders>
            <w:shd w:val="clear" w:color="auto" w:fill="auto"/>
            <w:vAlign w:val="center"/>
            <w:hideMark/>
          </w:tcPr>
          <w:p w:rsidR="00A42C9F" w:rsidRPr="00353F58" w:rsidRDefault="00A42C9F" w:rsidP="00AE5333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 xml:space="preserve">1,347.11 </w:t>
            </w:r>
          </w:p>
        </w:tc>
        <w:tc>
          <w:tcPr>
            <w:tcW w:w="1396" w:type="dxa"/>
            <w:tcBorders>
              <w:bottom w:val="double" w:sz="12" w:space="0" w:color="auto"/>
            </w:tcBorders>
            <w:shd w:val="clear" w:color="auto" w:fill="auto"/>
            <w:vAlign w:val="center"/>
            <w:hideMark/>
          </w:tcPr>
          <w:p w:rsidR="00A42C9F" w:rsidRPr="00353F58" w:rsidRDefault="00A42C9F" w:rsidP="00AE5333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 xml:space="preserve">2,007.96 </w:t>
            </w:r>
          </w:p>
        </w:tc>
      </w:tr>
      <w:tr w:rsidR="00A42C9F" w:rsidRPr="00F46A3D" w:rsidTr="00A42C9F">
        <w:tc>
          <w:tcPr>
            <w:tcW w:w="1560" w:type="dxa"/>
            <w:tcBorders>
              <w:top w:val="double" w:sz="12" w:space="0" w:color="auto"/>
              <w:bottom w:val="single" w:sz="2" w:space="0" w:color="auto"/>
            </w:tcBorders>
            <w:shd w:val="clear" w:color="000000" w:fill="FFFFFF"/>
            <w:vAlign w:val="center"/>
            <w:hideMark/>
          </w:tcPr>
          <w:p w:rsidR="00A42C9F" w:rsidRPr="00353F58" w:rsidRDefault="00A42C9F" w:rsidP="00AE5333">
            <w:pPr>
              <w:pStyle w:val="142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>負債比率(B)/(A)×100%</w:t>
            </w:r>
          </w:p>
        </w:tc>
        <w:tc>
          <w:tcPr>
            <w:tcW w:w="1395" w:type="dxa"/>
            <w:tcBorders>
              <w:top w:val="double" w:sz="12" w:space="0" w:color="auto"/>
              <w:bottom w:val="single" w:sz="2" w:space="0" w:color="auto"/>
            </w:tcBorders>
            <w:shd w:val="clear" w:color="000000" w:fill="FFFFFF"/>
            <w:vAlign w:val="center"/>
            <w:hideMark/>
          </w:tcPr>
          <w:p w:rsidR="00A42C9F" w:rsidRPr="00353F58" w:rsidRDefault="00A42C9F" w:rsidP="00AE5333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 xml:space="preserve">84.79 </w:t>
            </w:r>
          </w:p>
        </w:tc>
        <w:tc>
          <w:tcPr>
            <w:tcW w:w="1396" w:type="dxa"/>
            <w:tcBorders>
              <w:top w:val="double" w:sz="12" w:space="0" w:color="auto"/>
              <w:bottom w:val="single" w:sz="2" w:space="0" w:color="auto"/>
            </w:tcBorders>
            <w:shd w:val="clear" w:color="000000" w:fill="FFFFFF"/>
            <w:vAlign w:val="center"/>
            <w:hideMark/>
          </w:tcPr>
          <w:p w:rsidR="00A42C9F" w:rsidRPr="00353F58" w:rsidRDefault="00A42C9F" w:rsidP="00AE5333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 xml:space="preserve">84.09 </w:t>
            </w:r>
          </w:p>
        </w:tc>
        <w:tc>
          <w:tcPr>
            <w:tcW w:w="1396" w:type="dxa"/>
            <w:tcBorders>
              <w:top w:val="double" w:sz="12" w:space="0" w:color="auto"/>
              <w:bottom w:val="single" w:sz="2" w:space="0" w:color="auto"/>
            </w:tcBorders>
            <w:shd w:val="clear" w:color="000000" w:fill="FFFFFF"/>
            <w:vAlign w:val="center"/>
            <w:hideMark/>
          </w:tcPr>
          <w:p w:rsidR="00A42C9F" w:rsidRPr="00353F58" w:rsidRDefault="00A42C9F" w:rsidP="00AE5333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 xml:space="preserve">94.52 </w:t>
            </w:r>
          </w:p>
        </w:tc>
        <w:tc>
          <w:tcPr>
            <w:tcW w:w="1396" w:type="dxa"/>
            <w:tcBorders>
              <w:top w:val="double" w:sz="12" w:space="0" w:color="auto"/>
              <w:bottom w:val="single" w:sz="2" w:space="0" w:color="auto"/>
            </w:tcBorders>
            <w:shd w:val="clear" w:color="000000" w:fill="FFFFFF"/>
            <w:vAlign w:val="center"/>
            <w:hideMark/>
          </w:tcPr>
          <w:p w:rsidR="00A42C9F" w:rsidRPr="00353F58" w:rsidRDefault="00A42C9F" w:rsidP="00AE5333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 xml:space="preserve">94.75 </w:t>
            </w:r>
          </w:p>
        </w:tc>
        <w:tc>
          <w:tcPr>
            <w:tcW w:w="1396" w:type="dxa"/>
            <w:tcBorders>
              <w:top w:val="double" w:sz="12" w:space="0" w:color="auto"/>
              <w:bottom w:val="single" w:sz="2" w:space="0" w:color="auto"/>
            </w:tcBorders>
            <w:shd w:val="clear" w:color="000000" w:fill="FFFFFF"/>
            <w:vAlign w:val="center"/>
            <w:hideMark/>
          </w:tcPr>
          <w:p w:rsidR="00A42C9F" w:rsidRPr="00353F58" w:rsidRDefault="00A42C9F" w:rsidP="00AE5333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 xml:space="preserve">92.64 </w:t>
            </w:r>
          </w:p>
        </w:tc>
      </w:tr>
      <w:tr w:rsidR="00A42C9F" w:rsidRPr="00F46A3D" w:rsidTr="00A42C9F">
        <w:tc>
          <w:tcPr>
            <w:tcW w:w="1560" w:type="dxa"/>
            <w:tcBorders>
              <w:top w:val="single" w:sz="2" w:space="0" w:color="auto"/>
            </w:tcBorders>
            <w:shd w:val="clear" w:color="000000" w:fill="FFFFFF"/>
            <w:vAlign w:val="center"/>
          </w:tcPr>
          <w:p w:rsidR="00A42C9F" w:rsidRPr="00353F58" w:rsidRDefault="00A42C9F" w:rsidP="00AE5333">
            <w:pPr>
              <w:pStyle w:val="142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>利息總支出</w:t>
            </w:r>
          </w:p>
        </w:tc>
        <w:tc>
          <w:tcPr>
            <w:tcW w:w="1395" w:type="dxa"/>
            <w:tcBorders>
              <w:top w:val="single" w:sz="2" w:space="0" w:color="auto"/>
            </w:tcBorders>
            <w:shd w:val="clear" w:color="000000" w:fill="FFFFFF"/>
            <w:vAlign w:val="center"/>
          </w:tcPr>
          <w:p w:rsidR="00A42C9F" w:rsidRPr="00353F58" w:rsidRDefault="00A42C9F" w:rsidP="00AE5333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>112.84</w:t>
            </w:r>
          </w:p>
        </w:tc>
        <w:tc>
          <w:tcPr>
            <w:tcW w:w="1396" w:type="dxa"/>
            <w:tcBorders>
              <w:top w:val="single" w:sz="2" w:space="0" w:color="auto"/>
            </w:tcBorders>
            <w:shd w:val="clear" w:color="000000" w:fill="FFFFFF"/>
            <w:vAlign w:val="center"/>
          </w:tcPr>
          <w:p w:rsidR="00A42C9F" w:rsidRPr="00353F58" w:rsidRDefault="00A42C9F" w:rsidP="00AE5333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>97.13</w:t>
            </w:r>
          </w:p>
        </w:tc>
        <w:tc>
          <w:tcPr>
            <w:tcW w:w="1396" w:type="dxa"/>
            <w:tcBorders>
              <w:top w:val="single" w:sz="2" w:space="0" w:color="auto"/>
            </w:tcBorders>
            <w:shd w:val="clear" w:color="000000" w:fill="FFFFFF"/>
            <w:vAlign w:val="center"/>
          </w:tcPr>
          <w:p w:rsidR="00A42C9F" w:rsidRPr="00353F58" w:rsidRDefault="00A42C9F" w:rsidP="00AE5333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>123.75</w:t>
            </w:r>
          </w:p>
        </w:tc>
        <w:tc>
          <w:tcPr>
            <w:tcW w:w="1396" w:type="dxa"/>
            <w:tcBorders>
              <w:top w:val="single" w:sz="2" w:space="0" w:color="auto"/>
            </w:tcBorders>
            <w:shd w:val="clear" w:color="000000" w:fill="FFFFFF"/>
            <w:vAlign w:val="center"/>
          </w:tcPr>
          <w:p w:rsidR="00A42C9F" w:rsidRPr="00353F58" w:rsidRDefault="00A42C9F" w:rsidP="00AE5333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>209.39</w:t>
            </w:r>
          </w:p>
        </w:tc>
        <w:tc>
          <w:tcPr>
            <w:tcW w:w="1396" w:type="dxa"/>
            <w:tcBorders>
              <w:top w:val="single" w:sz="2" w:space="0" w:color="auto"/>
            </w:tcBorders>
            <w:shd w:val="clear" w:color="000000" w:fill="FFFFFF"/>
            <w:vAlign w:val="center"/>
          </w:tcPr>
          <w:p w:rsidR="00A42C9F" w:rsidRPr="00353F58" w:rsidRDefault="00A42C9F" w:rsidP="00AE5333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353F58">
              <w:rPr>
                <w:rFonts w:hAnsi="標楷體" w:hint="eastAsia"/>
                <w:snapToGrid/>
              </w:rPr>
              <w:t>245.81</w:t>
            </w:r>
          </w:p>
        </w:tc>
      </w:tr>
    </w:tbl>
    <w:p w:rsidR="009870D8" w:rsidRDefault="009870D8" w:rsidP="00A42C9F">
      <w:pPr>
        <w:pStyle w:val="142"/>
      </w:pPr>
      <w:r>
        <w:rPr>
          <w:rFonts w:hint="eastAsia"/>
        </w:rPr>
        <w:t>說    明：加總金額與合計數或略有出入，係4捨5入之故。</w:t>
      </w:r>
    </w:p>
    <w:p w:rsidR="00A42C9F" w:rsidRPr="00A11DD4" w:rsidRDefault="00A42C9F" w:rsidP="00A42C9F">
      <w:pPr>
        <w:pStyle w:val="142"/>
      </w:pPr>
      <w:r w:rsidRPr="00A11DD4">
        <w:rPr>
          <w:rFonts w:hint="eastAsia"/>
        </w:rPr>
        <w:t>資料來源：</w:t>
      </w:r>
      <w:r>
        <w:rPr>
          <w:rFonts w:hint="eastAsia"/>
        </w:rPr>
        <w:t>整理自</w:t>
      </w:r>
      <w:r w:rsidRPr="00A11DD4">
        <w:rPr>
          <w:rFonts w:hint="eastAsia"/>
        </w:rPr>
        <w:t>台電公司</w:t>
      </w:r>
      <w:r>
        <w:rPr>
          <w:rFonts w:hint="eastAsia"/>
        </w:rPr>
        <w:t>提供資料及審定決算書</w:t>
      </w:r>
      <w:r w:rsidRPr="00A11DD4">
        <w:rPr>
          <w:rFonts w:hint="eastAsia"/>
        </w:rPr>
        <w:t>。</w:t>
      </w:r>
    </w:p>
    <w:p w:rsidR="00CB3031" w:rsidRPr="009175C1" w:rsidRDefault="00CB3031" w:rsidP="00CB3031">
      <w:pPr>
        <w:pStyle w:val="a4"/>
        <w:ind w:left="849" w:hanging="283"/>
        <w:rPr>
          <w:rFonts w:hAnsi="標楷體"/>
          <w:b/>
          <w:bCs/>
          <w:color w:val="000000"/>
        </w:rPr>
      </w:pPr>
      <w:r w:rsidRPr="009175C1">
        <w:rPr>
          <w:rFonts w:hAnsi="標楷體"/>
          <w:b/>
          <w:bCs/>
          <w:color w:val="000000"/>
        </w:rPr>
        <w:t>(</w:t>
      </w:r>
      <w:r w:rsidR="008B39FC" w:rsidRPr="009175C1">
        <w:rPr>
          <w:rFonts w:hAnsi="標楷體" w:hint="eastAsia"/>
          <w:b/>
          <w:bCs/>
          <w:color w:val="000000"/>
        </w:rPr>
        <w:t>二</w:t>
      </w:r>
      <w:r w:rsidRPr="009175C1">
        <w:rPr>
          <w:rFonts w:hAnsi="標楷體" w:hint="eastAsia"/>
          <w:b/>
          <w:bCs/>
          <w:color w:val="000000"/>
        </w:rPr>
        <w:t>)</w:t>
      </w:r>
      <w:r w:rsidR="009175C1" w:rsidRPr="009175C1">
        <w:rPr>
          <w:rFonts w:hAnsi="標楷體" w:hint="eastAsia"/>
          <w:b/>
          <w:bCs/>
          <w:color w:val="000000"/>
        </w:rPr>
        <w:t>113年底累積虧損擴增至</w:t>
      </w:r>
      <w:r w:rsidR="009175C1" w:rsidRPr="009175C1">
        <w:rPr>
          <w:rFonts w:hint="eastAsia"/>
          <w:b/>
        </w:rPr>
        <w:t>4</w:t>
      </w:r>
      <w:r w:rsidR="009175C1" w:rsidRPr="009175C1">
        <w:rPr>
          <w:b/>
        </w:rPr>
        <w:t>,</w:t>
      </w:r>
      <w:r w:rsidR="009175C1" w:rsidRPr="009175C1">
        <w:rPr>
          <w:rFonts w:hint="eastAsia"/>
          <w:b/>
        </w:rPr>
        <w:t>210.75億元，允宜積極加強開源節流，減少虧損</w:t>
      </w:r>
    </w:p>
    <w:p w:rsidR="00B311FD" w:rsidRPr="00B311FD" w:rsidRDefault="00B311FD" w:rsidP="00B311FD">
      <w:pPr>
        <w:pStyle w:val="123"/>
        <w:ind w:left="1133" w:hanging="283"/>
      </w:pPr>
      <w:r w:rsidRPr="00B311FD">
        <w:rPr>
          <w:rFonts w:hint="eastAsia"/>
        </w:rPr>
        <w:t>1.依國營事業管理法第4條</w:t>
      </w:r>
      <w:r w:rsidRPr="00B311FD">
        <w:rPr>
          <w:rStyle w:val="af7"/>
        </w:rPr>
        <w:footnoteReference w:id="1"/>
      </w:r>
      <w:r w:rsidRPr="00B311FD">
        <w:rPr>
          <w:rFonts w:hint="eastAsia"/>
        </w:rPr>
        <w:t>及</w:t>
      </w:r>
      <w:r w:rsidR="009870D8">
        <w:rPr>
          <w:rFonts w:hint="eastAsia"/>
        </w:rPr>
        <w:t>「</w:t>
      </w:r>
      <w:r w:rsidRPr="00B311FD">
        <w:rPr>
          <w:rFonts w:hint="eastAsia"/>
        </w:rPr>
        <w:t>附屬單位預算執行要點</w:t>
      </w:r>
      <w:r w:rsidR="009870D8">
        <w:rPr>
          <w:rFonts w:hint="eastAsia"/>
        </w:rPr>
        <w:t>」</w:t>
      </w:r>
      <w:r w:rsidRPr="00B311FD">
        <w:rPr>
          <w:rFonts w:hint="eastAsia"/>
        </w:rPr>
        <w:t>第壹、四點</w:t>
      </w:r>
      <w:r w:rsidRPr="00B311FD">
        <w:rPr>
          <w:rStyle w:val="af7"/>
        </w:rPr>
        <w:footnoteReference w:id="2"/>
      </w:r>
      <w:r w:rsidRPr="00B311FD">
        <w:rPr>
          <w:rFonts w:hint="eastAsia"/>
        </w:rPr>
        <w:t>規定略以，國營事業應本企業化經營原則，</w:t>
      </w:r>
      <w:r w:rsidR="008B39FC" w:rsidRPr="00B311FD">
        <w:rPr>
          <w:rFonts w:hint="eastAsia"/>
        </w:rPr>
        <w:t>力求有盈無虧</w:t>
      </w:r>
      <w:r w:rsidR="008B39FC">
        <w:rPr>
          <w:rFonts w:hint="eastAsia"/>
        </w:rPr>
        <w:t>，</w:t>
      </w:r>
      <w:r w:rsidRPr="00B311FD">
        <w:rPr>
          <w:rFonts w:hint="eastAsia"/>
        </w:rPr>
        <w:t>設法提高產銷營運量，增加收入，抑減成本費用，並提升經營績效，除較預算增加之政策性因素及推動永續發展外，應達成年度法定預算盈餘或虧損改善目標。</w:t>
      </w:r>
      <w:r w:rsidR="008B39FC">
        <w:rPr>
          <w:rFonts w:hint="eastAsia"/>
        </w:rPr>
        <w:t>是以</w:t>
      </w:r>
      <w:r w:rsidRPr="00B311FD">
        <w:rPr>
          <w:rFonts w:hint="eastAsia"/>
        </w:rPr>
        <w:t>，國營事業縱使因肩負社會責任致盈餘降低或虧損者，仍應</w:t>
      </w:r>
      <w:r w:rsidR="009870D8">
        <w:rPr>
          <w:rFonts w:hint="eastAsia"/>
        </w:rPr>
        <w:t>以</w:t>
      </w:r>
      <w:r w:rsidR="009870D8" w:rsidRPr="002E6614">
        <w:rPr>
          <w:rFonts w:hint="eastAsia"/>
        </w:rPr>
        <w:t>達成年度法定預算盈餘</w:t>
      </w:r>
      <w:r w:rsidRPr="00B311FD">
        <w:rPr>
          <w:rFonts w:hint="eastAsia"/>
        </w:rPr>
        <w:t>或虧損改善為營運目標。</w:t>
      </w:r>
    </w:p>
    <w:p w:rsidR="00B311FD" w:rsidRPr="00B311FD" w:rsidRDefault="00B311FD" w:rsidP="00B311FD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t>2.</w:t>
      </w:r>
      <w:r w:rsidR="00CB3031">
        <w:rPr>
          <w:rFonts w:hint="eastAsia"/>
        </w:rPr>
        <w:t>台電公司</w:t>
      </w:r>
      <w:r>
        <w:rPr>
          <w:rFonts w:hint="eastAsia"/>
        </w:rPr>
        <w:t>109至113年度</w:t>
      </w:r>
      <w:r w:rsidR="00CB3031" w:rsidRPr="00564D02">
        <w:rPr>
          <w:rFonts w:hint="eastAsia"/>
        </w:rPr>
        <w:t>售電量</w:t>
      </w:r>
      <w:r w:rsidR="00CB3031">
        <w:rPr>
          <w:rFonts w:hint="eastAsia"/>
        </w:rPr>
        <w:t>除112年度因國內經濟成長放緩而</w:t>
      </w:r>
      <w:r w:rsidR="00A1109F">
        <w:rPr>
          <w:rFonts w:hint="eastAsia"/>
        </w:rPr>
        <w:t>略減</w:t>
      </w:r>
      <w:r w:rsidR="00CB3031">
        <w:rPr>
          <w:rFonts w:hint="eastAsia"/>
        </w:rPr>
        <w:t>外，概呈遞增趨勢，</w:t>
      </w:r>
      <w:r w:rsidR="00CB3031" w:rsidRPr="00564D02">
        <w:rPr>
          <w:rFonts w:hint="eastAsia"/>
        </w:rPr>
        <w:t>營業收入</w:t>
      </w:r>
      <w:r w:rsidR="00A1109F">
        <w:rPr>
          <w:rFonts w:hint="eastAsia"/>
        </w:rPr>
        <w:t>則</w:t>
      </w:r>
      <w:r w:rsidR="00CB3031">
        <w:rPr>
          <w:rFonts w:hint="eastAsia"/>
        </w:rPr>
        <w:t>隨售電量及電價調漲等</w:t>
      </w:r>
      <w:r w:rsidR="00CB3031" w:rsidRPr="00564D02">
        <w:rPr>
          <w:rFonts w:hint="eastAsia"/>
        </w:rPr>
        <w:t>逐年</w:t>
      </w:r>
      <w:r w:rsidR="00CB3031">
        <w:rPr>
          <w:rFonts w:hint="eastAsia"/>
        </w:rPr>
        <w:t>成長。然</w:t>
      </w:r>
      <w:r w:rsidR="00CB3031" w:rsidRPr="00564D02">
        <w:rPr>
          <w:rFonts w:hint="eastAsia"/>
        </w:rPr>
        <w:t>受國際燃料價格上漲等影響，</w:t>
      </w:r>
      <w:r w:rsidR="00A1109F" w:rsidRPr="00564D02">
        <w:rPr>
          <w:rFonts w:hint="eastAsia"/>
        </w:rPr>
        <w:t>營業收入不敷支應所需營業成本</w:t>
      </w:r>
      <w:r w:rsidR="00A1109F">
        <w:rPr>
          <w:rFonts w:hint="eastAsia"/>
        </w:rPr>
        <w:t>，</w:t>
      </w:r>
      <w:r w:rsidR="00CB3031" w:rsidRPr="00564D02">
        <w:rPr>
          <w:rFonts w:hint="eastAsia"/>
        </w:rPr>
        <w:t>營業成本率</w:t>
      </w:r>
      <w:r w:rsidR="00CB3031">
        <w:rPr>
          <w:rFonts w:hint="eastAsia"/>
        </w:rPr>
        <w:t>於1</w:t>
      </w:r>
      <w:r w:rsidR="00CB3031">
        <w:t>11</w:t>
      </w:r>
      <w:r w:rsidR="0039613F">
        <w:rPr>
          <w:rFonts w:hint="eastAsia"/>
        </w:rPr>
        <w:t>年度大幅增為</w:t>
      </w:r>
      <w:r w:rsidR="0039613F">
        <w:rPr>
          <w:rFonts w:hint="eastAsia"/>
        </w:rPr>
        <w:lastRenderedPageBreak/>
        <w:t>136.92%</w:t>
      </w:r>
      <w:r w:rsidR="00CB3031">
        <w:rPr>
          <w:rFonts w:hint="eastAsia"/>
        </w:rPr>
        <w:t>，較109及110年度</w:t>
      </w:r>
      <w:r w:rsidR="0039613F">
        <w:rPr>
          <w:rFonts w:hint="eastAsia"/>
        </w:rPr>
        <w:t>各</w:t>
      </w:r>
      <w:r w:rsidR="00CB3031">
        <w:rPr>
          <w:rFonts w:hint="eastAsia"/>
        </w:rPr>
        <w:t>增加</w:t>
      </w:r>
      <w:r w:rsidR="0039613F">
        <w:rPr>
          <w:rFonts w:hint="eastAsia"/>
        </w:rPr>
        <w:t>47.51及</w:t>
      </w:r>
      <w:r w:rsidR="00CB3031">
        <w:rPr>
          <w:rFonts w:hint="eastAsia"/>
        </w:rPr>
        <w:t>46.92個百分點</w:t>
      </w:r>
      <w:r w:rsidR="002F35DE">
        <w:rPr>
          <w:rFonts w:hint="eastAsia"/>
        </w:rPr>
        <w:t>；</w:t>
      </w:r>
      <w:r w:rsidR="00CB3031">
        <w:rPr>
          <w:rFonts w:hint="eastAsia"/>
        </w:rPr>
        <w:t>後雖因電價調漲及國際燃料價格下跌，營業成本率下滑，惟迄1</w:t>
      </w:r>
      <w:r w:rsidR="00CB3031">
        <w:t>13</w:t>
      </w:r>
      <w:r w:rsidR="00CB3031">
        <w:rPr>
          <w:rFonts w:hint="eastAsia"/>
        </w:rPr>
        <w:t>年度仍超逾1</w:t>
      </w:r>
      <w:r w:rsidR="00CB3031">
        <w:t>00%</w:t>
      </w:r>
      <w:r w:rsidR="00CB3031">
        <w:rPr>
          <w:rFonts w:hint="eastAsia"/>
        </w:rPr>
        <w:t>，</w:t>
      </w:r>
      <w:r w:rsidR="00A1109F">
        <w:rPr>
          <w:rFonts w:hint="eastAsia"/>
        </w:rPr>
        <w:t>且111至113年度</w:t>
      </w:r>
      <w:r w:rsidR="00A1109F" w:rsidRPr="00564D02">
        <w:rPr>
          <w:rFonts w:hint="eastAsia"/>
        </w:rPr>
        <w:t>營業利益率、淨利率、總資產報酬率</w:t>
      </w:r>
      <w:r w:rsidR="00A1109F">
        <w:rPr>
          <w:rFonts w:hint="eastAsia"/>
        </w:rPr>
        <w:t>及</w:t>
      </w:r>
      <w:r w:rsidR="00A1109F" w:rsidRPr="00564D02">
        <w:rPr>
          <w:rFonts w:hint="eastAsia"/>
        </w:rPr>
        <w:t>權益報酬率</w:t>
      </w:r>
      <w:r w:rsidR="00A1109F">
        <w:rPr>
          <w:rFonts w:hint="eastAsia"/>
        </w:rPr>
        <w:t>均</w:t>
      </w:r>
      <w:r w:rsidR="00A1109F" w:rsidRPr="00564D02">
        <w:rPr>
          <w:rFonts w:hint="eastAsia"/>
        </w:rPr>
        <w:t>呈負值</w:t>
      </w:r>
      <w:r w:rsidR="00CB3031">
        <w:rPr>
          <w:rFonts w:hint="eastAsia"/>
        </w:rPr>
        <w:t>，</w:t>
      </w:r>
      <w:r w:rsidR="00CB3031" w:rsidRPr="00564D02">
        <w:rPr>
          <w:rFonts w:hint="eastAsia"/>
        </w:rPr>
        <w:t>累積虧損</w:t>
      </w:r>
      <w:r w:rsidR="00A1109F">
        <w:rPr>
          <w:rFonts w:hint="eastAsia"/>
        </w:rPr>
        <w:t>則</w:t>
      </w:r>
      <w:r w:rsidR="00CB3031">
        <w:rPr>
          <w:rFonts w:hint="eastAsia"/>
        </w:rPr>
        <w:t>由109年度之641.94億元，持續擴增至113年度已高達4</w:t>
      </w:r>
      <w:r w:rsidR="00CB3031" w:rsidRPr="00564D02">
        <w:t>,</w:t>
      </w:r>
      <w:r w:rsidR="00CB3031">
        <w:rPr>
          <w:rFonts w:hint="eastAsia"/>
        </w:rPr>
        <w:t>2</w:t>
      </w:r>
      <w:r w:rsidR="00A1109F">
        <w:rPr>
          <w:rFonts w:hint="eastAsia"/>
        </w:rPr>
        <w:t>10.75</w:t>
      </w:r>
      <w:r w:rsidR="00CB3031" w:rsidRPr="00564D02">
        <w:rPr>
          <w:rFonts w:hint="eastAsia"/>
        </w:rPr>
        <w:t>億元</w:t>
      </w:r>
      <w:r w:rsidR="00A1109F">
        <w:rPr>
          <w:rFonts w:hint="eastAsia"/>
        </w:rPr>
        <w:t>（詳表2）</w:t>
      </w:r>
      <w:r w:rsidR="00CB3031">
        <w:rPr>
          <w:rFonts w:hint="eastAsia"/>
        </w:rPr>
        <w:t>，</w:t>
      </w:r>
      <w:r w:rsidRPr="00C32923">
        <w:rPr>
          <w:rFonts w:hint="eastAsia"/>
        </w:rPr>
        <w:t>允宜依國營事業管理法規定之企業經營方式，加強開源節流，減少虧損</w:t>
      </w:r>
      <w:r w:rsidR="00CB3031" w:rsidRPr="00564D02">
        <w:rPr>
          <w:rFonts w:hint="eastAsia"/>
        </w:rPr>
        <w:t>。</w:t>
      </w:r>
    </w:p>
    <w:p w:rsidR="00CB3031" w:rsidRDefault="00CB3031" w:rsidP="00CB3031">
      <w:pPr>
        <w:pStyle w:val="a4"/>
        <w:ind w:leftChars="-20" w:left="850" w:hangingChars="320" w:hanging="907"/>
        <w:rPr>
          <w:b/>
        </w:rPr>
      </w:pPr>
      <w:r w:rsidRPr="00E74F1C">
        <w:rPr>
          <w:rFonts w:hint="eastAsia"/>
          <w:b/>
        </w:rPr>
        <w:t>表</w:t>
      </w:r>
      <w:r w:rsidR="00B12A44">
        <w:rPr>
          <w:rFonts w:hint="eastAsia"/>
          <w:b/>
        </w:rPr>
        <w:t>2</w:t>
      </w:r>
      <w:r w:rsidRPr="00E74F1C">
        <w:rPr>
          <w:rFonts w:hint="eastAsia"/>
          <w:b/>
        </w:rPr>
        <w:t xml:space="preserve"> 台電公司</w:t>
      </w:r>
      <w:r>
        <w:rPr>
          <w:rFonts w:hint="eastAsia"/>
          <w:b/>
        </w:rPr>
        <w:t>109至113年度營業收支及經營效率概要</w:t>
      </w:r>
      <w:r w:rsidRPr="00E74F1C">
        <w:rPr>
          <w:rFonts w:hint="eastAsia"/>
          <w:b/>
        </w:rPr>
        <w:t>表</w:t>
      </w:r>
    </w:p>
    <w:p w:rsidR="007677EE" w:rsidRPr="00CB3031" w:rsidRDefault="00F809ED" w:rsidP="002D0E28">
      <w:pPr>
        <w:pStyle w:val="a4"/>
        <w:spacing w:line="280" w:lineRule="exact"/>
        <w:ind w:leftChars="-20" w:left="850" w:hangingChars="320" w:hanging="907"/>
      </w:pPr>
      <w:r>
        <w:rPr>
          <w:rFonts w:hint="eastAsia"/>
          <w:b/>
        </w:rPr>
        <w:t xml:space="preserve">                                        </w:t>
      </w:r>
      <w:r w:rsidRPr="00CB3031">
        <w:rPr>
          <w:rFonts w:hint="eastAsia"/>
          <w:sz w:val="24"/>
          <w:szCs w:val="24"/>
        </w:rPr>
        <w:t>單位：</w:t>
      </w:r>
      <w:r w:rsidRPr="00CB3031">
        <w:rPr>
          <w:rFonts w:hint="eastAsia"/>
          <w:snapToGrid/>
          <w:sz w:val="24"/>
          <w:szCs w:val="24"/>
        </w:rPr>
        <w:t>億度；</w:t>
      </w:r>
      <w:r w:rsidRPr="00CB3031">
        <w:rPr>
          <w:rFonts w:hint="eastAsia"/>
          <w:sz w:val="24"/>
          <w:szCs w:val="24"/>
        </w:rPr>
        <w:t>新臺幣億元；%</w:t>
      </w:r>
      <w:r w:rsidR="00CB3031">
        <w:rPr>
          <w:rFonts w:hint="eastAsia"/>
          <w:sz w:val="24"/>
          <w:szCs w:val="24"/>
        </w:rPr>
        <w:t xml:space="preserve">        </w:t>
      </w:r>
      <w:r>
        <w:rPr>
          <w:rFonts w:hint="eastAsia"/>
          <w:sz w:val="24"/>
          <w:szCs w:val="24"/>
        </w:rPr>
        <w:t xml:space="preserve">  </w:t>
      </w:r>
    </w:p>
    <w:tbl>
      <w:tblPr>
        <w:tblW w:w="8511" w:type="dxa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85"/>
        <w:gridCol w:w="1305"/>
        <w:gridCol w:w="1305"/>
        <w:gridCol w:w="1305"/>
        <w:gridCol w:w="1305"/>
        <w:gridCol w:w="1306"/>
      </w:tblGrid>
      <w:tr w:rsidR="00CB3031" w:rsidRPr="00EC165B" w:rsidTr="00F46A3D">
        <w:trPr>
          <w:tblHeader/>
        </w:trPr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CB3031">
            <w:pPr>
              <w:pStyle w:val="142"/>
              <w:jc w:val="distribute"/>
              <w:rPr>
                <w:snapToGrid/>
              </w:rPr>
            </w:pPr>
            <w:r w:rsidRPr="00EC165B">
              <w:rPr>
                <w:rFonts w:hint="eastAsia"/>
                <w:snapToGrid/>
              </w:rPr>
              <w:t>年度</w:t>
            </w:r>
          </w:p>
        </w:tc>
        <w:tc>
          <w:tcPr>
            <w:tcW w:w="130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center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>109年度</w:t>
            </w:r>
          </w:p>
        </w:tc>
        <w:tc>
          <w:tcPr>
            <w:tcW w:w="130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center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>110年度</w:t>
            </w:r>
          </w:p>
        </w:tc>
        <w:tc>
          <w:tcPr>
            <w:tcW w:w="130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center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>111年度</w:t>
            </w:r>
          </w:p>
        </w:tc>
        <w:tc>
          <w:tcPr>
            <w:tcW w:w="130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center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>112年度</w:t>
            </w:r>
          </w:p>
        </w:tc>
        <w:tc>
          <w:tcPr>
            <w:tcW w:w="130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center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>113年度</w:t>
            </w:r>
          </w:p>
        </w:tc>
      </w:tr>
      <w:tr w:rsidR="00CB3031" w:rsidRPr="00EC165B" w:rsidTr="00CB3031">
        <w:tc>
          <w:tcPr>
            <w:tcW w:w="1985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CB3031">
            <w:pPr>
              <w:pStyle w:val="142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>售電量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 xml:space="preserve">2,248.13 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 xml:space="preserve">2,353.41 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 xml:space="preserve">2,367.63 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 xml:space="preserve">2,330.38 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doub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 xml:space="preserve">2,390.67 </w:t>
            </w:r>
          </w:p>
        </w:tc>
      </w:tr>
      <w:tr w:rsidR="00CB3031" w:rsidRPr="00EC165B" w:rsidTr="00CB3031">
        <w:tc>
          <w:tcPr>
            <w:tcW w:w="1985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>營業收入</w:t>
            </w:r>
          </w:p>
        </w:tc>
        <w:tc>
          <w:tcPr>
            <w:tcW w:w="1305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 xml:space="preserve">6,046.48 </w:t>
            </w:r>
          </w:p>
        </w:tc>
        <w:tc>
          <w:tcPr>
            <w:tcW w:w="1305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 xml:space="preserve">6,209.70 </w:t>
            </w:r>
          </w:p>
        </w:tc>
        <w:tc>
          <w:tcPr>
            <w:tcW w:w="1305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 xml:space="preserve">6,618.78 </w:t>
            </w:r>
          </w:p>
        </w:tc>
        <w:tc>
          <w:tcPr>
            <w:tcW w:w="1305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 xml:space="preserve">7,809.93 </w:t>
            </w:r>
          </w:p>
        </w:tc>
        <w:tc>
          <w:tcPr>
            <w:tcW w:w="1306" w:type="dxa"/>
            <w:tcBorders>
              <w:top w:val="doub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D24642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>8,49</w:t>
            </w:r>
            <w:r w:rsidR="00D24642">
              <w:rPr>
                <w:rFonts w:hint="eastAsia"/>
                <w:snapToGrid/>
              </w:rPr>
              <w:t>5.66</w:t>
            </w:r>
          </w:p>
        </w:tc>
      </w:tr>
      <w:tr w:rsidR="00CB3031" w:rsidRPr="00EC165B" w:rsidTr="00CB3031">
        <w:tc>
          <w:tcPr>
            <w:tcW w:w="198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>營業成本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 xml:space="preserve">5,406.46 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 xml:space="preserve">5,588.43 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 xml:space="preserve">9,062.20 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 xml:space="preserve">9,419.85 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D24642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>8,5</w:t>
            </w:r>
            <w:r w:rsidR="00D24642">
              <w:rPr>
                <w:rFonts w:hint="eastAsia"/>
                <w:snapToGrid/>
              </w:rPr>
              <w:t>59.58</w:t>
            </w:r>
          </w:p>
        </w:tc>
      </w:tr>
      <w:tr w:rsidR="00CB3031" w:rsidRPr="00EC165B" w:rsidTr="00CB3031">
        <w:tc>
          <w:tcPr>
            <w:tcW w:w="198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>營業毛利(毛損-)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 xml:space="preserve">640.02 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 xml:space="preserve">621.26 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077409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>-2,443.4</w:t>
            </w:r>
            <w:r w:rsidR="00077409">
              <w:rPr>
                <w:rFonts w:hint="eastAsia"/>
                <w:snapToGrid/>
              </w:rPr>
              <w:t>2</w:t>
            </w:r>
            <w:r w:rsidRPr="00EC165B">
              <w:rPr>
                <w:rFonts w:hint="eastAsia"/>
                <w:snapToGrid/>
              </w:rPr>
              <w:t xml:space="preserve"> 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077409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>-1,609.9</w:t>
            </w:r>
            <w:r w:rsidR="00077409">
              <w:rPr>
                <w:rFonts w:hint="eastAsia"/>
                <w:snapToGrid/>
              </w:rPr>
              <w:t>2</w:t>
            </w:r>
            <w:r w:rsidRPr="00EC165B">
              <w:rPr>
                <w:rFonts w:hint="eastAsia"/>
                <w:snapToGrid/>
              </w:rPr>
              <w:t xml:space="preserve"> 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D24642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>-</w:t>
            </w:r>
            <w:r w:rsidR="00D24642">
              <w:rPr>
                <w:rFonts w:hint="eastAsia"/>
                <w:snapToGrid/>
              </w:rPr>
              <w:t>63</w:t>
            </w:r>
            <w:r w:rsidRPr="00EC165B">
              <w:rPr>
                <w:rFonts w:hint="eastAsia"/>
                <w:snapToGrid/>
              </w:rPr>
              <w:t>.</w:t>
            </w:r>
            <w:r w:rsidR="00D24642">
              <w:rPr>
                <w:rFonts w:hint="eastAsia"/>
                <w:snapToGrid/>
              </w:rPr>
              <w:t>92</w:t>
            </w:r>
          </w:p>
        </w:tc>
      </w:tr>
      <w:tr w:rsidR="00CB3031" w:rsidRPr="00EC165B" w:rsidTr="00CB3031">
        <w:tc>
          <w:tcPr>
            <w:tcW w:w="198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031" w:rsidRPr="00EC165B" w:rsidRDefault="00CB3031" w:rsidP="00A43BAC">
            <w:pPr>
              <w:pStyle w:val="142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>營業利益(損失-)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 xml:space="preserve">498.34 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 xml:space="preserve">483.66 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 xml:space="preserve">-2,584.93 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-</w:t>
            </w:r>
            <w:r>
              <w:rPr>
                <w:snapToGrid/>
              </w:rPr>
              <w:t>1,755.61</w:t>
            </w:r>
            <w:r w:rsidRPr="00EC165B">
              <w:rPr>
                <w:rFonts w:hint="eastAsia"/>
                <w:snapToGrid/>
              </w:rPr>
              <w:t xml:space="preserve">　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D24642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-</w:t>
            </w:r>
            <w:r w:rsidR="00D24642">
              <w:rPr>
                <w:rFonts w:hint="eastAsia"/>
                <w:snapToGrid/>
              </w:rPr>
              <w:t>216.77</w:t>
            </w:r>
            <w:r w:rsidRPr="00EC165B">
              <w:rPr>
                <w:rFonts w:hint="eastAsia"/>
                <w:snapToGrid/>
              </w:rPr>
              <w:t xml:space="preserve">　</w:t>
            </w:r>
          </w:p>
        </w:tc>
      </w:tr>
      <w:tr w:rsidR="00CB3031" w:rsidRPr="00EC165B" w:rsidTr="00CB3031">
        <w:tc>
          <w:tcPr>
            <w:tcW w:w="1985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031" w:rsidRPr="00EC165B" w:rsidRDefault="00CB3031" w:rsidP="00A43BAC">
            <w:pPr>
              <w:pStyle w:val="142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>本期淨利(淨損-)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D24642" w:rsidP="00D24642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240.96</w:t>
            </w:r>
            <w:r w:rsidR="00CB3031" w:rsidRPr="00EC165B">
              <w:rPr>
                <w:rFonts w:hint="eastAsia"/>
                <w:snapToGrid/>
              </w:rPr>
              <w:t xml:space="preserve"> 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 xml:space="preserve">225.04 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 xml:space="preserve">-2,665.28 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 xml:space="preserve">-1,990.91 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D24642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>-</w:t>
            </w:r>
            <w:r w:rsidR="00D24642">
              <w:rPr>
                <w:rFonts w:hint="eastAsia"/>
                <w:snapToGrid/>
              </w:rPr>
              <w:t>392.27</w:t>
            </w:r>
          </w:p>
        </w:tc>
      </w:tr>
      <w:tr w:rsidR="00CB3031" w:rsidRPr="00EC165B" w:rsidTr="00CB3031"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rPr>
                <w:rFonts w:hint="eastAsia"/>
                <w:b/>
                <w:bCs/>
                <w:snapToGrid/>
              </w:rPr>
            </w:pPr>
            <w:r w:rsidRPr="00EC165B">
              <w:rPr>
                <w:rFonts w:hint="eastAsia"/>
                <w:b/>
                <w:bCs/>
                <w:snapToGrid/>
              </w:rPr>
              <w:t>累積虧損</w:t>
            </w:r>
          </w:p>
        </w:tc>
        <w:tc>
          <w:tcPr>
            <w:tcW w:w="1305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>-641.94</w:t>
            </w:r>
          </w:p>
        </w:tc>
        <w:tc>
          <w:tcPr>
            <w:tcW w:w="1305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 xml:space="preserve">-416.86 </w:t>
            </w:r>
          </w:p>
        </w:tc>
        <w:tc>
          <w:tcPr>
            <w:tcW w:w="1305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 xml:space="preserve">-2,063.09 </w:t>
            </w:r>
          </w:p>
        </w:tc>
        <w:tc>
          <w:tcPr>
            <w:tcW w:w="1305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 xml:space="preserve">-3,818.21 </w:t>
            </w:r>
          </w:p>
        </w:tc>
        <w:tc>
          <w:tcPr>
            <w:tcW w:w="130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1109F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>-4,2</w:t>
            </w:r>
            <w:r w:rsidR="00A1109F">
              <w:rPr>
                <w:rFonts w:hint="eastAsia"/>
                <w:snapToGrid/>
              </w:rPr>
              <w:t>10</w:t>
            </w:r>
            <w:r w:rsidRPr="00EC165B">
              <w:rPr>
                <w:rFonts w:hint="eastAsia"/>
                <w:snapToGrid/>
              </w:rPr>
              <w:t>.</w:t>
            </w:r>
            <w:r w:rsidR="00A1109F">
              <w:rPr>
                <w:rFonts w:hint="eastAsia"/>
                <w:snapToGrid/>
              </w:rPr>
              <w:t>75</w:t>
            </w:r>
            <w:r w:rsidRPr="00EC165B">
              <w:rPr>
                <w:rFonts w:hint="eastAsia"/>
                <w:snapToGrid/>
              </w:rPr>
              <w:t xml:space="preserve"> </w:t>
            </w:r>
          </w:p>
        </w:tc>
      </w:tr>
      <w:tr w:rsidR="00CB3031" w:rsidRPr="00EC165B" w:rsidTr="00CB3031"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>營業成本率</w:t>
            </w:r>
          </w:p>
        </w:tc>
        <w:tc>
          <w:tcPr>
            <w:tcW w:w="130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39613F" w:rsidP="0039613F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89</w:t>
            </w:r>
            <w:r w:rsidR="00CB3031" w:rsidRPr="00EC165B">
              <w:rPr>
                <w:rFonts w:hint="eastAsia"/>
                <w:snapToGrid/>
              </w:rPr>
              <w:t>.</w:t>
            </w:r>
            <w:r>
              <w:rPr>
                <w:rFonts w:hint="eastAsia"/>
                <w:snapToGrid/>
              </w:rPr>
              <w:t>41</w:t>
            </w:r>
            <w:r w:rsidR="00CB3031" w:rsidRPr="00EC165B">
              <w:rPr>
                <w:rFonts w:hint="eastAsia"/>
                <w:snapToGrid/>
              </w:rPr>
              <w:t xml:space="preserve"> </w:t>
            </w:r>
          </w:p>
        </w:tc>
        <w:tc>
          <w:tcPr>
            <w:tcW w:w="130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 xml:space="preserve">90.00 </w:t>
            </w:r>
          </w:p>
        </w:tc>
        <w:tc>
          <w:tcPr>
            <w:tcW w:w="130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 xml:space="preserve">136.92 </w:t>
            </w:r>
          </w:p>
        </w:tc>
        <w:tc>
          <w:tcPr>
            <w:tcW w:w="130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 xml:space="preserve">120.61 </w:t>
            </w:r>
          </w:p>
        </w:tc>
        <w:tc>
          <w:tcPr>
            <w:tcW w:w="130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C84BD2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>100.</w:t>
            </w:r>
            <w:r w:rsidR="00C84BD2">
              <w:rPr>
                <w:rFonts w:hint="eastAsia"/>
                <w:snapToGrid/>
              </w:rPr>
              <w:t>75</w:t>
            </w:r>
            <w:r w:rsidRPr="00EC165B">
              <w:rPr>
                <w:rFonts w:hint="eastAsia"/>
                <w:snapToGrid/>
              </w:rPr>
              <w:t xml:space="preserve"> </w:t>
            </w:r>
          </w:p>
        </w:tc>
      </w:tr>
      <w:tr w:rsidR="00CB3031" w:rsidRPr="00EC165B" w:rsidTr="00CB3031">
        <w:tc>
          <w:tcPr>
            <w:tcW w:w="198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>營業利益率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 xml:space="preserve">8.24 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 xml:space="preserve">7.79 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 xml:space="preserve">-39.05 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 xml:space="preserve">-22.48 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 xml:space="preserve">-2.55 </w:t>
            </w:r>
          </w:p>
        </w:tc>
      </w:tr>
      <w:tr w:rsidR="00CB3031" w:rsidRPr="00EC165B" w:rsidTr="00CB3031">
        <w:tc>
          <w:tcPr>
            <w:tcW w:w="198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>淨利率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 xml:space="preserve">3.99 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 xml:space="preserve">3.62 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 xml:space="preserve">-34.22 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 xml:space="preserve">-25.49 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 xml:space="preserve">-4.62 </w:t>
            </w:r>
          </w:p>
        </w:tc>
      </w:tr>
      <w:tr w:rsidR="00CB3031" w:rsidRPr="00EC165B" w:rsidTr="00CB3031">
        <w:tc>
          <w:tcPr>
            <w:tcW w:w="198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031" w:rsidRPr="00EC165B" w:rsidRDefault="00CB3031" w:rsidP="00A43BAC">
            <w:pPr>
              <w:pStyle w:val="142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>總資產報酬率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 xml:space="preserve">1.14 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 xml:space="preserve">1.03 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 xml:space="preserve">-10.00 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 xml:space="preserve">-8.14 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 xml:space="preserve">-1.48 </w:t>
            </w:r>
          </w:p>
        </w:tc>
      </w:tr>
      <w:tr w:rsidR="00CB3031" w:rsidRPr="00EC165B" w:rsidTr="00CB3031">
        <w:tc>
          <w:tcPr>
            <w:tcW w:w="1985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031" w:rsidRPr="00EC165B" w:rsidRDefault="00CB3031" w:rsidP="00A43BAC">
            <w:pPr>
              <w:pStyle w:val="142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>權益報酬率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 xml:space="preserve">7.64 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 xml:space="preserve">6.65 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 xml:space="preserve">-94.73 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 xml:space="preserve">-151.94 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CB3031" w:rsidRPr="00EC165B" w:rsidRDefault="00CB3031" w:rsidP="00A43BAC">
            <w:pPr>
              <w:pStyle w:val="142"/>
              <w:jc w:val="right"/>
              <w:rPr>
                <w:rFonts w:hint="eastAsia"/>
                <w:snapToGrid/>
              </w:rPr>
            </w:pPr>
            <w:r w:rsidRPr="00EC165B">
              <w:rPr>
                <w:rFonts w:hint="eastAsia"/>
                <w:snapToGrid/>
              </w:rPr>
              <w:t xml:space="preserve">-23.38 </w:t>
            </w:r>
          </w:p>
        </w:tc>
      </w:tr>
    </w:tbl>
    <w:p w:rsidR="00F809ED" w:rsidRPr="00A11DD4" w:rsidRDefault="00F809ED" w:rsidP="00F809ED">
      <w:pPr>
        <w:pStyle w:val="142"/>
      </w:pPr>
      <w:r w:rsidRPr="00A11DD4">
        <w:rPr>
          <w:rFonts w:hint="eastAsia"/>
        </w:rPr>
        <w:t>資料來源：</w:t>
      </w:r>
      <w:r>
        <w:rPr>
          <w:rFonts w:hint="eastAsia"/>
        </w:rPr>
        <w:t>整理自</w:t>
      </w:r>
      <w:r w:rsidRPr="00A11DD4">
        <w:rPr>
          <w:rFonts w:hint="eastAsia"/>
        </w:rPr>
        <w:t>台電公司</w:t>
      </w:r>
      <w:r>
        <w:rPr>
          <w:rFonts w:hint="eastAsia"/>
        </w:rPr>
        <w:t>審定決算書</w:t>
      </w:r>
      <w:r w:rsidRPr="00A11DD4">
        <w:rPr>
          <w:rFonts w:hint="eastAsia"/>
        </w:rPr>
        <w:t>。</w:t>
      </w:r>
    </w:p>
    <w:p w:rsidR="00085499" w:rsidRDefault="009175C1" w:rsidP="00C33170">
      <w:pPr>
        <w:ind w:left="566" w:firstLine="566"/>
        <w:rPr>
          <w:rFonts w:hint="eastAsia"/>
          <w:color w:val="2E74B5"/>
        </w:rPr>
      </w:pPr>
      <w:r w:rsidRPr="004772BF">
        <w:rPr>
          <w:rFonts w:hint="eastAsia"/>
        </w:rPr>
        <w:t>綜上，台電公司</w:t>
      </w:r>
      <w:r w:rsidR="004772BF" w:rsidRPr="004772BF">
        <w:rPr>
          <w:rFonts w:hint="eastAsia"/>
        </w:rPr>
        <w:t>自有資金不足，購建固定資產所需資金多數以舉債方式支應，113年度負債比率高達九成</w:t>
      </w:r>
      <w:r w:rsidR="009870D8">
        <w:rPr>
          <w:rFonts w:hint="eastAsia"/>
        </w:rPr>
        <w:t>三</w:t>
      </w:r>
      <w:r w:rsidR="004772BF" w:rsidRPr="004772BF">
        <w:rPr>
          <w:rFonts w:hint="eastAsia"/>
        </w:rPr>
        <w:t>，利息總支出245.81億元再創近5年新高，財務負擔日益沉重，而營運</w:t>
      </w:r>
      <w:r w:rsidR="009870D8">
        <w:rPr>
          <w:rFonts w:hint="eastAsia"/>
        </w:rPr>
        <w:t>連續3年</w:t>
      </w:r>
      <w:r w:rsidR="004772BF" w:rsidRPr="004772BF">
        <w:rPr>
          <w:rFonts w:hint="eastAsia"/>
        </w:rPr>
        <w:t>虧損，</w:t>
      </w:r>
      <w:r w:rsidR="009870D8">
        <w:rPr>
          <w:rFonts w:hint="eastAsia"/>
        </w:rPr>
        <w:t>113</w:t>
      </w:r>
      <w:r w:rsidR="00996595">
        <w:rPr>
          <w:rFonts w:hint="eastAsia"/>
        </w:rPr>
        <w:t>年底</w:t>
      </w:r>
      <w:r w:rsidR="004772BF" w:rsidRPr="004772BF">
        <w:rPr>
          <w:rFonts w:hAnsi="標楷體" w:hint="eastAsia"/>
          <w:bCs/>
          <w:color w:val="000000"/>
        </w:rPr>
        <w:t>累積虧損擴增至</w:t>
      </w:r>
      <w:r w:rsidR="004772BF" w:rsidRPr="004772BF">
        <w:rPr>
          <w:rFonts w:hint="eastAsia"/>
        </w:rPr>
        <w:t>4</w:t>
      </w:r>
      <w:r w:rsidR="004772BF" w:rsidRPr="004772BF">
        <w:t>,</w:t>
      </w:r>
      <w:r w:rsidR="004772BF" w:rsidRPr="004772BF">
        <w:rPr>
          <w:rFonts w:hint="eastAsia"/>
        </w:rPr>
        <w:t>210.75億元，允宜</w:t>
      </w:r>
      <w:r w:rsidR="00F14A16" w:rsidRPr="00C32923">
        <w:rPr>
          <w:rFonts w:hint="eastAsia"/>
        </w:rPr>
        <w:t>依國營事業管理法規定之企業經營方式，</w:t>
      </w:r>
      <w:r w:rsidR="004772BF" w:rsidRPr="004772BF">
        <w:rPr>
          <w:rFonts w:hint="eastAsia"/>
        </w:rPr>
        <w:t>積極加強開源節流，減少虧損，改善財務結構方案，俾減輕財務負擔，</w:t>
      </w:r>
      <w:r w:rsidR="00F14A16" w:rsidRPr="00C32923">
        <w:rPr>
          <w:rFonts w:hint="eastAsia"/>
        </w:rPr>
        <w:t>以利永續營運。</w:t>
      </w:r>
      <w:r w:rsidR="004772BF" w:rsidRPr="004772BF">
        <w:rPr>
          <w:rFonts w:hint="eastAsia"/>
        </w:rPr>
        <w:t>。</w:t>
      </w:r>
      <w:bookmarkStart w:id="1" w:name="_GoBack"/>
      <w:bookmarkEnd w:id="1"/>
    </w:p>
    <w:sectPr w:rsidR="00085499" w:rsidSect="00D24E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63FC" w:rsidRDefault="006963FC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6963FC" w:rsidRDefault="006963FC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961" w:rsidRDefault="004F2961" w:rsidP="004F2961">
    <w:pPr>
      <w:pStyle w:val="af1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961" w:rsidRDefault="00276CAF" w:rsidP="00276CAF">
    <w:pPr>
      <w:pStyle w:val="af1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C33170" w:rsidRPr="00C33170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961" w:rsidRDefault="004F2961" w:rsidP="004F2961">
    <w:pPr>
      <w:pStyle w:val="af1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63FC" w:rsidRDefault="006963FC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6963FC" w:rsidRDefault="006963FC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B311FD" w:rsidRPr="002E6614" w:rsidRDefault="00B311FD" w:rsidP="002E6614">
      <w:pPr>
        <w:pStyle w:val="142"/>
        <w:ind w:leftChars="-24" w:left="112" w:hangingChars="74" w:hanging="180"/>
        <w:jc w:val="both"/>
      </w:pPr>
      <w:r w:rsidRPr="002E6614">
        <w:rPr>
          <w:rStyle w:val="af7"/>
        </w:rPr>
        <w:footnoteRef/>
      </w:r>
      <w:r w:rsidRPr="002E6614">
        <w:t xml:space="preserve"> </w:t>
      </w:r>
      <w:r w:rsidRPr="002E6614">
        <w:rPr>
          <w:rFonts w:hint="eastAsia"/>
        </w:rPr>
        <w:t>國營事業管理法第4條規定：「國營事業應依照企業方式經營，以事業養事業，以事業發展事業，並力求有盈無虧，增加國庫收入。…。」</w:t>
      </w:r>
    </w:p>
  </w:footnote>
  <w:footnote w:id="2">
    <w:p w:rsidR="00B311FD" w:rsidRPr="002E6614" w:rsidRDefault="00B311FD" w:rsidP="00B311FD">
      <w:pPr>
        <w:pStyle w:val="af5"/>
        <w:ind w:leftChars="-24" w:left="112" w:hangingChars="74" w:hanging="180"/>
        <w:rPr>
          <w:rFonts w:hint="eastAsia"/>
        </w:rPr>
      </w:pPr>
      <w:r w:rsidRPr="002E6614">
        <w:rPr>
          <w:rStyle w:val="af7"/>
        </w:rPr>
        <w:footnoteRef/>
      </w:r>
      <w:r w:rsidRPr="002E6614">
        <w:t xml:space="preserve"> </w:t>
      </w:r>
      <w:r w:rsidRPr="002E6614">
        <w:rPr>
          <w:rFonts w:hint="eastAsia"/>
        </w:rPr>
        <w:t>附屬單位預算執行要點第壹、四點規定：「各基金應依分期實施計畫及收支估計表切實執行。營業基金應促進事業永續發展，落實環境保護、社會責任及公司治理，並兼顧企業化經營原則，設法提高產銷營運量，增加收入，抑減成本費用，並積極研究發展及落實責任中心制度，改進產銷及管理技術，提高產品及服務品質，以提升經營績效，除較預算增加之政策性因素及推動永續發展外，應達成年度法定預算盈餘或虧損改善目標。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961" w:rsidRDefault="004F2961" w:rsidP="004F2961">
    <w:pPr>
      <w:pStyle w:val="af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961" w:rsidRDefault="004F2961" w:rsidP="004F2961">
    <w:pPr>
      <w:pStyle w:val="af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961" w:rsidRDefault="004F2961" w:rsidP="004F2961">
    <w:pPr>
      <w:pStyle w:val="af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80322"/>
    <w:multiLevelType w:val="hybridMultilevel"/>
    <w:tmpl w:val="E32A4D6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483ADC"/>
    <w:multiLevelType w:val="hybridMultilevel"/>
    <w:tmpl w:val="5934B92A"/>
    <w:lvl w:ilvl="0" w:tplc="EDB000D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A6F3170"/>
    <w:multiLevelType w:val="hybridMultilevel"/>
    <w:tmpl w:val="8D0A37D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9182445"/>
    <w:multiLevelType w:val="hybridMultilevel"/>
    <w:tmpl w:val="6E5E73A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0C64F9D"/>
    <w:multiLevelType w:val="hybridMultilevel"/>
    <w:tmpl w:val="F19C8B04"/>
    <w:lvl w:ilvl="0" w:tplc="27E0490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63E62C0B"/>
    <w:multiLevelType w:val="hybridMultilevel"/>
    <w:tmpl w:val="6E5E73A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68F0C8A"/>
    <w:multiLevelType w:val="hybridMultilevel"/>
    <w:tmpl w:val="535C4444"/>
    <w:lvl w:ilvl="0" w:tplc="65CE20F6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15752"/>
    <w:rsid w:val="0001746F"/>
    <w:rsid w:val="00037EC1"/>
    <w:rsid w:val="00047078"/>
    <w:rsid w:val="00054430"/>
    <w:rsid w:val="0006491D"/>
    <w:rsid w:val="00065C6D"/>
    <w:rsid w:val="00070E88"/>
    <w:rsid w:val="000767B4"/>
    <w:rsid w:val="00077409"/>
    <w:rsid w:val="00085499"/>
    <w:rsid w:val="00086BC5"/>
    <w:rsid w:val="00097E33"/>
    <w:rsid w:val="000B0357"/>
    <w:rsid w:val="000B2277"/>
    <w:rsid w:val="000B4AD1"/>
    <w:rsid w:val="000B5167"/>
    <w:rsid w:val="000C3D94"/>
    <w:rsid w:val="000D269A"/>
    <w:rsid w:val="000D2824"/>
    <w:rsid w:val="000D4B51"/>
    <w:rsid w:val="000E7ED5"/>
    <w:rsid w:val="000F2D48"/>
    <w:rsid w:val="0013696F"/>
    <w:rsid w:val="00143701"/>
    <w:rsid w:val="0016023C"/>
    <w:rsid w:val="001724AC"/>
    <w:rsid w:val="00180C22"/>
    <w:rsid w:val="00194361"/>
    <w:rsid w:val="001A14C8"/>
    <w:rsid w:val="001A1E63"/>
    <w:rsid w:val="001A4880"/>
    <w:rsid w:val="001B05EB"/>
    <w:rsid w:val="001B1B1A"/>
    <w:rsid w:val="001B4318"/>
    <w:rsid w:val="001B4898"/>
    <w:rsid w:val="001D0B62"/>
    <w:rsid w:val="001F2CD9"/>
    <w:rsid w:val="001F59D3"/>
    <w:rsid w:val="00213958"/>
    <w:rsid w:val="00213DA6"/>
    <w:rsid w:val="00230325"/>
    <w:rsid w:val="002371A4"/>
    <w:rsid w:val="002435EC"/>
    <w:rsid w:val="00246AE1"/>
    <w:rsid w:val="00263925"/>
    <w:rsid w:val="00276CAF"/>
    <w:rsid w:val="00287088"/>
    <w:rsid w:val="00293DF0"/>
    <w:rsid w:val="002A4F1E"/>
    <w:rsid w:val="002B27B0"/>
    <w:rsid w:val="002B30CB"/>
    <w:rsid w:val="002C10DE"/>
    <w:rsid w:val="002C2988"/>
    <w:rsid w:val="002D0E28"/>
    <w:rsid w:val="002E5F69"/>
    <w:rsid w:val="002E6614"/>
    <w:rsid w:val="002E69BE"/>
    <w:rsid w:val="002F35DE"/>
    <w:rsid w:val="002F5926"/>
    <w:rsid w:val="00316C0A"/>
    <w:rsid w:val="00346DBA"/>
    <w:rsid w:val="00352C83"/>
    <w:rsid w:val="00353974"/>
    <w:rsid w:val="00353A94"/>
    <w:rsid w:val="00353F58"/>
    <w:rsid w:val="00354D0C"/>
    <w:rsid w:val="00361058"/>
    <w:rsid w:val="00363541"/>
    <w:rsid w:val="0037022E"/>
    <w:rsid w:val="00395989"/>
    <w:rsid w:val="0039613F"/>
    <w:rsid w:val="003967FD"/>
    <w:rsid w:val="00397F68"/>
    <w:rsid w:val="003A098D"/>
    <w:rsid w:val="003A36B3"/>
    <w:rsid w:val="003B5DE4"/>
    <w:rsid w:val="003C0E54"/>
    <w:rsid w:val="003C7742"/>
    <w:rsid w:val="003D20CC"/>
    <w:rsid w:val="003D633B"/>
    <w:rsid w:val="003E3730"/>
    <w:rsid w:val="003E4E4D"/>
    <w:rsid w:val="003F5C66"/>
    <w:rsid w:val="003F71C3"/>
    <w:rsid w:val="00402AF8"/>
    <w:rsid w:val="004034DA"/>
    <w:rsid w:val="004267F8"/>
    <w:rsid w:val="004303BA"/>
    <w:rsid w:val="00435174"/>
    <w:rsid w:val="00441FA6"/>
    <w:rsid w:val="00445329"/>
    <w:rsid w:val="00454C2E"/>
    <w:rsid w:val="0046055B"/>
    <w:rsid w:val="004634D7"/>
    <w:rsid w:val="00463EBC"/>
    <w:rsid w:val="00471780"/>
    <w:rsid w:val="004772BF"/>
    <w:rsid w:val="00492E76"/>
    <w:rsid w:val="00496592"/>
    <w:rsid w:val="00497187"/>
    <w:rsid w:val="004972B3"/>
    <w:rsid w:val="004B407A"/>
    <w:rsid w:val="004D405A"/>
    <w:rsid w:val="004F2961"/>
    <w:rsid w:val="004F3212"/>
    <w:rsid w:val="004F7F55"/>
    <w:rsid w:val="00520F77"/>
    <w:rsid w:val="00533F7D"/>
    <w:rsid w:val="005427DB"/>
    <w:rsid w:val="0054714E"/>
    <w:rsid w:val="005531C3"/>
    <w:rsid w:val="00555DA5"/>
    <w:rsid w:val="00562A81"/>
    <w:rsid w:val="00565241"/>
    <w:rsid w:val="0058353A"/>
    <w:rsid w:val="00586E23"/>
    <w:rsid w:val="00587531"/>
    <w:rsid w:val="0059628B"/>
    <w:rsid w:val="00596E7D"/>
    <w:rsid w:val="005D4FAF"/>
    <w:rsid w:val="005D53EB"/>
    <w:rsid w:val="005D72F7"/>
    <w:rsid w:val="005E039E"/>
    <w:rsid w:val="005E20D0"/>
    <w:rsid w:val="00602134"/>
    <w:rsid w:val="00603726"/>
    <w:rsid w:val="006115BC"/>
    <w:rsid w:val="00617366"/>
    <w:rsid w:val="006266D0"/>
    <w:rsid w:val="00630AB4"/>
    <w:rsid w:val="00637CFE"/>
    <w:rsid w:val="006434D7"/>
    <w:rsid w:val="00646C6B"/>
    <w:rsid w:val="00656E12"/>
    <w:rsid w:val="006679DA"/>
    <w:rsid w:val="006746C9"/>
    <w:rsid w:val="00677ADB"/>
    <w:rsid w:val="00695C6B"/>
    <w:rsid w:val="006963FC"/>
    <w:rsid w:val="006A38A1"/>
    <w:rsid w:val="006A6929"/>
    <w:rsid w:val="006A774C"/>
    <w:rsid w:val="006B0082"/>
    <w:rsid w:val="006C313C"/>
    <w:rsid w:val="006C4DC1"/>
    <w:rsid w:val="006D770B"/>
    <w:rsid w:val="006E6D6C"/>
    <w:rsid w:val="007015A1"/>
    <w:rsid w:val="007036F7"/>
    <w:rsid w:val="0070560F"/>
    <w:rsid w:val="00714E53"/>
    <w:rsid w:val="00733232"/>
    <w:rsid w:val="00744408"/>
    <w:rsid w:val="00752D8D"/>
    <w:rsid w:val="0075642E"/>
    <w:rsid w:val="00757BA9"/>
    <w:rsid w:val="007632D3"/>
    <w:rsid w:val="007677EE"/>
    <w:rsid w:val="00770934"/>
    <w:rsid w:val="0077729D"/>
    <w:rsid w:val="007775F7"/>
    <w:rsid w:val="007957D7"/>
    <w:rsid w:val="007A56A4"/>
    <w:rsid w:val="007C356C"/>
    <w:rsid w:val="007C6922"/>
    <w:rsid w:val="007C76B4"/>
    <w:rsid w:val="007E2AF4"/>
    <w:rsid w:val="007E665D"/>
    <w:rsid w:val="008019C7"/>
    <w:rsid w:val="00810EF7"/>
    <w:rsid w:val="0081751E"/>
    <w:rsid w:val="00823D86"/>
    <w:rsid w:val="00826A00"/>
    <w:rsid w:val="00827864"/>
    <w:rsid w:val="008368DE"/>
    <w:rsid w:val="00840209"/>
    <w:rsid w:val="00856CF5"/>
    <w:rsid w:val="0086040B"/>
    <w:rsid w:val="00862A2C"/>
    <w:rsid w:val="008633EE"/>
    <w:rsid w:val="0086426B"/>
    <w:rsid w:val="00864360"/>
    <w:rsid w:val="00871A87"/>
    <w:rsid w:val="00874F29"/>
    <w:rsid w:val="00896C3A"/>
    <w:rsid w:val="008B1BB6"/>
    <w:rsid w:val="008B1E37"/>
    <w:rsid w:val="008B22B2"/>
    <w:rsid w:val="008B39FC"/>
    <w:rsid w:val="008D3D7B"/>
    <w:rsid w:val="008E6608"/>
    <w:rsid w:val="008F0B71"/>
    <w:rsid w:val="00901A8D"/>
    <w:rsid w:val="009175C1"/>
    <w:rsid w:val="0092538D"/>
    <w:rsid w:val="00937B7E"/>
    <w:rsid w:val="00950188"/>
    <w:rsid w:val="00964D52"/>
    <w:rsid w:val="009718EE"/>
    <w:rsid w:val="009756C5"/>
    <w:rsid w:val="00986E84"/>
    <w:rsid w:val="009870D8"/>
    <w:rsid w:val="00991141"/>
    <w:rsid w:val="0099296D"/>
    <w:rsid w:val="00992E80"/>
    <w:rsid w:val="00993CC8"/>
    <w:rsid w:val="00996595"/>
    <w:rsid w:val="009A1C0C"/>
    <w:rsid w:val="009A38D3"/>
    <w:rsid w:val="009A64DD"/>
    <w:rsid w:val="009A7639"/>
    <w:rsid w:val="009B660F"/>
    <w:rsid w:val="009B732E"/>
    <w:rsid w:val="009C022D"/>
    <w:rsid w:val="009C7938"/>
    <w:rsid w:val="009E581A"/>
    <w:rsid w:val="009E76DD"/>
    <w:rsid w:val="00A05C99"/>
    <w:rsid w:val="00A1109F"/>
    <w:rsid w:val="00A11DD4"/>
    <w:rsid w:val="00A13285"/>
    <w:rsid w:val="00A41C71"/>
    <w:rsid w:val="00A42C9F"/>
    <w:rsid w:val="00A43BAC"/>
    <w:rsid w:val="00A722AC"/>
    <w:rsid w:val="00A7373D"/>
    <w:rsid w:val="00A86D96"/>
    <w:rsid w:val="00AB1254"/>
    <w:rsid w:val="00AB1FE2"/>
    <w:rsid w:val="00AB44C2"/>
    <w:rsid w:val="00AB5E36"/>
    <w:rsid w:val="00AC35C7"/>
    <w:rsid w:val="00AD0B88"/>
    <w:rsid w:val="00AD33AB"/>
    <w:rsid w:val="00AE5333"/>
    <w:rsid w:val="00AE609E"/>
    <w:rsid w:val="00AE69E4"/>
    <w:rsid w:val="00AF33DA"/>
    <w:rsid w:val="00AF4044"/>
    <w:rsid w:val="00AF730E"/>
    <w:rsid w:val="00B01C84"/>
    <w:rsid w:val="00B038EF"/>
    <w:rsid w:val="00B057EE"/>
    <w:rsid w:val="00B06DF5"/>
    <w:rsid w:val="00B12A44"/>
    <w:rsid w:val="00B21E40"/>
    <w:rsid w:val="00B24D94"/>
    <w:rsid w:val="00B311FD"/>
    <w:rsid w:val="00B52CAA"/>
    <w:rsid w:val="00B53D6F"/>
    <w:rsid w:val="00B573E1"/>
    <w:rsid w:val="00B6063A"/>
    <w:rsid w:val="00B64B51"/>
    <w:rsid w:val="00B668FF"/>
    <w:rsid w:val="00B701CF"/>
    <w:rsid w:val="00B70B96"/>
    <w:rsid w:val="00B72534"/>
    <w:rsid w:val="00B767E7"/>
    <w:rsid w:val="00B83106"/>
    <w:rsid w:val="00B859B3"/>
    <w:rsid w:val="00BA38D3"/>
    <w:rsid w:val="00BB1F0C"/>
    <w:rsid w:val="00BB7CA6"/>
    <w:rsid w:val="00BC340D"/>
    <w:rsid w:val="00BD3D56"/>
    <w:rsid w:val="00BD7E4B"/>
    <w:rsid w:val="00BE08DF"/>
    <w:rsid w:val="00BF0DC4"/>
    <w:rsid w:val="00C00D99"/>
    <w:rsid w:val="00C1745F"/>
    <w:rsid w:val="00C21A3A"/>
    <w:rsid w:val="00C27EBC"/>
    <w:rsid w:val="00C33170"/>
    <w:rsid w:val="00C40D56"/>
    <w:rsid w:val="00C65181"/>
    <w:rsid w:val="00C71DF3"/>
    <w:rsid w:val="00C733AC"/>
    <w:rsid w:val="00C8082F"/>
    <w:rsid w:val="00C82C05"/>
    <w:rsid w:val="00C84BD2"/>
    <w:rsid w:val="00C856AA"/>
    <w:rsid w:val="00C8735E"/>
    <w:rsid w:val="00C94F0F"/>
    <w:rsid w:val="00CA6B4F"/>
    <w:rsid w:val="00CB0D42"/>
    <w:rsid w:val="00CB195B"/>
    <w:rsid w:val="00CB3031"/>
    <w:rsid w:val="00CB6375"/>
    <w:rsid w:val="00CC10DE"/>
    <w:rsid w:val="00CD24C9"/>
    <w:rsid w:val="00CD40A5"/>
    <w:rsid w:val="00CE6EC0"/>
    <w:rsid w:val="00D0139E"/>
    <w:rsid w:val="00D03D82"/>
    <w:rsid w:val="00D0534E"/>
    <w:rsid w:val="00D05469"/>
    <w:rsid w:val="00D23C45"/>
    <w:rsid w:val="00D24642"/>
    <w:rsid w:val="00D24E67"/>
    <w:rsid w:val="00D45E71"/>
    <w:rsid w:val="00D46737"/>
    <w:rsid w:val="00D53355"/>
    <w:rsid w:val="00D5428F"/>
    <w:rsid w:val="00D54787"/>
    <w:rsid w:val="00D65B6E"/>
    <w:rsid w:val="00D8148D"/>
    <w:rsid w:val="00D86FE9"/>
    <w:rsid w:val="00D90EDA"/>
    <w:rsid w:val="00DA0F13"/>
    <w:rsid w:val="00DA1C30"/>
    <w:rsid w:val="00DB5EE8"/>
    <w:rsid w:val="00DC3DD8"/>
    <w:rsid w:val="00DE232F"/>
    <w:rsid w:val="00DE73B6"/>
    <w:rsid w:val="00DF10CB"/>
    <w:rsid w:val="00DF1E86"/>
    <w:rsid w:val="00E02455"/>
    <w:rsid w:val="00E2482A"/>
    <w:rsid w:val="00E31307"/>
    <w:rsid w:val="00E534FF"/>
    <w:rsid w:val="00E543BA"/>
    <w:rsid w:val="00E609CC"/>
    <w:rsid w:val="00E7087E"/>
    <w:rsid w:val="00E70C9F"/>
    <w:rsid w:val="00E80301"/>
    <w:rsid w:val="00EA1E03"/>
    <w:rsid w:val="00EA47E4"/>
    <w:rsid w:val="00EB512F"/>
    <w:rsid w:val="00ED198A"/>
    <w:rsid w:val="00ED1BB2"/>
    <w:rsid w:val="00EF0711"/>
    <w:rsid w:val="00F0175B"/>
    <w:rsid w:val="00F0200C"/>
    <w:rsid w:val="00F1266F"/>
    <w:rsid w:val="00F14A16"/>
    <w:rsid w:val="00F17C8D"/>
    <w:rsid w:val="00F21539"/>
    <w:rsid w:val="00F21781"/>
    <w:rsid w:val="00F30C49"/>
    <w:rsid w:val="00F349FD"/>
    <w:rsid w:val="00F402D3"/>
    <w:rsid w:val="00F46A3D"/>
    <w:rsid w:val="00F46FBE"/>
    <w:rsid w:val="00F519E6"/>
    <w:rsid w:val="00F809ED"/>
    <w:rsid w:val="00F97B99"/>
    <w:rsid w:val="00FA2F32"/>
    <w:rsid w:val="00FC350F"/>
    <w:rsid w:val="00FC7585"/>
    <w:rsid w:val="00FD7803"/>
    <w:rsid w:val="00FE0261"/>
    <w:rsid w:val="00FF1697"/>
    <w:rsid w:val="00FF5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9702504-56B3-4404-910F-68FE2DC86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8753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link w:val="a9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2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E609CC"/>
    <w:pPr>
      <w:tabs>
        <w:tab w:val="right" w:leader="hyphen" w:pos="8609"/>
      </w:tabs>
      <w:ind w:leftChars="0" w:left="486" w:hangingChars="200" w:hanging="486"/>
    </w:pPr>
    <w:rPr>
      <w:sz w:val="24"/>
    </w:rPr>
  </w:style>
  <w:style w:type="paragraph" w:styleId="21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paragraph" w:styleId="af">
    <w:name w:val="header"/>
    <w:basedOn w:val="a"/>
    <w:link w:val="af0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link w:val="af"/>
    <w:uiPriority w:val="99"/>
    <w:rsid w:val="004F2961"/>
    <w:rPr>
      <w:rFonts w:ascii="標楷體" w:eastAsia="標楷體"/>
      <w:snapToGrid w:val="0"/>
      <w:kern w:val="2"/>
    </w:rPr>
  </w:style>
  <w:style w:type="paragraph" w:styleId="af1">
    <w:name w:val="footer"/>
    <w:basedOn w:val="a"/>
    <w:link w:val="af2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link w:val="af1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styleId="af3">
    <w:name w:val="Balloon Text"/>
    <w:basedOn w:val="a"/>
    <w:link w:val="af4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4">
    <w:name w:val="註解方塊文字 字元"/>
    <w:link w:val="af3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a5">
    <w:name w:val="(一)(二)(三) 字元"/>
    <w:link w:val="a4"/>
    <w:rsid w:val="003D20CC"/>
    <w:rPr>
      <w:rFonts w:ascii="標楷體" w:eastAsia="標楷體"/>
      <w:snapToGrid w:val="0"/>
      <w:kern w:val="2"/>
      <w:sz w:val="28"/>
      <w:szCs w:val="28"/>
    </w:rPr>
  </w:style>
  <w:style w:type="paragraph" w:styleId="af5">
    <w:name w:val="footnote text"/>
    <w:basedOn w:val="a"/>
    <w:link w:val="af6"/>
    <w:uiPriority w:val="99"/>
    <w:unhideWhenUsed/>
    <w:rsid w:val="003D20CC"/>
    <w:pPr>
      <w:snapToGrid w:val="0"/>
      <w:spacing w:line="280" w:lineRule="exact"/>
      <w:ind w:leftChars="4" w:left="84" w:hangingChars="30" w:hanging="73"/>
    </w:pPr>
    <w:rPr>
      <w:sz w:val="24"/>
      <w:szCs w:val="20"/>
    </w:rPr>
  </w:style>
  <w:style w:type="character" w:customStyle="1" w:styleId="af6">
    <w:name w:val="註腳文字 字元"/>
    <w:link w:val="af5"/>
    <w:uiPriority w:val="99"/>
    <w:rsid w:val="003D20CC"/>
    <w:rPr>
      <w:rFonts w:ascii="標楷體" w:eastAsia="標楷體"/>
      <w:snapToGrid w:val="0"/>
      <w:kern w:val="2"/>
      <w:sz w:val="24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"/>
    <w:unhideWhenUsed/>
    <w:qFormat/>
    <w:rsid w:val="003D20CC"/>
    <w:rPr>
      <w:vertAlign w:val="superscript"/>
    </w:rPr>
  </w:style>
  <w:style w:type="character" w:customStyle="1" w:styleId="22">
    <w:name w:val="(一)下內文縮2 字元2"/>
    <w:link w:val="2"/>
    <w:rsid w:val="003D20CC"/>
    <w:rPr>
      <w:rFonts w:ascii="標楷體" w:eastAsia="標楷體"/>
      <w:snapToGrid w:val="0"/>
      <w:kern w:val="2"/>
      <w:sz w:val="28"/>
      <w:szCs w:val="28"/>
    </w:rPr>
  </w:style>
  <w:style w:type="character" w:customStyle="1" w:styleId="10">
    <w:name w:val="(一)(二)(三) 字元1"/>
    <w:rsid w:val="004F7F55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4F7F55"/>
    <w:rPr>
      <w:rFonts w:ascii="標楷體" w:eastAsia="標楷體"/>
      <w:snapToGrid w:val="0"/>
      <w:kern w:val="2"/>
      <w:sz w:val="24"/>
      <w:szCs w:val="28"/>
    </w:rPr>
  </w:style>
  <w:style w:type="character" w:customStyle="1" w:styleId="141">
    <w:name w:val="第二層(14號字) 字元1"/>
    <w:link w:val="14"/>
    <w:locked/>
    <w:rsid w:val="004F7F55"/>
    <w:rPr>
      <w:rFonts w:ascii="標楷體" w:eastAsia="標楷體"/>
      <w:b/>
      <w:snapToGrid w:val="0"/>
      <w:kern w:val="2"/>
      <w:sz w:val="28"/>
    </w:rPr>
  </w:style>
  <w:style w:type="table" w:styleId="af8">
    <w:name w:val="Table Grid"/>
    <w:basedOn w:val="a1"/>
    <w:uiPriority w:val="59"/>
    <w:rsid w:val="006021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3">
    <w:name w:val="(一)下內文縮2 字元"/>
    <w:qFormat/>
    <w:rsid w:val="00AB1FE2"/>
    <w:rPr>
      <w:rFonts w:ascii="標楷體" w:eastAsia="標楷體"/>
      <w:snapToGrid w:val="0"/>
      <w:kern w:val="2"/>
      <w:sz w:val="28"/>
      <w:szCs w:val="28"/>
    </w:rPr>
  </w:style>
  <w:style w:type="character" w:customStyle="1" w:styleId="24">
    <w:name w:val="(一)(二)(三) 字元2"/>
    <w:rsid w:val="00AB1FE2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5D72F7"/>
    <w:rPr>
      <w:rFonts w:ascii="標楷體" w:eastAsia="標楷體"/>
      <w:b/>
      <w:snapToGrid w:val="0"/>
      <w:kern w:val="2"/>
      <w:sz w:val="28"/>
    </w:rPr>
  </w:style>
  <w:style w:type="character" w:styleId="af9">
    <w:name w:val="Hyperlink"/>
    <w:uiPriority w:val="99"/>
    <w:unhideWhenUsed/>
    <w:rsid w:val="00037EC1"/>
    <w:rPr>
      <w:color w:val="0563C1"/>
      <w:u w:val="single"/>
    </w:rPr>
  </w:style>
  <w:style w:type="paragraph" w:customStyle="1" w:styleId="Standard">
    <w:name w:val="Standard"/>
    <w:rsid w:val="00496592"/>
    <w:pPr>
      <w:autoSpaceDN w:val="0"/>
      <w:textAlignment w:val="baseline"/>
    </w:pPr>
  </w:style>
  <w:style w:type="character" w:customStyle="1" w:styleId="a9">
    <w:name w:val="前言內文 字元"/>
    <w:link w:val="a8"/>
    <w:locked/>
    <w:rsid w:val="0059628B"/>
    <w:rPr>
      <w:rFonts w:ascii="標楷體" w:eastAsia="標楷體"/>
      <w:snapToGrid w:val="0"/>
      <w:kern w:val="2"/>
      <w:sz w:val="28"/>
      <w:szCs w:val="28"/>
    </w:rPr>
  </w:style>
  <w:style w:type="character" w:customStyle="1" w:styleId="ad">
    <w:name w:val="姓名及分機 字元"/>
    <w:link w:val="ac"/>
    <w:rsid w:val="00FF1697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9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5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3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8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31FE44-9135-4E6C-930A-4B0912321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3</Pages>
  <Words>424</Words>
  <Characters>2418</Characters>
  <Application>Microsoft Office Word</Application>
  <DocSecurity>0</DocSecurity>
  <Lines>20</Lines>
  <Paragraphs>5</Paragraphs>
  <ScaleCrop>false</ScaleCrop>
  <Company>HOME</Company>
  <LinksUpToDate>false</LinksUpToDate>
  <CharactersWithSpaces>2837</CharactersWithSpaces>
  <SharedDoc>false</SharedDoc>
  <HLinks>
    <vt:vector size="30" baseType="variant">
      <vt:variant>
        <vt:i4>1441841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_Toc225324442</vt:lpwstr>
      </vt:variant>
      <vt:variant>
        <vt:i4>1441841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_Toc225324441</vt:lpwstr>
      </vt:variant>
      <vt:variant>
        <vt:i4>1441841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_Toc225324440</vt:lpwstr>
      </vt:variant>
      <vt:variant>
        <vt:i4>1114161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_Toc225324439</vt:lpwstr>
      </vt:variant>
      <vt:variant>
        <vt:i4>1114161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_Toc225324438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2026-03-26T02:57:00Z</cp:lastPrinted>
  <dcterms:created xsi:type="dcterms:W3CDTF">2026-03-26T06:44:00Z</dcterms:created>
  <dcterms:modified xsi:type="dcterms:W3CDTF">2026-03-26T06:44:00Z</dcterms:modified>
</cp:coreProperties>
</file>